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EF79" w14:textId="3A307413" w:rsidR="00D90638" w:rsidRDefault="000B6494" w:rsidP="00D90638">
      <w:pPr>
        <w:tabs>
          <w:tab w:val="center" w:pos="0"/>
        </w:tabs>
        <w:spacing w:after="0"/>
        <w:rPr>
          <w:rFonts w:ascii="Arial" w:hAnsi="Arial" w:cs="Arial"/>
          <w:b/>
          <w:bCs/>
          <w:u w:val="single"/>
        </w:rPr>
      </w:pPr>
      <w:r>
        <w:rPr>
          <w:rFonts w:ascii="Arial" w:hAnsi="Arial" w:cs="Arial"/>
          <w:b/>
          <w:bCs/>
        </w:rPr>
        <w:tab/>
      </w:r>
      <w:r>
        <w:rPr>
          <w:rFonts w:ascii="Arial" w:hAnsi="Arial" w:cs="Arial"/>
          <w:b/>
          <w:bCs/>
        </w:rPr>
        <w:tab/>
      </w:r>
      <w:r w:rsidR="001E1DCC" w:rsidRPr="00826BFF">
        <w:rPr>
          <w:rFonts w:ascii="Arial" w:hAnsi="Arial" w:cs="Arial"/>
          <w:b/>
          <w:bCs/>
          <w:u w:val="single"/>
        </w:rPr>
        <w:t xml:space="preserve">Summary of Key Changes </w:t>
      </w:r>
      <w:r w:rsidR="00D90638" w:rsidRPr="00826BFF">
        <w:rPr>
          <w:rFonts w:ascii="Arial" w:hAnsi="Arial" w:cs="Arial"/>
          <w:b/>
          <w:bCs/>
          <w:u w:val="single"/>
        </w:rPr>
        <w:t xml:space="preserve">from current Tenancy Agreement </w:t>
      </w:r>
      <w:r w:rsidR="009621DC">
        <w:rPr>
          <w:rFonts w:ascii="Arial" w:hAnsi="Arial" w:cs="Arial"/>
          <w:b/>
          <w:bCs/>
          <w:u w:val="single"/>
        </w:rPr>
        <w:t>2015</w:t>
      </w:r>
    </w:p>
    <w:p w14:paraId="2678EE4D" w14:textId="053B04C1" w:rsidR="00627692" w:rsidRPr="00826BFF" w:rsidRDefault="00D90638" w:rsidP="00826BFF">
      <w:pPr>
        <w:tabs>
          <w:tab w:val="center" w:pos="0"/>
        </w:tabs>
        <w:spacing w:after="0"/>
        <w:jc w:val="center"/>
        <w:rPr>
          <w:rFonts w:ascii="Arial" w:hAnsi="Arial" w:cs="Arial"/>
          <w:b/>
          <w:bCs/>
          <w:u w:val="single"/>
        </w:rPr>
      </w:pPr>
      <w:r w:rsidRPr="00826BFF">
        <w:rPr>
          <w:rFonts w:ascii="Arial" w:hAnsi="Arial" w:cs="Arial"/>
          <w:b/>
          <w:bCs/>
          <w:u w:val="single"/>
        </w:rPr>
        <w:t xml:space="preserve">and Draft </w:t>
      </w:r>
      <w:r w:rsidR="009621DC">
        <w:rPr>
          <w:rFonts w:ascii="Arial" w:hAnsi="Arial" w:cs="Arial"/>
          <w:b/>
          <w:bCs/>
          <w:u w:val="single"/>
        </w:rPr>
        <w:t>20</w:t>
      </w:r>
      <w:r w:rsidRPr="00826BFF">
        <w:rPr>
          <w:rFonts w:ascii="Arial" w:hAnsi="Arial" w:cs="Arial"/>
          <w:b/>
          <w:bCs/>
          <w:u w:val="single"/>
        </w:rPr>
        <w:t>25 Tenancy Agreement</w:t>
      </w:r>
    </w:p>
    <w:p w14:paraId="799FFE72" w14:textId="77777777" w:rsidR="00D90638" w:rsidRPr="00684CFF" w:rsidRDefault="00D90638" w:rsidP="00D90638">
      <w:pPr>
        <w:tabs>
          <w:tab w:val="center" w:pos="0"/>
        </w:tabs>
        <w:spacing w:after="0"/>
        <w:rPr>
          <w:rFonts w:ascii="Arial" w:hAnsi="Arial" w:cs="Arial"/>
          <w:b/>
          <w:bCs/>
        </w:rPr>
      </w:pPr>
    </w:p>
    <w:tbl>
      <w:tblPr>
        <w:tblStyle w:val="TableGrid"/>
        <w:tblW w:w="0" w:type="auto"/>
        <w:tblLook w:val="04A0" w:firstRow="1" w:lastRow="0" w:firstColumn="1" w:lastColumn="0" w:noHBand="0" w:noVBand="1"/>
      </w:tblPr>
      <w:tblGrid>
        <w:gridCol w:w="4508"/>
        <w:gridCol w:w="4508"/>
      </w:tblGrid>
      <w:tr w:rsidR="001E1DCC" w:rsidRPr="00684CFF" w14:paraId="2FFB3F9B" w14:textId="77777777" w:rsidTr="000B6494">
        <w:trPr>
          <w:tblHeader/>
        </w:trPr>
        <w:tc>
          <w:tcPr>
            <w:tcW w:w="4508" w:type="dxa"/>
            <w:shd w:val="clear" w:color="auto" w:fill="E7E6E6" w:themeFill="background2"/>
          </w:tcPr>
          <w:p w14:paraId="697F6826" w14:textId="61A4287B" w:rsidR="001E1DCC" w:rsidRPr="00684CFF" w:rsidRDefault="00667B05" w:rsidP="00627692">
            <w:pPr>
              <w:jc w:val="center"/>
              <w:rPr>
                <w:rFonts w:ascii="Arial" w:hAnsi="Arial" w:cs="Arial"/>
                <w:b/>
                <w:bCs/>
              </w:rPr>
            </w:pPr>
            <w:r w:rsidRPr="00684CFF">
              <w:rPr>
                <w:rFonts w:ascii="Arial" w:hAnsi="Arial" w:cs="Arial"/>
                <w:b/>
                <w:bCs/>
              </w:rPr>
              <w:t>Key change</w:t>
            </w:r>
          </w:p>
        </w:tc>
        <w:tc>
          <w:tcPr>
            <w:tcW w:w="4508" w:type="dxa"/>
            <w:shd w:val="clear" w:color="auto" w:fill="E7E6E6" w:themeFill="background2"/>
          </w:tcPr>
          <w:p w14:paraId="57CB5EA8" w14:textId="7E83B4BE" w:rsidR="001E1DCC" w:rsidRPr="00684CFF" w:rsidRDefault="00667B05" w:rsidP="00627692">
            <w:pPr>
              <w:jc w:val="center"/>
              <w:rPr>
                <w:rFonts w:ascii="Arial" w:hAnsi="Arial" w:cs="Arial"/>
                <w:b/>
                <w:bCs/>
              </w:rPr>
            </w:pPr>
            <w:r w:rsidRPr="00684CFF">
              <w:rPr>
                <w:rFonts w:ascii="Arial" w:hAnsi="Arial" w:cs="Arial"/>
                <w:b/>
                <w:bCs/>
              </w:rPr>
              <w:t>Reason</w:t>
            </w:r>
          </w:p>
        </w:tc>
      </w:tr>
      <w:tr w:rsidR="002F7D4F" w:rsidRPr="00684CFF" w14:paraId="3E3D3EFB" w14:textId="77777777" w:rsidTr="001E1DCC">
        <w:tc>
          <w:tcPr>
            <w:tcW w:w="4508" w:type="dxa"/>
          </w:tcPr>
          <w:p w14:paraId="424E02D4" w14:textId="6BA24084" w:rsidR="002F7D4F" w:rsidRPr="0057517C" w:rsidRDefault="002F7D4F">
            <w:pPr>
              <w:rPr>
                <w:rFonts w:ascii="Arial" w:hAnsi="Arial" w:cs="Arial"/>
              </w:rPr>
            </w:pPr>
            <w:r w:rsidRPr="0057517C">
              <w:rPr>
                <w:rFonts w:ascii="Arial" w:hAnsi="Arial" w:cs="Arial"/>
              </w:rPr>
              <w:t>Easy to understand version and clearer due to the revised running order and wording updated to be clear</w:t>
            </w:r>
          </w:p>
        </w:tc>
        <w:tc>
          <w:tcPr>
            <w:tcW w:w="4508" w:type="dxa"/>
          </w:tcPr>
          <w:p w14:paraId="31E26E5C" w14:textId="77777777" w:rsidR="0057517C" w:rsidRDefault="00667B05" w:rsidP="0057517C">
            <w:pPr>
              <w:rPr>
                <w:rFonts w:ascii="Arial" w:hAnsi="Arial" w:cs="Arial"/>
              </w:rPr>
            </w:pPr>
            <w:r w:rsidRPr="0057517C">
              <w:rPr>
                <w:rFonts w:ascii="Arial" w:hAnsi="Arial" w:cs="Arial"/>
              </w:rPr>
              <w:t>The previous version running order and wording made the document less user friendly</w:t>
            </w:r>
            <w:r w:rsidR="009C461B" w:rsidRPr="0057517C">
              <w:rPr>
                <w:rFonts w:ascii="Arial" w:hAnsi="Arial" w:cs="Arial"/>
              </w:rPr>
              <w:t xml:space="preserve">. </w:t>
            </w:r>
            <w:r w:rsidRPr="0057517C">
              <w:rPr>
                <w:rFonts w:ascii="Arial" w:hAnsi="Arial" w:cs="Arial"/>
              </w:rPr>
              <w:t>We believe the revised running order is now easier to understand and clearer</w:t>
            </w:r>
            <w:r w:rsidR="009C461B" w:rsidRPr="0057517C">
              <w:rPr>
                <w:rFonts w:ascii="Arial" w:hAnsi="Arial" w:cs="Arial"/>
              </w:rPr>
              <w:t xml:space="preserve">. </w:t>
            </w:r>
            <w:r w:rsidRPr="0057517C">
              <w:rPr>
                <w:rFonts w:ascii="Arial" w:hAnsi="Arial" w:cs="Arial"/>
              </w:rPr>
              <w:t xml:space="preserve">We will be capturing a Tenancy Agreement summary within the suggested improvements which </w:t>
            </w:r>
            <w:r w:rsidR="007429C1" w:rsidRPr="0057517C">
              <w:rPr>
                <w:rFonts w:ascii="Arial" w:hAnsi="Arial" w:cs="Arial"/>
              </w:rPr>
              <w:t>headlines</w:t>
            </w:r>
            <w:r w:rsidRPr="0057517C">
              <w:rPr>
                <w:rFonts w:ascii="Arial" w:hAnsi="Arial" w:cs="Arial"/>
              </w:rPr>
              <w:t xml:space="preserve"> key items for ease of reference, they the detail in the full tenancy agreement should they need to refer in more detail.</w:t>
            </w:r>
          </w:p>
          <w:p w14:paraId="45CF56AF" w14:textId="65774E1E" w:rsidR="009C461B" w:rsidRPr="0057517C" w:rsidRDefault="009C461B" w:rsidP="0057517C">
            <w:pPr>
              <w:rPr>
                <w:rFonts w:ascii="Arial" w:hAnsi="Arial" w:cs="Arial"/>
              </w:rPr>
            </w:pPr>
          </w:p>
        </w:tc>
      </w:tr>
      <w:tr w:rsidR="007A6E56" w:rsidRPr="00684CFF" w14:paraId="6BF061CA" w14:textId="77777777" w:rsidTr="001E1DCC">
        <w:tc>
          <w:tcPr>
            <w:tcW w:w="4508" w:type="dxa"/>
          </w:tcPr>
          <w:p w14:paraId="3DEA9E3D" w14:textId="2870D30F" w:rsidR="007A6E56" w:rsidRPr="0057517C" w:rsidRDefault="007A6E56">
            <w:pPr>
              <w:rPr>
                <w:rFonts w:ascii="Arial" w:hAnsi="Arial" w:cs="Arial"/>
              </w:rPr>
            </w:pPr>
            <w:r w:rsidRPr="0057517C">
              <w:rPr>
                <w:rFonts w:ascii="Arial" w:hAnsi="Arial" w:cs="Arial"/>
              </w:rPr>
              <w:t>Supported Housing references and services</w:t>
            </w:r>
          </w:p>
        </w:tc>
        <w:tc>
          <w:tcPr>
            <w:tcW w:w="4508" w:type="dxa"/>
          </w:tcPr>
          <w:p w14:paraId="4E31303B" w14:textId="77777777" w:rsidR="0057517C" w:rsidRDefault="007A6E56">
            <w:pPr>
              <w:rPr>
                <w:rFonts w:ascii="Arial" w:eastAsia="Times New Roman" w:hAnsi="Arial" w:cs="Arial"/>
                <w:color w:val="000000"/>
                <w:kern w:val="0"/>
                <w:lang w:eastAsia="en-GB"/>
                <w14:ligatures w14:val="none"/>
              </w:rPr>
            </w:pPr>
            <w:r w:rsidRPr="0057517C">
              <w:rPr>
                <w:rFonts w:ascii="Arial" w:hAnsi="Arial" w:cs="Arial"/>
              </w:rPr>
              <w:t xml:space="preserve">All references updated to reflect Independent Living which is the name of this service area now. Wording updated to key areas such as 1.6 to </w:t>
            </w:r>
            <w:r w:rsidR="007B0571" w:rsidRPr="0057517C">
              <w:rPr>
                <w:rFonts w:ascii="Arial" w:hAnsi="Arial" w:cs="Arial"/>
              </w:rPr>
              <w:t>refer</w:t>
            </w:r>
            <w:r w:rsidRPr="0057517C">
              <w:rPr>
                <w:rFonts w:ascii="Arial" w:hAnsi="Arial" w:cs="Arial"/>
              </w:rPr>
              <w:t xml:space="preserve"> </w:t>
            </w:r>
            <w:r w:rsidR="00207580">
              <w:rPr>
                <w:rFonts w:ascii="Arial" w:hAnsi="Arial" w:cs="Arial"/>
              </w:rPr>
              <w:t xml:space="preserve">to </w:t>
            </w:r>
            <w:r w:rsidRPr="0057517C">
              <w:rPr>
                <w:rFonts w:ascii="Arial" w:eastAsia="Times New Roman" w:hAnsi="Arial" w:cs="Arial"/>
                <w:color w:val="000000"/>
                <w:kern w:val="0"/>
                <w:lang w:eastAsia="en-GB"/>
                <w14:ligatures w14:val="none"/>
              </w:rPr>
              <w:t>extra information being provided and captured within sign up pack information for Independent Living Schemes based on each site rather than within the main tenancy agreement now. Thi</w:t>
            </w:r>
            <w:r w:rsidR="00207580">
              <w:rPr>
                <w:rFonts w:ascii="Arial" w:eastAsia="Times New Roman" w:hAnsi="Arial" w:cs="Arial"/>
                <w:color w:val="000000"/>
                <w:kern w:val="0"/>
                <w:lang w:eastAsia="en-GB"/>
                <w14:ligatures w14:val="none"/>
              </w:rPr>
              <w:t>s</w:t>
            </w:r>
            <w:r w:rsidRPr="0057517C">
              <w:rPr>
                <w:rFonts w:ascii="Arial" w:eastAsia="Times New Roman" w:hAnsi="Arial" w:cs="Arial"/>
                <w:color w:val="000000"/>
                <w:kern w:val="0"/>
                <w:lang w:eastAsia="en-GB"/>
                <w14:ligatures w14:val="none"/>
              </w:rPr>
              <w:t xml:space="preserve"> ensures that for specific schemes such as D</w:t>
            </w:r>
            <w:r w:rsidR="009C461B">
              <w:rPr>
                <w:rFonts w:ascii="Arial" w:eastAsia="Times New Roman" w:hAnsi="Arial" w:cs="Arial"/>
                <w:color w:val="000000"/>
                <w:kern w:val="0"/>
                <w:lang w:eastAsia="en-GB"/>
                <w14:ligatures w14:val="none"/>
              </w:rPr>
              <w:t xml:space="preserve">e </w:t>
            </w:r>
            <w:r w:rsidRPr="0057517C">
              <w:rPr>
                <w:rFonts w:ascii="Arial" w:eastAsia="Times New Roman" w:hAnsi="Arial" w:cs="Arial"/>
                <w:color w:val="000000"/>
                <w:kern w:val="0"/>
                <w:lang w:eastAsia="en-GB"/>
                <w14:ligatures w14:val="none"/>
              </w:rPr>
              <w:t>W</w:t>
            </w:r>
            <w:r w:rsidR="009C461B">
              <w:rPr>
                <w:rFonts w:ascii="Arial" w:eastAsia="Times New Roman" w:hAnsi="Arial" w:cs="Arial"/>
                <w:color w:val="000000"/>
                <w:kern w:val="0"/>
                <w:lang w:eastAsia="en-GB"/>
                <w14:ligatures w14:val="none"/>
              </w:rPr>
              <w:t xml:space="preserve">int </w:t>
            </w:r>
            <w:r w:rsidRPr="0057517C">
              <w:rPr>
                <w:rFonts w:ascii="Arial" w:eastAsia="Times New Roman" w:hAnsi="Arial" w:cs="Arial"/>
                <w:color w:val="000000"/>
                <w:kern w:val="0"/>
                <w:lang w:eastAsia="en-GB"/>
                <w14:ligatures w14:val="none"/>
              </w:rPr>
              <w:t>C</w:t>
            </w:r>
            <w:r w:rsidR="009C461B">
              <w:rPr>
                <w:rFonts w:ascii="Arial" w:eastAsia="Times New Roman" w:hAnsi="Arial" w:cs="Arial"/>
                <w:color w:val="000000"/>
                <w:kern w:val="0"/>
                <w:lang w:eastAsia="en-GB"/>
                <w14:ligatures w14:val="none"/>
              </w:rPr>
              <w:t>ourt</w:t>
            </w:r>
            <w:r w:rsidRPr="0057517C">
              <w:rPr>
                <w:rFonts w:ascii="Arial" w:eastAsia="Times New Roman" w:hAnsi="Arial" w:cs="Arial"/>
                <w:color w:val="000000"/>
                <w:kern w:val="0"/>
                <w:lang w:eastAsia="en-GB"/>
                <w14:ligatures w14:val="none"/>
              </w:rPr>
              <w:t>, Derek Miller Court etc</w:t>
            </w:r>
            <w:r w:rsidR="009C461B">
              <w:rPr>
                <w:rFonts w:ascii="Arial" w:eastAsia="Times New Roman" w:hAnsi="Arial" w:cs="Arial"/>
                <w:color w:val="000000"/>
                <w:kern w:val="0"/>
                <w:lang w:eastAsia="en-GB"/>
                <w14:ligatures w14:val="none"/>
              </w:rPr>
              <w:t>.</w:t>
            </w:r>
            <w:r w:rsidRPr="0057517C">
              <w:rPr>
                <w:rFonts w:ascii="Arial" w:eastAsia="Times New Roman" w:hAnsi="Arial" w:cs="Arial"/>
                <w:color w:val="000000"/>
                <w:kern w:val="0"/>
                <w:lang w:eastAsia="en-GB"/>
                <w14:ligatures w14:val="none"/>
              </w:rPr>
              <w:t xml:space="preserve"> have tailored </w:t>
            </w:r>
            <w:r w:rsidR="007429C1" w:rsidRPr="0057517C">
              <w:rPr>
                <w:rFonts w:ascii="Arial" w:eastAsia="Times New Roman" w:hAnsi="Arial" w:cs="Arial"/>
                <w:color w:val="000000"/>
                <w:kern w:val="0"/>
                <w:lang w:eastAsia="en-GB"/>
                <w14:ligatures w14:val="none"/>
              </w:rPr>
              <w:t>sign-up</w:t>
            </w:r>
            <w:r w:rsidRPr="0057517C">
              <w:rPr>
                <w:rFonts w:ascii="Arial" w:eastAsia="Times New Roman" w:hAnsi="Arial" w:cs="Arial"/>
                <w:color w:val="000000"/>
                <w:kern w:val="0"/>
                <w:lang w:eastAsia="en-GB"/>
                <w14:ligatures w14:val="none"/>
              </w:rPr>
              <w:t xml:space="preserve"> information packs to reflect what service they receive which may be unique for that scheme</w:t>
            </w:r>
            <w:r w:rsidR="009C461B" w:rsidRPr="0057517C">
              <w:rPr>
                <w:rFonts w:ascii="Arial" w:eastAsia="Times New Roman" w:hAnsi="Arial" w:cs="Arial"/>
                <w:color w:val="000000"/>
                <w:kern w:val="0"/>
                <w:lang w:eastAsia="en-GB"/>
                <w14:ligatures w14:val="none"/>
              </w:rPr>
              <w:t xml:space="preserve">. </w:t>
            </w:r>
          </w:p>
          <w:p w14:paraId="6CC5663F" w14:textId="731051ED" w:rsidR="009C461B" w:rsidRPr="00826BFF" w:rsidRDefault="009C461B">
            <w:pPr>
              <w:rPr>
                <w:rFonts w:ascii="Arial" w:eastAsia="Times New Roman" w:hAnsi="Arial" w:cs="Arial"/>
                <w:color w:val="000000"/>
                <w:kern w:val="0"/>
                <w:lang w:eastAsia="en-GB"/>
                <w14:ligatures w14:val="none"/>
              </w:rPr>
            </w:pPr>
          </w:p>
        </w:tc>
      </w:tr>
      <w:tr w:rsidR="007A6E56" w:rsidRPr="00684CFF" w14:paraId="0ABEA8D6" w14:textId="77777777" w:rsidTr="001E1DCC">
        <w:tc>
          <w:tcPr>
            <w:tcW w:w="4508" w:type="dxa"/>
          </w:tcPr>
          <w:p w14:paraId="72078911" w14:textId="3CEE0213" w:rsidR="007A6E56" w:rsidRPr="0057517C" w:rsidRDefault="007A6E56">
            <w:pPr>
              <w:rPr>
                <w:rFonts w:ascii="Arial" w:hAnsi="Arial" w:cs="Arial"/>
              </w:rPr>
            </w:pPr>
            <w:r w:rsidRPr="0057517C">
              <w:rPr>
                <w:rFonts w:ascii="Arial" w:hAnsi="Arial" w:cs="Arial"/>
              </w:rPr>
              <w:t xml:space="preserve">Tenure type detail updated  </w:t>
            </w:r>
          </w:p>
        </w:tc>
        <w:tc>
          <w:tcPr>
            <w:tcW w:w="4508" w:type="dxa"/>
          </w:tcPr>
          <w:p w14:paraId="4C56D8D4" w14:textId="77777777" w:rsidR="0057517C" w:rsidRDefault="007A6E56" w:rsidP="0057517C">
            <w:pPr>
              <w:rPr>
                <w:rFonts w:ascii="Arial" w:hAnsi="Arial" w:cs="Arial"/>
              </w:rPr>
            </w:pPr>
            <w:r w:rsidRPr="0057517C">
              <w:rPr>
                <w:rFonts w:ascii="Arial" w:hAnsi="Arial" w:cs="Arial"/>
              </w:rPr>
              <w:t>Updated to reflect tenure types and wording updated to demoted tenancy wording so this is clear but more reader friendly.</w:t>
            </w:r>
          </w:p>
          <w:p w14:paraId="26223E59" w14:textId="70685007" w:rsidR="009C461B" w:rsidRPr="0057517C" w:rsidRDefault="009C461B" w:rsidP="0057517C">
            <w:pPr>
              <w:rPr>
                <w:rFonts w:ascii="Arial" w:hAnsi="Arial" w:cs="Arial"/>
              </w:rPr>
            </w:pPr>
          </w:p>
        </w:tc>
      </w:tr>
      <w:tr w:rsidR="00207580" w:rsidRPr="00684CFF" w14:paraId="003953D3" w14:textId="77777777" w:rsidTr="001E1DCC">
        <w:tc>
          <w:tcPr>
            <w:tcW w:w="4508" w:type="dxa"/>
          </w:tcPr>
          <w:p w14:paraId="3F8E2415" w14:textId="03677B1D" w:rsidR="00207580" w:rsidRPr="0057517C" w:rsidRDefault="00207580">
            <w:pPr>
              <w:rPr>
                <w:rFonts w:ascii="Arial" w:hAnsi="Arial" w:cs="Arial"/>
              </w:rPr>
            </w:pPr>
            <w:r>
              <w:rPr>
                <w:rFonts w:ascii="Arial" w:hAnsi="Arial" w:cs="Arial"/>
              </w:rPr>
              <w:t>Using your home as main home and second home section added</w:t>
            </w:r>
          </w:p>
        </w:tc>
        <w:tc>
          <w:tcPr>
            <w:tcW w:w="4508" w:type="dxa"/>
          </w:tcPr>
          <w:p w14:paraId="0AC6486B" w14:textId="77777777" w:rsidR="00207580" w:rsidRDefault="00207580" w:rsidP="0057517C">
            <w:pPr>
              <w:rPr>
                <w:rFonts w:ascii="Arial" w:hAnsi="Arial" w:cs="Arial"/>
              </w:rPr>
            </w:pPr>
            <w:r>
              <w:rPr>
                <w:rFonts w:ascii="Arial" w:hAnsi="Arial" w:cs="Arial"/>
              </w:rPr>
              <w:t xml:space="preserve">Wording updated specifically around the terms of the agreement </w:t>
            </w:r>
            <w:r w:rsidR="007B0571">
              <w:rPr>
                <w:rFonts w:ascii="Arial" w:hAnsi="Arial" w:cs="Arial"/>
              </w:rPr>
              <w:t>about</w:t>
            </w:r>
            <w:r>
              <w:rPr>
                <w:rFonts w:ascii="Arial" w:hAnsi="Arial" w:cs="Arial"/>
              </w:rPr>
              <w:t xml:space="preserve"> occupying the property and if </w:t>
            </w:r>
            <w:r w:rsidR="007B0571">
              <w:rPr>
                <w:rFonts w:ascii="Arial" w:hAnsi="Arial" w:cs="Arial"/>
              </w:rPr>
              <w:t>they</w:t>
            </w:r>
            <w:r>
              <w:rPr>
                <w:rFonts w:ascii="Arial" w:hAnsi="Arial" w:cs="Arial"/>
              </w:rPr>
              <w:t xml:space="preserve"> have a second home</w:t>
            </w:r>
            <w:r w:rsidR="009C461B">
              <w:rPr>
                <w:rFonts w:ascii="Arial" w:hAnsi="Arial" w:cs="Arial"/>
              </w:rPr>
              <w:t xml:space="preserve">. </w:t>
            </w:r>
            <w:r>
              <w:rPr>
                <w:rFonts w:ascii="Arial" w:hAnsi="Arial" w:cs="Arial"/>
              </w:rPr>
              <w:t xml:space="preserve">This ensure the tenancy agreement is clear that we can </w:t>
            </w:r>
            <w:r w:rsidR="007B0571">
              <w:rPr>
                <w:rFonts w:ascii="Arial" w:hAnsi="Arial" w:cs="Arial"/>
              </w:rPr>
              <w:t>act</w:t>
            </w:r>
            <w:r>
              <w:rPr>
                <w:rFonts w:ascii="Arial" w:hAnsi="Arial" w:cs="Arial"/>
              </w:rPr>
              <w:t xml:space="preserve"> should it be determined that the tenant is not occupying their home but also if they have more than one home.</w:t>
            </w:r>
          </w:p>
          <w:p w14:paraId="4B0B012F" w14:textId="740AD3E4" w:rsidR="009C461B" w:rsidRPr="0057517C" w:rsidRDefault="009C461B" w:rsidP="0057517C">
            <w:pPr>
              <w:rPr>
                <w:rFonts w:ascii="Arial" w:hAnsi="Arial" w:cs="Arial"/>
              </w:rPr>
            </w:pPr>
          </w:p>
        </w:tc>
      </w:tr>
      <w:tr w:rsidR="00207580" w:rsidRPr="00684CFF" w14:paraId="2A3AFB18" w14:textId="77777777" w:rsidTr="001E1DCC">
        <w:tc>
          <w:tcPr>
            <w:tcW w:w="4508" w:type="dxa"/>
          </w:tcPr>
          <w:p w14:paraId="4CA84913" w14:textId="3C8C270D" w:rsidR="00207580" w:rsidRDefault="00207580">
            <w:pPr>
              <w:rPr>
                <w:rFonts w:ascii="Arial" w:hAnsi="Arial" w:cs="Arial"/>
              </w:rPr>
            </w:pPr>
            <w:r>
              <w:rPr>
                <w:rFonts w:ascii="Arial" w:hAnsi="Arial" w:cs="Arial"/>
              </w:rPr>
              <w:t>Misrepresentation of information and tenancy fraud</w:t>
            </w:r>
          </w:p>
        </w:tc>
        <w:tc>
          <w:tcPr>
            <w:tcW w:w="4508" w:type="dxa"/>
          </w:tcPr>
          <w:p w14:paraId="01FF2804" w14:textId="7FED3FBC" w:rsidR="00564E56" w:rsidRPr="009C461B" w:rsidRDefault="00207580" w:rsidP="0057517C">
            <w:pPr>
              <w:rPr>
                <w:rFonts w:ascii="Arial" w:eastAsia="Times New Roman" w:hAnsi="Arial" w:cs="Arial"/>
                <w:color w:val="000000"/>
                <w:kern w:val="0"/>
                <w:lang w:eastAsia="en-GB"/>
                <w14:ligatures w14:val="none"/>
              </w:rPr>
            </w:pPr>
            <w:r w:rsidRPr="00564E56">
              <w:rPr>
                <w:rFonts w:ascii="Arial" w:eastAsia="Times New Roman" w:hAnsi="Arial" w:cs="Arial"/>
                <w:color w:val="000000"/>
                <w:kern w:val="0"/>
                <w:lang w:eastAsia="en-GB"/>
                <w14:ligatures w14:val="none"/>
              </w:rPr>
              <w:t>New section</w:t>
            </w:r>
            <w:r w:rsidR="00564E56" w:rsidRPr="00564E56">
              <w:rPr>
                <w:rFonts w:ascii="Arial" w:eastAsia="Times New Roman" w:hAnsi="Arial" w:cs="Arial"/>
                <w:color w:val="000000"/>
                <w:kern w:val="0"/>
                <w:lang w:eastAsia="en-GB"/>
                <w14:ligatures w14:val="none"/>
              </w:rPr>
              <w:t>s</w:t>
            </w:r>
            <w:r w:rsidRPr="00564E56">
              <w:rPr>
                <w:rFonts w:ascii="Arial" w:eastAsia="Times New Roman" w:hAnsi="Arial" w:cs="Arial"/>
                <w:color w:val="000000"/>
                <w:kern w:val="0"/>
                <w:lang w:eastAsia="en-GB"/>
                <w14:ligatures w14:val="none"/>
              </w:rPr>
              <w:t xml:space="preserve"> added relating to false statement or material change in circumstances before being housed and that the council may take further action.</w:t>
            </w:r>
          </w:p>
          <w:p w14:paraId="5F35D070" w14:textId="77777777" w:rsidR="00564E56" w:rsidRDefault="00564E56" w:rsidP="0057517C">
            <w:pPr>
              <w:rPr>
                <w:rFonts w:ascii="Arial" w:hAnsi="Arial" w:cs="Arial"/>
              </w:rPr>
            </w:pPr>
            <w:r w:rsidRPr="00564E56">
              <w:rPr>
                <w:rFonts w:ascii="Arial" w:hAnsi="Arial" w:cs="Arial"/>
              </w:rPr>
              <w:t>Tenancy Fraud Policy also captured to ensure action which can be taken is clearly in place should a tenant also commit fraud.</w:t>
            </w:r>
          </w:p>
          <w:p w14:paraId="6F083DE2" w14:textId="5423E3F6" w:rsidR="009C461B" w:rsidRDefault="009C461B" w:rsidP="0057517C">
            <w:pPr>
              <w:rPr>
                <w:rFonts w:ascii="Arial" w:hAnsi="Arial" w:cs="Arial"/>
              </w:rPr>
            </w:pPr>
          </w:p>
        </w:tc>
      </w:tr>
      <w:tr w:rsidR="002F7D4F" w:rsidRPr="00684CFF" w14:paraId="119D37EE" w14:textId="77777777" w:rsidTr="001E1DCC">
        <w:tc>
          <w:tcPr>
            <w:tcW w:w="4508" w:type="dxa"/>
          </w:tcPr>
          <w:p w14:paraId="52939801" w14:textId="407B671F" w:rsidR="002F7D4F" w:rsidRPr="0057517C" w:rsidRDefault="002F7D4F">
            <w:pPr>
              <w:rPr>
                <w:rFonts w:ascii="Arial" w:hAnsi="Arial" w:cs="Arial"/>
              </w:rPr>
            </w:pPr>
            <w:r w:rsidRPr="0057517C">
              <w:rPr>
                <w:rFonts w:ascii="Arial" w:hAnsi="Arial" w:cs="Arial"/>
              </w:rPr>
              <w:t xml:space="preserve">Rent charging period updated to </w:t>
            </w:r>
            <w:r w:rsidR="007429C1" w:rsidRPr="0057517C">
              <w:rPr>
                <w:rFonts w:ascii="Arial" w:hAnsi="Arial" w:cs="Arial"/>
              </w:rPr>
              <w:t>52/53-week</w:t>
            </w:r>
            <w:r w:rsidRPr="0057517C">
              <w:rPr>
                <w:rFonts w:ascii="Arial" w:hAnsi="Arial" w:cs="Arial"/>
              </w:rPr>
              <w:t xml:space="preserve"> wording</w:t>
            </w:r>
          </w:p>
        </w:tc>
        <w:tc>
          <w:tcPr>
            <w:tcW w:w="4508" w:type="dxa"/>
          </w:tcPr>
          <w:p w14:paraId="7BF2BC45" w14:textId="7F3E983D" w:rsidR="002F7D4F" w:rsidRPr="0057517C" w:rsidRDefault="002F7D4F">
            <w:pPr>
              <w:rPr>
                <w:rFonts w:ascii="Arial" w:hAnsi="Arial" w:cs="Arial"/>
              </w:rPr>
            </w:pPr>
            <w:r w:rsidRPr="0057517C">
              <w:rPr>
                <w:rFonts w:ascii="Arial" w:hAnsi="Arial" w:cs="Arial"/>
              </w:rPr>
              <w:t xml:space="preserve">CoLC are looking to progress </w:t>
            </w:r>
            <w:r w:rsidR="007429C1" w:rsidRPr="0057517C">
              <w:rPr>
                <w:rFonts w:ascii="Arial" w:hAnsi="Arial" w:cs="Arial"/>
              </w:rPr>
              <w:t>charging</w:t>
            </w:r>
            <w:r w:rsidRPr="0057517C">
              <w:rPr>
                <w:rFonts w:ascii="Arial" w:hAnsi="Arial" w:cs="Arial"/>
              </w:rPr>
              <w:t xml:space="preserve"> over each calendar week rather than spreading </w:t>
            </w:r>
            <w:r w:rsidRPr="0057517C">
              <w:rPr>
                <w:rFonts w:ascii="Arial" w:hAnsi="Arial" w:cs="Arial"/>
              </w:rPr>
              <w:lastRenderedPageBreak/>
              <w:t xml:space="preserve">the annual cost over 50 weeks. It is hoped this can be introduced next financial year subject to the consultation feedback. Charging every week helps with consistency and clarity of rent charging and the systems we follow. The FAQ’s information details that </w:t>
            </w:r>
            <w:r w:rsidR="007429C1" w:rsidRPr="0057517C">
              <w:rPr>
                <w:rFonts w:ascii="Arial" w:hAnsi="Arial" w:cs="Arial"/>
              </w:rPr>
              <w:t>tenants</w:t>
            </w:r>
            <w:r w:rsidRPr="0057517C">
              <w:rPr>
                <w:rFonts w:ascii="Arial" w:hAnsi="Arial" w:cs="Arial"/>
              </w:rPr>
              <w:t xml:space="preserve"> do not get rent free weeks the annual rent is currently just charged over 50 weeks rather than the full weeks of the year</w:t>
            </w:r>
            <w:r w:rsidR="009C461B" w:rsidRPr="0057517C">
              <w:rPr>
                <w:rFonts w:ascii="Arial" w:hAnsi="Arial" w:cs="Arial"/>
              </w:rPr>
              <w:t xml:space="preserve">. </w:t>
            </w:r>
          </w:p>
          <w:p w14:paraId="2CFC9B89" w14:textId="77777777" w:rsidR="00684CFF" w:rsidRDefault="007A6E56">
            <w:pPr>
              <w:rPr>
                <w:rFonts w:ascii="Arial" w:hAnsi="Arial" w:cs="Arial"/>
              </w:rPr>
            </w:pPr>
            <w:r w:rsidRPr="0057517C">
              <w:rPr>
                <w:rFonts w:ascii="Arial" w:hAnsi="Arial" w:cs="Arial"/>
              </w:rPr>
              <w:t>Wording around chargeable in advance is also captured within 3.9 to ensure it is clear to tenants that they are expected to pay their rent in advance.</w:t>
            </w:r>
          </w:p>
          <w:p w14:paraId="033B3642" w14:textId="6CD2FF4C" w:rsidR="009C461B" w:rsidRPr="0057517C" w:rsidRDefault="009C461B">
            <w:pPr>
              <w:rPr>
                <w:rFonts w:ascii="Arial" w:hAnsi="Arial" w:cs="Arial"/>
              </w:rPr>
            </w:pPr>
          </w:p>
        </w:tc>
      </w:tr>
      <w:tr w:rsidR="002F7D4F" w:rsidRPr="00684CFF" w14:paraId="21563AF9" w14:textId="77777777" w:rsidTr="001E1DCC">
        <w:tc>
          <w:tcPr>
            <w:tcW w:w="4508" w:type="dxa"/>
          </w:tcPr>
          <w:p w14:paraId="534678EE" w14:textId="26E3153C" w:rsidR="002F7D4F" w:rsidRPr="0057517C" w:rsidRDefault="002F7D4F">
            <w:pPr>
              <w:rPr>
                <w:rFonts w:ascii="Arial" w:hAnsi="Arial" w:cs="Arial"/>
              </w:rPr>
            </w:pPr>
            <w:r w:rsidRPr="0057517C">
              <w:rPr>
                <w:rFonts w:ascii="Arial" w:hAnsi="Arial" w:cs="Arial"/>
              </w:rPr>
              <w:lastRenderedPageBreak/>
              <w:t>Service charge wording captured in more detail within the agreement</w:t>
            </w:r>
          </w:p>
        </w:tc>
        <w:tc>
          <w:tcPr>
            <w:tcW w:w="4508" w:type="dxa"/>
          </w:tcPr>
          <w:p w14:paraId="5D80251F" w14:textId="77777777" w:rsidR="00684CFF" w:rsidRDefault="002F7D4F">
            <w:pPr>
              <w:rPr>
                <w:rFonts w:ascii="Arial" w:hAnsi="Arial" w:cs="Arial"/>
              </w:rPr>
            </w:pPr>
            <w:r w:rsidRPr="0057517C">
              <w:rPr>
                <w:rFonts w:ascii="Arial" w:hAnsi="Arial" w:cs="Arial"/>
              </w:rPr>
              <w:t>This offers extra clarity to the tenants if they are being charged a service charge, what this is made up of</w:t>
            </w:r>
            <w:r w:rsidR="009C461B" w:rsidRPr="0057517C">
              <w:rPr>
                <w:rFonts w:ascii="Arial" w:hAnsi="Arial" w:cs="Arial"/>
              </w:rPr>
              <w:t xml:space="preserve">. </w:t>
            </w:r>
            <w:r w:rsidR="001D18DD" w:rsidRPr="0057517C">
              <w:rPr>
                <w:rFonts w:ascii="Arial" w:hAnsi="Arial" w:cs="Arial"/>
              </w:rPr>
              <w:t>This is also</w:t>
            </w:r>
            <w:r w:rsidR="00684CFF" w:rsidRPr="0057517C">
              <w:rPr>
                <w:rFonts w:ascii="Arial" w:hAnsi="Arial" w:cs="Arial"/>
              </w:rPr>
              <w:t xml:space="preserve"> in keeping with the social housing regulators need for transparency.</w:t>
            </w:r>
            <w:r w:rsidR="001D18DD" w:rsidRPr="0057517C">
              <w:rPr>
                <w:rFonts w:ascii="Arial" w:hAnsi="Arial" w:cs="Arial"/>
              </w:rPr>
              <w:t xml:space="preserve"> </w:t>
            </w:r>
          </w:p>
          <w:p w14:paraId="519A23A4" w14:textId="47CDE055" w:rsidR="009C461B" w:rsidRPr="0057517C" w:rsidRDefault="009C461B">
            <w:pPr>
              <w:rPr>
                <w:rFonts w:ascii="Arial" w:hAnsi="Arial" w:cs="Arial"/>
              </w:rPr>
            </w:pPr>
          </w:p>
        </w:tc>
      </w:tr>
      <w:tr w:rsidR="00207580" w:rsidRPr="00684CFF" w14:paraId="5896EFE8" w14:textId="77777777" w:rsidTr="001E1DCC">
        <w:tc>
          <w:tcPr>
            <w:tcW w:w="4508" w:type="dxa"/>
          </w:tcPr>
          <w:p w14:paraId="38FAF3FE" w14:textId="6F173C3B" w:rsidR="00207580" w:rsidRPr="0057517C" w:rsidRDefault="00207580">
            <w:pPr>
              <w:rPr>
                <w:rFonts w:ascii="Arial" w:hAnsi="Arial" w:cs="Arial"/>
              </w:rPr>
            </w:pPr>
            <w:r>
              <w:rPr>
                <w:rFonts w:ascii="Arial" w:hAnsi="Arial" w:cs="Arial"/>
              </w:rPr>
              <w:t>Repairs information updated to reflect current service and responsibilities</w:t>
            </w:r>
          </w:p>
        </w:tc>
        <w:tc>
          <w:tcPr>
            <w:tcW w:w="4508" w:type="dxa"/>
          </w:tcPr>
          <w:p w14:paraId="1F2EE904" w14:textId="77777777" w:rsidR="00207580" w:rsidRDefault="00207580">
            <w:pPr>
              <w:rPr>
                <w:rFonts w:ascii="Arial" w:hAnsi="Arial" w:cs="Arial"/>
              </w:rPr>
            </w:pPr>
            <w:r>
              <w:rPr>
                <w:rFonts w:ascii="Arial" w:hAnsi="Arial" w:cs="Arial"/>
              </w:rPr>
              <w:t>Repairs and maintenance policy referenced and responsibilities for both tenant and landlord to ensure up to date with current service.</w:t>
            </w:r>
          </w:p>
          <w:p w14:paraId="0E6F22CE" w14:textId="48E0823A" w:rsidR="009C461B" w:rsidRPr="0057517C" w:rsidRDefault="009C461B">
            <w:pPr>
              <w:rPr>
                <w:rFonts w:ascii="Arial" w:hAnsi="Arial" w:cs="Arial"/>
              </w:rPr>
            </w:pPr>
          </w:p>
        </w:tc>
      </w:tr>
      <w:tr w:rsidR="002F7D4F" w:rsidRPr="00684CFF" w14:paraId="14C36C96" w14:textId="77777777" w:rsidTr="001E1DCC">
        <w:tc>
          <w:tcPr>
            <w:tcW w:w="4508" w:type="dxa"/>
          </w:tcPr>
          <w:p w14:paraId="262014BC" w14:textId="400193E7" w:rsidR="002F7D4F" w:rsidRPr="0057517C" w:rsidRDefault="002F7D4F">
            <w:pPr>
              <w:rPr>
                <w:rFonts w:ascii="Arial" w:hAnsi="Arial" w:cs="Arial"/>
              </w:rPr>
            </w:pPr>
            <w:r w:rsidRPr="0057517C">
              <w:rPr>
                <w:rFonts w:ascii="Arial" w:hAnsi="Arial" w:cs="Arial"/>
              </w:rPr>
              <w:t>Recharge wording updated to reduce interpretation</w:t>
            </w:r>
            <w:r w:rsidR="001D18DD" w:rsidRPr="0057517C">
              <w:rPr>
                <w:rFonts w:ascii="Arial" w:hAnsi="Arial" w:cs="Arial"/>
              </w:rPr>
              <w:t xml:space="preserve"> of what can be charged</w:t>
            </w:r>
            <w:r w:rsidR="009C461B" w:rsidRPr="0057517C">
              <w:rPr>
                <w:rFonts w:ascii="Arial" w:hAnsi="Arial" w:cs="Arial"/>
              </w:rPr>
              <w:t xml:space="preserve">. </w:t>
            </w:r>
          </w:p>
        </w:tc>
        <w:tc>
          <w:tcPr>
            <w:tcW w:w="4508" w:type="dxa"/>
          </w:tcPr>
          <w:p w14:paraId="41889873" w14:textId="77777777" w:rsidR="002F7D4F" w:rsidRDefault="002F7D4F">
            <w:pPr>
              <w:rPr>
                <w:rFonts w:ascii="Arial" w:hAnsi="Arial" w:cs="Arial"/>
              </w:rPr>
            </w:pPr>
            <w:r w:rsidRPr="0057517C">
              <w:rPr>
                <w:rFonts w:ascii="Arial" w:hAnsi="Arial" w:cs="Arial"/>
              </w:rPr>
              <w:t>This used to capture the word reasonable which could be open for challenge</w:t>
            </w:r>
            <w:r w:rsidR="009C461B" w:rsidRPr="0057517C">
              <w:rPr>
                <w:rFonts w:ascii="Arial" w:hAnsi="Arial" w:cs="Arial"/>
              </w:rPr>
              <w:t xml:space="preserve">. </w:t>
            </w:r>
            <w:r w:rsidRPr="0057517C">
              <w:rPr>
                <w:rFonts w:ascii="Arial" w:hAnsi="Arial" w:cs="Arial"/>
              </w:rPr>
              <w:t>This now captures the wording full costs will be recharged.</w:t>
            </w:r>
          </w:p>
          <w:p w14:paraId="37C8286B" w14:textId="1DF8341C" w:rsidR="009C461B" w:rsidRPr="0057517C" w:rsidRDefault="009C461B">
            <w:pPr>
              <w:rPr>
                <w:rFonts w:ascii="Arial" w:hAnsi="Arial" w:cs="Arial"/>
              </w:rPr>
            </w:pPr>
          </w:p>
        </w:tc>
      </w:tr>
      <w:tr w:rsidR="001E1DCC" w:rsidRPr="00684CFF" w14:paraId="2976A6A6" w14:textId="77777777" w:rsidTr="001E1DCC">
        <w:tc>
          <w:tcPr>
            <w:tcW w:w="4508" w:type="dxa"/>
          </w:tcPr>
          <w:p w14:paraId="54C3D85A" w14:textId="060A05C8" w:rsidR="000B6494" w:rsidRPr="0057517C" w:rsidRDefault="001E1DCC">
            <w:pPr>
              <w:rPr>
                <w:rFonts w:ascii="Arial" w:hAnsi="Arial" w:cs="Arial"/>
              </w:rPr>
            </w:pPr>
            <w:r w:rsidRPr="0057517C">
              <w:rPr>
                <w:rFonts w:ascii="Arial" w:hAnsi="Arial" w:cs="Arial"/>
              </w:rPr>
              <w:t>Extensive update to capture all current GDPR information</w:t>
            </w:r>
            <w:r w:rsidR="009C461B" w:rsidRPr="0057517C">
              <w:rPr>
                <w:rFonts w:ascii="Arial" w:hAnsi="Arial" w:cs="Arial"/>
              </w:rPr>
              <w:t xml:space="preserve">. </w:t>
            </w:r>
            <w:r w:rsidRPr="0057517C">
              <w:rPr>
                <w:rFonts w:ascii="Arial" w:hAnsi="Arial" w:cs="Arial"/>
              </w:rPr>
              <w:t xml:space="preserve">Section now included </w:t>
            </w:r>
            <w:r w:rsidR="000B6494" w:rsidRPr="0057517C">
              <w:rPr>
                <w:rFonts w:ascii="Arial" w:hAnsi="Arial" w:cs="Arial"/>
              </w:rPr>
              <w:t>under section 8 rather than as previously at the start within section 3.</w:t>
            </w:r>
          </w:p>
        </w:tc>
        <w:tc>
          <w:tcPr>
            <w:tcW w:w="4508" w:type="dxa"/>
          </w:tcPr>
          <w:p w14:paraId="6C8D8EF9" w14:textId="77777777" w:rsidR="001E1DCC" w:rsidRPr="0057517C" w:rsidRDefault="001E1DCC">
            <w:pPr>
              <w:rPr>
                <w:rFonts w:ascii="Arial" w:hAnsi="Arial" w:cs="Arial"/>
              </w:rPr>
            </w:pPr>
            <w:r w:rsidRPr="0057517C">
              <w:rPr>
                <w:rFonts w:ascii="Arial" w:hAnsi="Arial" w:cs="Arial"/>
              </w:rPr>
              <w:t>Ensure up to date with current GDPR</w:t>
            </w:r>
            <w:r w:rsidR="00667B05" w:rsidRPr="0057517C">
              <w:rPr>
                <w:rFonts w:ascii="Arial" w:hAnsi="Arial" w:cs="Arial"/>
              </w:rPr>
              <w:t xml:space="preserve"> following changes in 2018</w:t>
            </w:r>
            <w:r w:rsidRPr="0057517C">
              <w:rPr>
                <w:rFonts w:ascii="Arial" w:hAnsi="Arial" w:cs="Arial"/>
              </w:rPr>
              <w:t>.</w:t>
            </w:r>
          </w:p>
          <w:p w14:paraId="784FD3A0" w14:textId="7AA3D233" w:rsidR="00667B05" w:rsidRPr="0057517C" w:rsidRDefault="00667B05">
            <w:pPr>
              <w:rPr>
                <w:rFonts w:ascii="Arial" w:hAnsi="Arial" w:cs="Arial"/>
              </w:rPr>
            </w:pPr>
          </w:p>
        </w:tc>
      </w:tr>
      <w:tr w:rsidR="001E1DCC" w:rsidRPr="00684CFF" w14:paraId="027B146C" w14:textId="77777777" w:rsidTr="001E1DCC">
        <w:tc>
          <w:tcPr>
            <w:tcW w:w="4508" w:type="dxa"/>
          </w:tcPr>
          <w:p w14:paraId="47E3FC28" w14:textId="68FF22D0" w:rsidR="001E1DCC" w:rsidRPr="0057517C" w:rsidRDefault="001E1DCC">
            <w:pPr>
              <w:rPr>
                <w:rFonts w:ascii="Arial" w:hAnsi="Arial" w:cs="Arial"/>
              </w:rPr>
            </w:pPr>
            <w:r w:rsidRPr="0057517C">
              <w:rPr>
                <w:rFonts w:ascii="Arial" w:hAnsi="Arial" w:cs="Arial"/>
              </w:rPr>
              <w:t>Policies referenced in the tenancy agreement</w:t>
            </w:r>
          </w:p>
        </w:tc>
        <w:tc>
          <w:tcPr>
            <w:tcW w:w="4508" w:type="dxa"/>
          </w:tcPr>
          <w:p w14:paraId="1E083F91" w14:textId="77777777" w:rsidR="0057517C" w:rsidRDefault="001E1DCC" w:rsidP="00826BFF">
            <w:pPr>
              <w:rPr>
                <w:rFonts w:ascii="Arial" w:hAnsi="Arial" w:cs="Arial"/>
              </w:rPr>
            </w:pPr>
            <w:r w:rsidRPr="0057517C">
              <w:rPr>
                <w:rFonts w:ascii="Arial" w:hAnsi="Arial" w:cs="Arial"/>
              </w:rPr>
              <w:t>This ensures that the reference to the existing policies ensures that the Tenancy Agreement remains current and up to date</w:t>
            </w:r>
            <w:r w:rsidR="009C461B" w:rsidRPr="0057517C">
              <w:rPr>
                <w:rFonts w:ascii="Arial" w:hAnsi="Arial" w:cs="Arial"/>
              </w:rPr>
              <w:t xml:space="preserve">. </w:t>
            </w:r>
            <w:r w:rsidRPr="0057517C">
              <w:rPr>
                <w:rFonts w:ascii="Arial" w:hAnsi="Arial" w:cs="Arial"/>
              </w:rPr>
              <w:t xml:space="preserve">For </w:t>
            </w:r>
            <w:r w:rsidR="007429C1" w:rsidRPr="0057517C">
              <w:rPr>
                <w:rFonts w:ascii="Arial" w:hAnsi="Arial" w:cs="Arial"/>
              </w:rPr>
              <w:t>example,</w:t>
            </w:r>
            <w:r w:rsidRPr="0057517C">
              <w:rPr>
                <w:rFonts w:ascii="Arial" w:hAnsi="Arial" w:cs="Arial"/>
              </w:rPr>
              <w:t xml:space="preserve"> when a policy is updated as part of its review this updates the service being delivered and in turn the operational detail is not needed fully in the tenancy agreement</w:t>
            </w:r>
            <w:r w:rsidR="009C461B" w:rsidRPr="0057517C">
              <w:rPr>
                <w:rFonts w:ascii="Arial" w:hAnsi="Arial" w:cs="Arial"/>
              </w:rPr>
              <w:t xml:space="preserve">. </w:t>
            </w:r>
          </w:p>
          <w:p w14:paraId="104D59CF" w14:textId="4A184E3E" w:rsidR="009C461B" w:rsidRPr="0057517C" w:rsidRDefault="009C461B" w:rsidP="00826BFF">
            <w:pPr>
              <w:rPr>
                <w:rFonts w:ascii="Arial" w:hAnsi="Arial" w:cs="Arial"/>
              </w:rPr>
            </w:pPr>
          </w:p>
        </w:tc>
      </w:tr>
      <w:tr w:rsidR="001E1DCC" w:rsidRPr="00684CFF" w14:paraId="0FAEF13C" w14:textId="77777777" w:rsidTr="001E1DCC">
        <w:tc>
          <w:tcPr>
            <w:tcW w:w="4508" w:type="dxa"/>
          </w:tcPr>
          <w:p w14:paraId="46CB2BE1" w14:textId="604DF9B1" w:rsidR="001E1DCC" w:rsidRPr="0057517C" w:rsidRDefault="007B3D17">
            <w:pPr>
              <w:rPr>
                <w:rFonts w:ascii="Arial" w:hAnsi="Arial" w:cs="Arial"/>
              </w:rPr>
            </w:pPr>
            <w:r w:rsidRPr="0057517C">
              <w:rPr>
                <w:rFonts w:ascii="Arial" w:hAnsi="Arial" w:cs="Arial"/>
              </w:rPr>
              <w:t xml:space="preserve">Extra wording added in </w:t>
            </w:r>
            <w:r w:rsidR="007429C1" w:rsidRPr="0057517C">
              <w:rPr>
                <w:rFonts w:ascii="Arial" w:hAnsi="Arial" w:cs="Arial"/>
              </w:rPr>
              <w:t>regarding</w:t>
            </w:r>
            <w:r w:rsidRPr="0057517C">
              <w:rPr>
                <w:rFonts w:ascii="Arial" w:hAnsi="Arial" w:cs="Arial"/>
              </w:rPr>
              <w:t xml:space="preserve"> unlawful use of your home (section 6) and security and safety of equipment.</w:t>
            </w:r>
          </w:p>
        </w:tc>
        <w:tc>
          <w:tcPr>
            <w:tcW w:w="4508" w:type="dxa"/>
          </w:tcPr>
          <w:p w14:paraId="66B3374F" w14:textId="77777777" w:rsidR="0057517C" w:rsidRDefault="007B3D17">
            <w:pPr>
              <w:rPr>
                <w:rFonts w:ascii="Arial" w:hAnsi="Arial" w:cs="Arial"/>
              </w:rPr>
            </w:pPr>
            <w:r w:rsidRPr="0057517C">
              <w:rPr>
                <w:rFonts w:ascii="Arial" w:hAnsi="Arial" w:cs="Arial"/>
              </w:rPr>
              <w:t xml:space="preserve">This includes updates and references to items not to take place in the home e.g. storing or creating explosive devises, prostitution, weapons, fire doors and requiring </w:t>
            </w:r>
            <w:r w:rsidR="007429C1" w:rsidRPr="0057517C">
              <w:rPr>
                <w:rFonts w:ascii="Arial" w:hAnsi="Arial" w:cs="Arial"/>
              </w:rPr>
              <w:t>remaining</w:t>
            </w:r>
            <w:r w:rsidRPr="0057517C">
              <w:rPr>
                <w:rFonts w:ascii="Arial" w:hAnsi="Arial" w:cs="Arial"/>
              </w:rPr>
              <w:t xml:space="preserve"> shut/not tampered with</w:t>
            </w:r>
            <w:r w:rsidR="009C461B" w:rsidRPr="0057517C">
              <w:rPr>
                <w:rFonts w:ascii="Arial" w:hAnsi="Arial" w:cs="Arial"/>
              </w:rPr>
              <w:t xml:space="preserve">. </w:t>
            </w:r>
            <w:r w:rsidRPr="0057517C">
              <w:rPr>
                <w:rFonts w:ascii="Arial" w:hAnsi="Arial" w:cs="Arial"/>
              </w:rPr>
              <w:t xml:space="preserve">This update captures extra details following events over the years which in turn then if a tenant is found to be in breach easier to </w:t>
            </w:r>
            <w:r w:rsidRPr="0057517C">
              <w:rPr>
                <w:rFonts w:ascii="Arial" w:hAnsi="Arial" w:cs="Arial"/>
              </w:rPr>
              <w:lastRenderedPageBreak/>
              <w:t xml:space="preserve">progress via enforcement and possession depending on severity and less interpretable on what we </w:t>
            </w:r>
            <w:r w:rsidR="007429C1" w:rsidRPr="0057517C">
              <w:rPr>
                <w:rFonts w:ascii="Arial" w:hAnsi="Arial" w:cs="Arial"/>
              </w:rPr>
              <w:t>expect,</w:t>
            </w:r>
            <w:r w:rsidRPr="0057517C">
              <w:rPr>
                <w:rFonts w:ascii="Arial" w:hAnsi="Arial" w:cs="Arial"/>
              </w:rPr>
              <w:t xml:space="preserve"> and they have signed up to if they challenge our enforcement. </w:t>
            </w:r>
          </w:p>
          <w:p w14:paraId="7B5F3CDD" w14:textId="0A51A8AC" w:rsidR="009C461B" w:rsidRPr="0057517C" w:rsidRDefault="009C461B">
            <w:pPr>
              <w:rPr>
                <w:rFonts w:ascii="Arial" w:hAnsi="Arial" w:cs="Arial"/>
              </w:rPr>
            </w:pPr>
          </w:p>
        </w:tc>
      </w:tr>
      <w:tr w:rsidR="007B3D17" w:rsidRPr="00684CFF" w14:paraId="2CB41A12" w14:textId="77777777" w:rsidTr="001E1DCC">
        <w:tc>
          <w:tcPr>
            <w:tcW w:w="4508" w:type="dxa"/>
          </w:tcPr>
          <w:p w14:paraId="1F83B09F" w14:textId="4EC99DD7" w:rsidR="007B3D17" w:rsidRPr="0057517C" w:rsidRDefault="007B3D17">
            <w:pPr>
              <w:rPr>
                <w:rFonts w:ascii="Arial" w:hAnsi="Arial" w:cs="Arial"/>
              </w:rPr>
            </w:pPr>
            <w:r w:rsidRPr="0057517C">
              <w:rPr>
                <w:rFonts w:ascii="Arial" w:eastAsia="Times New Roman" w:hAnsi="Arial" w:cs="Arial"/>
                <w:color w:val="000000"/>
                <w:kern w:val="0"/>
                <w:lang w:eastAsia="en-GB"/>
                <w14:ligatures w14:val="none"/>
              </w:rPr>
              <w:lastRenderedPageBreak/>
              <w:t>Pets, Medical Assistance Dogs and Emotional Support animals – updated wording to reflect new policy</w:t>
            </w:r>
          </w:p>
        </w:tc>
        <w:tc>
          <w:tcPr>
            <w:tcW w:w="4508" w:type="dxa"/>
          </w:tcPr>
          <w:p w14:paraId="28C600A6" w14:textId="77777777" w:rsidR="0057517C" w:rsidRDefault="007B3D17">
            <w:pPr>
              <w:rPr>
                <w:rFonts w:ascii="Arial" w:hAnsi="Arial" w:cs="Arial"/>
              </w:rPr>
            </w:pPr>
            <w:r w:rsidRPr="0057517C">
              <w:rPr>
                <w:rFonts w:ascii="Arial" w:hAnsi="Arial" w:cs="Arial"/>
              </w:rPr>
              <w:t xml:space="preserve">References to pets updated and the new policy as we are conscious how important pets are to our tenants, but as a landlord we also need to manage expectations </w:t>
            </w:r>
            <w:r w:rsidR="007429C1" w:rsidRPr="0057517C">
              <w:rPr>
                <w:rFonts w:ascii="Arial" w:hAnsi="Arial" w:cs="Arial"/>
              </w:rPr>
              <w:t>regarding</w:t>
            </w:r>
            <w:r w:rsidRPr="0057517C">
              <w:rPr>
                <w:rFonts w:ascii="Arial" w:hAnsi="Arial" w:cs="Arial"/>
              </w:rPr>
              <w:t xml:space="preserve"> the operational element of this.</w:t>
            </w:r>
          </w:p>
          <w:p w14:paraId="1A1B846D" w14:textId="0893886F" w:rsidR="007F0F7A" w:rsidRPr="0057517C" w:rsidRDefault="007F0F7A">
            <w:pPr>
              <w:rPr>
                <w:rFonts w:ascii="Arial" w:hAnsi="Arial" w:cs="Arial"/>
              </w:rPr>
            </w:pPr>
          </w:p>
        </w:tc>
      </w:tr>
      <w:tr w:rsidR="000B6494" w:rsidRPr="00684CFF" w14:paraId="1AAF582E" w14:textId="77777777" w:rsidTr="001E1DCC">
        <w:tc>
          <w:tcPr>
            <w:tcW w:w="4508" w:type="dxa"/>
          </w:tcPr>
          <w:p w14:paraId="0BD09C5E" w14:textId="0A732AB7" w:rsidR="000B6494" w:rsidRPr="0057517C" w:rsidRDefault="000B6494">
            <w:pPr>
              <w:rPr>
                <w:rFonts w:ascii="Arial" w:eastAsia="Times New Roman" w:hAnsi="Arial" w:cs="Arial"/>
                <w:color w:val="000000"/>
                <w:kern w:val="0"/>
                <w:lang w:eastAsia="en-GB"/>
                <w14:ligatures w14:val="none"/>
              </w:rPr>
            </w:pPr>
            <w:r w:rsidRPr="0057517C">
              <w:rPr>
                <w:rFonts w:ascii="Arial" w:eastAsia="Times New Roman" w:hAnsi="Arial" w:cs="Arial"/>
                <w:color w:val="000000"/>
                <w:kern w:val="0"/>
                <w:lang w:eastAsia="en-GB"/>
                <w14:ligatures w14:val="none"/>
              </w:rPr>
              <w:t>Allowing us to enter your home updated</w:t>
            </w:r>
          </w:p>
        </w:tc>
        <w:tc>
          <w:tcPr>
            <w:tcW w:w="4508" w:type="dxa"/>
          </w:tcPr>
          <w:p w14:paraId="3112BFE7" w14:textId="77777777" w:rsidR="000B6494" w:rsidRDefault="000B6494">
            <w:pPr>
              <w:rPr>
                <w:rFonts w:ascii="Arial" w:hAnsi="Arial" w:cs="Arial"/>
              </w:rPr>
            </w:pPr>
            <w:r w:rsidRPr="0057517C">
              <w:rPr>
                <w:rFonts w:ascii="Arial" w:hAnsi="Arial" w:cs="Arial"/>
              </w:rPr>
              <w:t>This now captures carry out regular tenancy visits as required by the regulator</w:t>
            </w:r>
            <w:r w:rsidR="009C461B" w:rsidRPr="0057517C">
              <w:rPr>
                <w:rFonts w:ascii="Arial" w:hAnsi="Arial" w:cs="Arial"/>
              </w:rPr>
              <w:t xml:space="preserve">. </w:t>
            </w:r>
            <w:r w:rsidRPr="0057517C">
              <w:rPr>
                <w:rFonts w:ascii="Arial" w:hAnsi="Arial" w:cs="Arial"/>
              </w:rPr>
              <w:t>This is to try and help the council gain access for profiling and understanding our tenants needs</w:t>
            </w:r>
            <w:r w:rsidR="009C461B" w:rsidRPr="0057517C">
              <w:rPr>
                <w:rFonts w:ascii="Arial" w:hAnsi="Arial" w:cs="Arial"/>
              </w:rPr>
              <w:t xml:space="preserve">. </w:t>
            </w:r>
            <w:r w:rsidRPr="0057517C">
              <w:rPr>
                <w:rFonts w:ascii="Arial" w:hAnsi="Arial" w:cs="Arial"/>
              </w:rPr>
              <w:t xml:space="preserve">By capturing this update to the tenancy </w:t>
            </w:r>
            <w:r w:rsidR="007429C1" w:rsidRPr="0057517C">
              <w:rPr>
                <w:rFonts w:ascii="Arial" w:hAnsi="Arial" w:cs="Arial"/>
              </w:rPr>
              <w:t>agreement,</w:t>
            </w:r>
            <w:r w:rsidRPr="0057517C">
              <w:rPr>
                <w:rFonts w:ascii="Arial" w:hAnsi="Arial" w:cs="Arial"/>
              </w:rPr>
              <w:t xml:space="preserve"> it ensures </w:t>
            </w:r>
            <w:r w:rsidR="007B0571" w:rsidRPr="0057517C">
              <w:rPr>
                <w:rFonts w:ascii="Arial" w:hAnsi="Arial" w:cs="Arial"/>
              </w:rPr>
              <w:t>access</w:t>
            </w:r>
            <w:r w:rsidRPr="0057517C">
              <w:rPr>
                <w:rFonts w:ascii="Arial" w:hAnsi="Arial" w:cs="Arial"/>
              </w:rPr>
              <w:t xml:space="preserve"> should be provided upon request.</w:t>
            </w:r>
          </w:p>
          <w:p w14:paraId="5D0B6F07" w14:textId="2802AC73" w:rsidR="009C461B" w:rsidRPr="0057517C" w:rsidRDefault="009C461B">
            <w:pPr>
              <w:rPr>
                <w:rFonts w:ascii="Arial" w:hAnsi="Arial" w:cs="Arial"/>
              </w:rPr>
            </w:pPr>
          </w:p>
        </w:tc>
      </w:tr>
      <w:tr w:rsidR="000B6494" w:rsidRPr="00684CFF" w14:paraId="1D40AB12" w14:textId="77777777" w:rsidTr="001E1DCC">
        <w:tc>
          <w:tcPr>
            <w:tcW w:w="4508" w:type="dxa"/>
          </w:tcPr>
          <w:p w14:paraId="485A9713" w14:textId="2AC9DC27" w:rsidR="000B6494" w:rsidRPr="0057517C" w:rsidRDefault="000B6494">
            <w:pPr>
              <w:rPr>
                <w:rFonts w:ascii="Arial" w:eastAsia="Times New Roman" w:hAnsi="Arial" w:cs="Arial"/>
                <w:color w:val="000000"/>
                <w:kern w:val="0"/>
                <w:lang w:eastAsia="en-GB"/>
                <w14:ligatures w14:val="none"/>
              </w:rPr>
            </w:pPr>
            <w:r w:rsidRPr="0057517C">
              <w:rPr>
                <w:rFonts w:ascii="Arial" w:eastAsia="Times New Roman" w:hAnsi="Arial" w:cs="Arial"/>
                <w:color w:val="000000"/>
                <w:kern w:val="0"/>
                <w:lang w:eastAsia="en-GB"/>
                <w14:ligatures w14:val="none"/>
              </w:rPr>
              <w:t>Table of meaning of words</w:t>
            </w:r>
            <w:r w:rsidR="0057517C" w:rsidRPr="0057517C">
              <w:rPr>
                <w:rFonts w:ascii="Arial" w:eastAsia="Times New Roman" w:hAnsi="Arial" w:cs="Arial"/>
                <w:color w:val="000000"/>
                <w:kern w:val="0"/>
                <w:lang w:eastAsia="en-GB"/>
                <w14:ligatures w14:val="none"/>
              </w:rPr>
              <w:t xml:space="preserve"> (section 10 previously section 1)</w:t>
            </w:r>
          </w:p>
        </w:tc>
        <w:tc>
          <w:tcPr>
            <w:tcW w:w="4508" w:type="dxa"/>
          </w:tcPr>
          <w:p w14:paraId="672B17EC" w14:textId="77777777" w:rsidR="000B6494" w:rsidRDefault="000B6494">
            <w:pPr>
              <w:rPr>
                <w:rFonts w:ascii="Arial" w:hAnsi="Arial" w:cs="Arial"/>
              </w:rPr>
            </w:pPr>
            <w:r w:rsidRPr="0057517C">
              <w:rPr>
                <w:rFonts w:ascii="Arial" w:hAnsi="Arial" w:cs="Arial"/>
              </w:rPr>
              <w:t xml:space="preserve">Moved to the end of the tenancy agreement rather than the start and updated to make this more reader friendly to understand. </w:t>
            </w:r>
          </w:p>
          <w:p w14:paraId="56628978" w14:textId="6DC09DE0" w:rsidR="00826BFF" w:rsidRPr="0057517C" w:rsidRDefault="00826BFF">
            <w:pPr>
              <w:rPr>
                <w:rFonts w:ascii="Arial" w:hAnsi="Arial" w:cs="Arial"/>
              </w:rPr>
            </w:pPr>
          </w:p>
        </w:tc>
      </w:tr>
    </w:tbl>
    <w:p w14:paraId="764816D9" w14:textId="77777777" w:rsidR="001E1DCC" w:rsidRPr="00684CFF" w:rsidRDefault="001E1DCC">
      <w:pPr>
        <w:rPr>
          <w:rFonts w:ascii="Arial" w:hAnsi="Arial" w:cs="Arial"/>
        </w:rPr>
      </w:pPr>
    </w:p>
    <w:sectPr w:rsidR="001E1DCC" w:rsidRPr="00684CFF" w:rsidSect="00D90638">
      <w:headerReference w:type="default" r:id="rId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A837" w14:textId="77777777" w:rsidR="000B6494" w:rsidRDefault="000B6494" w:rsidP="000B6494">
      <w:pPr>
        <w:spacing w:after="0" w:line="240" w:lineRule="auto"/>
      </w:pPr>
      <w:r>
        <w:separator/>
      </w:r>
    </w:p>
  </w:endnote>
  <w:endnote w:type="continuationSeparator" w:id="0">
    <w:p w14:paraId="3C64B136" w14:textId="77777777" w:rsidR="000B6494" w:rsidRDefault="000B6494" w:rsidP="000B6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1E9D" w14:textId="77777777" w:rsidR="000B6494" w:rsidRDefault="000B6494" w:rsidP="000B6494">
      <w:pPr>
        <w:spacing w:after="0" w:line="240" w:lineRule="auto"/>
      </w:pPr>
      <w:r>
        <w:separator/>
      </w:r>
    </w:p>
  </w:footnote>
  <w:footnote w:type="continuationSeparator" w:id="0">
    <w:p w14:paraId="56D5D134" w14:textId="77777777" w:rsidR="000B6494" w:rsidRDefault="000B6494" w:rsidP="000B6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64F3" w14:textId="083EBCA3" w:rsidR="00826BFF" w:rsidRDefault="00826BFF" w:rsidP="00826BFF">
    <w:pPr>
      <w:pStyle w:val="Header"/>
      <w:jc w:val="center"/>
    </w:pPr>
    <w:r>
      <w:rPr>
        <w:noProof/>
      </w:rPr>
      <w:drawing>
        <wp:inline distT="0" distB="0" distL="0" distR="0" wp14:anchorId="509E3AB9" wp14:editId="774E0C67">
          <wp:extent cx="2162175" cy="695325"/>
          <wp:effectExtent l="0" t="0" r="9525" b="9525"/>
          <wp:docPr id="989941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ED"/>
    <w:rsid w:val="000B6494"/>
    <w:rsid w:val="000F094E"/>
    <w:rsid w:val="0016425D"/>
    <w:rsid w:val="001D18DD"/>
    <w:rsid w:val="001E1DCC"/>
    <w:rsid w:val="00207580"/>
    <w:rsid w:val="002D5490"/>
    <w:rsid w:val="002F7D4F"/>
    <w:rsid w:val="005365ED"/>
    <w:rsid w:val="00564E56"/>
    <w:rsid w:val="0057517C"/>
    <w:rsid w:val="0059269C"/>
    <w:rsid w:val="00627692"/>
    <w:rsid w:val="00667B05"/>
    <w:rsid w:val="00684CFF"/>
    <w:rsid w:val="006A505F"/>
    <w:rsid w:val="007429C1"/>
    <w:rsid w:val="0077647B"/>
    <w:rsid w:val="007A6D97"/>
    <w:rsid w:val="007A6E56"/>
    <w:rsid w:val="007B0571"/>
    <w:rsid w:val="007B3D17"/>
    <w:rsid w:val="007F0F7A"/>
    <w:rsid w:val="00817A5C"/>
    <w:rsid w:val="00826BFF"/>
    <w:rsid w:val="009621DC"/>
    <w:rsid w:val="009C461B"/>
    <w:rsid w:val="00C042B5"/>
    <w:rsid w:val="00CB4F8D"/>
    <w:rsid w:val="00D515A6"/>
    <w:rsid w:val="00D56F59"/>
    <w:rsid w:val="00D90638"/>
    <w:rsid w:val="00DB1206"/>
    <w:rsid w:val="00F44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6D73D4"/>
  <w15:chartTrackingRefBased/>
  <w15:docId w15:val="{88CFB165-278B-49F4-9C3F-8E277048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5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5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5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5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5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5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5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5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5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5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5ED"/>
    <w:rPr>
      <w:rFonts w:eastAsiaTheme="majorEastAsia" w:cstheme="majorBidi"/>
      <w:color w:val="272727" w:themeColor="text1" w:themeTint="D8"/>
    </w:rPr>
  </w:style>
  <w:style w:type="paragraph" w:styleId="Title">
    <w:name w:val="Title"/>
    <w:basedOn w:val="Normal"/>
    <w:next w:val="Normal"/>
    <w:link w:val="TitleChar"/>
    <w:uiPriority w:val="10"/>
    <w:qFormat/>
    <w:rsid w:val="00536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5ED"/>
    <w:pPr>
      <w:spacing w:before="160"/>
      <w:jc w:val="center"/>
    </w:pPr>
    <w:rPr>
      <w:i/>
      <w:iCs/>
      <w:color w:val="404040" w:themeColor="text1" w:themeTint="BF"/>
    </w:rPr>
  </w:style>
  <w:style w:type="character" w:customStyle="1" w:styleId="QuoteChar">
    <w:name w:val="Quote Char"/>
    <w:basedOn w:val="DefaultParagraphFont"/>
    <w:link w:val="Quote"/>
    <w:uiPriority w:val="29"/>
    <w:rsid w:val="005365ED"/>
    <w:rPr>
      <w:i/>
      <w:iCs/>
      <w:color w:val="404040" w:themeColor="text1" w:themeTint="BF"/>
    </w:rPr>
  </w:style>
  <w:style w:type="paragraph" w:styleId="ListParagraph">
    <w:name w:val="List Paragraph"/>
    <w:basedOn w:val="Normal"/>
    <w:uiPriority w:val="34"/>
    <w:qFormat/>
    <w:rsid w:val="005365ED"/>
    <w:pPr>
      <w:ind w:left="720"/>
      <w:contextualSpacing/>
    </w:pPr>
  </w:style>
  <w:style w:type="character" w:styleId="IntenseEmphasis">
    <w:name w:val="Intense Emphasis"/>
    <w:basedOn w:val="DefaultParagraphFont"/>
    <w:uiPriority w:val="21"/>
    <w:qFormat/>
    <w:rsid w:val="005365ED"/>
    <w:rPr>
      <w:i/>
      <w:iCs/>
      <w:color w:val="2F5496" w:themeColor="accent1" w:themeShade="BF"/>
    </w:rPr>
  </w:style>
  <w:style w:type="paragraph" w:styleId="IntenseQuote">
    <w:name w:val="Intense Quote"/>
    <w:basedOn w:val="Normal"/>
    <w:next w:val="Normal"/>
    <w:link w:val="IntenseQuoteChar"/>
    <w:uiPriority w:val="30"/>
    <w:qFormat/>
    <w:rsid w:val="00536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5ED"/>
    <w:rPr>
      <w:i/>
      <w:iCs/>
      <w:color w:val="2F5496" w:themeColor="accent1" w:themeShade="BF"/>
    </w:rPr>
  </w:style>
  <w:style w:type="character" w:styleId="IntenseReference">
    <w:name w:val="Intense Reference"/>
    <w:basedOn w:val="DefaultParagraphFont"/>
    <w:uiPriority w:val="32"/>
    <w:qFormat/>
    <w:rsid w:val="005365ED"/>
    <w:rPr>
      <w:b/>
      <w:bCs/>
      <w:smallCaps/>
      <w:color w:val="2F5496" w:themeColor="accent1" w:themeShade="BF"/>
      <w:spacing w:val="5"/>
    </w:rPr>
  </w:style>
  <w:style w:type="table" w:styleId="TableGrid">
    <w:name w:val="Table Grid"/>
    <w:basedOn w:val="TableNormal"/>
    <w:uiPriority w:val="39"/>
    <w:rsid w:val="001E1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494"/>
  </w:style>
  <w:style w:type="paragraph" w:styleId="Footer">
    <w:name w:val="footer"/>
    <w:basedOn w:val="Normal"/>
    <w:link w:val="FooterChar"/>
    <w:uiPriority w:val="99"/>
    <w:unhideWhenUsed/>
    <w:rsid w:val="000B6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Ripley</dc:creator>
  <cp:keywords/>
  <dc:description/>
  <cp:lastModifiedBy>Andrea Ripley</cp:lastModifiedBy>
  <cp:revision>3</cp:revision>
  <dcterms:created xsi:type="dcterms:W3CDTF">2025-07-24T13:27:00Z</dcterms:created>
  <dcterms:modified xsi:type="dcterms:W3CDTF">2025-07-25T13:23:00Z</dcterms:modified>
</cp:coreProperties>
</file>