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872A4" w14:textId="77777777" w:rsidR="00003E16" w:rsidRDefault="00003E16" w:rsidP="007005F2">
      <w:pPr>
        <w:pStyle w:val="Heading1"/>
        <w:tabs>
          <w:tab w:val="left" w:pos="360"/>
          <w:tab w:val="right" w:pos="8660"/>
        </w:tabs>
        <w:ind w:left="-284"/>
      </w:pPr>
    </w:p>
    <w:p w14:paraId="1AFFB0E3" w14:textId="40802857" w:rsidR="00384776" w:rsidRDefault="007005F2" w:rsidP="007005F2">
      <w:pPr>
        <w:pStyle w:val="Heading1"/>
        <w:tabs>
          <w:tab w:val="left" w:pos="360"/>
          <w:tab w:val="right" w:pos="8660"/>
        </w:tabs>
        <w:ind w:left="-284"/>
      </w:pPr>
      <w:r>
        <w:rPr>
          <w:noProof/>
        </w:rPr>
        <mc:AlternateContent>
          <mc:Choice Requires="wpg">
            <w:drawing>
              <wp:anchor distT="0" distB="0" distL="114300" distR="114300" simplePos="0" relativeHeight="251658241" behindDoc="1" locked="0" layoutInCell="1" allowOverlap="1" wp14:anchorId="57FB3A7C" wp14:editId="4319026F">
                <wp:simplePos x="0" y="0"/>
                <wp:positionH relativeFrom="page">
                  <wp:posOffset>-380637</wp:posOffset>
                </wp:positionH>
                <wp:positionV relativeFrom="paragraph">
                  <wp:posOffset>-1183187</wp:posOffset>
                </wp:positionV>
                <wp:extent cx="8031480" cy="11023600"/>
                <wp:effectExtent l="0" t="0" r="7620" b="6350"/>
                <wp:wrapNone/>
                <wp:docPr id="1863919334" name="Group 1863919334"/>
                <wp:cNvGraphicFramePr/>
                <a:graphic xmlns:a="http://schemas.openxmlformats.org/drawingml/2006/main">
                  <a:graphicData uri="http://schemas.microsoft.com/office/word/2010/wordprocessingGroup">
                    <wpg:wgp>
                      <wpg:cNvGrpSpPr/>
                      <wpg:grpSpPr>
                        <a:xfrm>
                          <a:off x="0" y="0"/>
                          <a:ext cx="8031480" cy="11023600"/>
                          <a:chOff x="6712" y="0"/>
                          <a:chExt cx="7560310" cy="10692130"/>
                        </a:xfrm>
                      </wpg:grpSpPr>
                      <pic:pic xmlns:pic="http://schemas.openxmlformats.org/drawingml/2006/picture">
                        <pic:nvPicPr>
                          <pic:cNvPr id="2134012251" name="Picture 24" descr="Background pattern&#10;&#10;Description automatically generated with medium confidence"/>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6712" y="0"/>
                            <a:ext cx="7560310" cy="1069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75282088" name="Freeform 23"/>
                        <wps:cNvSpPr>
                          <a:spLocks/>
                        </wps:cNvSpPr>
                        <wps:spPr bwMode="auto">
                          <a:xfrm>
                            <a:off x="1334565" y="2081763"/>
                            <a:ext cx="5553074" cy="4192854"/>
                          </a:xfrm>
                          <a:custGeom>
                            <a:avLst/>
                            <a:gdLst>
                              <a:gd name="T0" fmla="*/ 0 w 11477"/>
                              <a:gd name="T1" fmla="*/ 15373 h 15373"/>
                              <a:gd name="T2" fmla="*/ 9611 w 11477"/>
                              <a:gd name="T3" fmla="*/ 9454 h 15373"/>
                              <a:gd name="T4" fmla="*/ 9790 w 11477"/>
                              <a:gd name="T5" fmla="*/ 9329 h 15373"/>
                              <a:gd name="T6" fmla="*/ 9960 w 11477"/>
                              <a:gd name="T7" fmla="*/ 9197 h 15373"/>
                              <a:gd name="T8" fmla="*/ 10121 w 11477"/>
                              <a:gd name="T9" fmla="*/ 9058 h 15373"/>
                              <a:gd name="T10" fmla="*/ 10272 w 11477"/>
                              <a:gd name="T11" fmla="*/ 8913 h 15373"/>
                              <a:gd name="T12" fmla="*/ 10415 w 11477"/>
                              <a:gd name="T13" fmla="*/ 8762 h 15373"/>
                              <a:gd name="T14" fmla="*/ 10549 w 11477"/>
                              <a:gd name="T15" fmla="*/ 8606 h 15373"/>
                              <a:gd name="T16" fmla="*/ 10674 w 11477"/>
                              <a:gd name="T17" fmla="*/ 8444 h 15373"/>
                              <a:gd name="T18" fmla="*/ 10790 w 11477"/>
                              <a:gd name="T19" fmla="*/ 8278 h 15373"/>
                              <a:gd name="T20" fmla="*/ 10897 w 11477"/>
                              <a:gd name="T21" fmla="*/ 8107 h 15373"/>
                              <a:gd name="T22" fmla="*/ 10994 w 11477"/>
                              <a:gd name="T23" fmla="*/ 7932 h 15373"/>
                              <a:gd name="T24" fmla="*/ 11083 w 11477"/>
                              <a:gd name="T25" fmla="*/ 7753 h 15373"/>
                              <a:gd name="T26" fmla="*/ 11163 w 11477"/>
                              <a:gd name="T27" fmla="*/ 7571 h 15373"/>
                              <a:gd name="T28" fmla="*/ 11233 w 11477"/>
                              <a:gd name="T29" fmla="*/ 7386 h 15373"/>
                              <a:gd name="T30" fmla="*/ 11295 w 11477"/>
                              <a:gd name="T31" fmla="*/ 7199 h 15373"/>
                              <a:gd name="T32" fmla="*/ 11348 w 11477"/>
                              <a:gd name="T33" fmla="*/ 7009 h 15373"/>
                              <a:gd name="T34" fmla="*/ 11391 w 11477"/>
                              <a:gd name="T35" fmla="*/ 6817 h 15373"/>
                              <a:gd name="T36" fmla="*/ 11426 w 11477"/>
                              <a:gd name="T37" fmla="*/ 6624 h 15373"/>
                              <a:gd name="T38" fmla="*/ 11452 w 11477"/>
                              <a:gd name="T39" fmla="*/ 6429 h 15373"/>
                              <a:gd name="T40" fmla="*/ 11468 w 11477"/>
                              <a:gd name="T41" fmla="*/ 6234 h 15373"/>
                              <a:gd name="T42" fmla="*/ 11476 w 11477"/>
                              <a:gd name="T43" fmla="*/ 6038 h 15373"/>
                              <a:gd name="T44" fmla="*/ 11474 w 11477"/>
                              <a:gd name="T45" fmla="*/ 5842 h 15373"/>
                              <a:gd name="T46" fmla="*/ 11464 w 11477"/>
                              <a:gd name="T47" fmla="*/ 5646 h 15373"/>
                              <a:gd name="T48" fmla="*/ 11444 w 11477"/>
                              <a:gd name="T49" fmla="*/ 5451 h 15373"/>
                              <a:gd name="T50" fmla="*/ 11415 w 11477"/>
                              <a:gd name="T51" fmla="*/ 5256 h 15373"/>
                              <a:gd name="T52" fmla="*/ 11378 w 11477"/>
                              <a:gd name="T53" fmla="*/ 5063 h 15373"/>
                              <a:gd name="T54" fmla="*/ 11331 w 11477"/>
                              <a:gd name="T55" fmla="*/ 4872 h 15373"/>
                              <a:gd name="T56" fmla="*/ 11276 w 11477"/>
                              <a:gd name="T57" fmla="*/ 4683 h 15373"/>
                              <a:gd name="T58" fmla="*/ 11211 w 11477"/>
                              <a:gd name="T59" fmla="*/ 4496 h 15373"/>
                              <a:gd name="T60" fmla="*/ 11137 w 11477"/>
                              <a:gd name="T61" fmla="*/ 4312 h 15373"/>
                              <a:gd name="T62" fmla="*/ 11054 w 11477"/>
                              <a:gd name="T63" fmla="*/ 4131 h 15373"/>
                              <a:gd name="T64" fmla="*/ 10963 w 11477"/>
                              <a:gd name="T65" fmla="*/ 3954 h 15373"/>
                              <a:gd name="T66" fmla="*/ 10862 w 11477"/>
                              <a:gd name="T67" fmla="*/ 3780 h 15373"/>
                              <a:gd name="T68" fmla="*/ 10752 w 11477"/>
                              <a:gd name="T69" fmla="*/ 3611 h 15373"/>
                              <a:gd name="T70" fmla="*/ 10633 w 11477"/>
                              <a:gd name="T71" fmla="*/ 3446 h 15373"/>
                              <a:gd name="T72" fmla="*/ 10506 w 11477"/>
                              <a:gd name="T73" fmla="*/ 3286 h 15373"/>
                              <a:gd name="T74" fmla="*/ 10369 w 11477"/>
                              <a:gd name="T75" fmla="*/ 3132 h 15373"/>
                              <a:gd name="T76" fmla="*/ 10223 w 11477"/>
                              <a:gd name="T77" fmla="*/ 2983 h 15373"/>
                              <a:gd name="T78" fmla="*/ 10068 w 11477"/>
                              <a:gd name="T79" fmla="*/ 2840 h 15373"/>
                              <a:gd name="T80" fmla="*/ 9904 w 11477"/>
                              <a:gd name="T81" fmla="*/ 2703 h 15373"/>
                              <a:gd name="T82" fmla="*/ 9731 w 11477"/>
                              <a:gd name="T83" fmla="*/ 2573 h 15373"/>
                              <a:gd name="T84" fmla="*/ 9549 w 11477"/>
                              <a:gd name="T85" fmla="*/ 2450 h 15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477" h="15373">
                                <a:moveTo>
                                  <a:pt x="5569" y="0"/>
                                </a:moveTo>
                                <a:lnTo>
                                  <a:pt x="0" y="0"/>
                                </a:lnTo>
                                <a:lnTo>
                                  <a:pt x="0" y="15373"/>
                                </a:lnTo>
                                <a:lnTo>
                                  <a:pt x="9486" y="9534"/>
                                </a:lnTo>
                                <a:lnTo>
                                  <a:pt x="9549" y="9494"/>
                                </a:lnTo>
                                <a:lnTo>
                                  <a:pt x="9611" y="9454"/>
                                </a:lnTo>
                                <a:lnTo>
                                  <a:pt x="9671" y="9413"/>
                                </a:lnTo>
                                <a:lnTo>
                                  <a:pt x="9731" y="9372"/>
                                </a:lnTo>
                                <a:lnTo>
                                  <a:pt x="9790" y="9329"/>
                                </a:lnTo>
                                <a:lnTo>
                                  <a:pt x="9847" y="9286"/>
                                </a:lnTo>
                                <a:lnTo>
                                  <a:pt x="9904" y="9242"/>
                                </a:lnTo>
                                <a:lnTo>
                                  <a:pt x="9960" y="9197"/>
                                </a:lnTo>
                                <a:lnTo>
                                  <a:pt x="10014" y="9151"/>
                                </a:lnTo>
                                <a:lnTo>
                                  <a:pt x="10068" y="9105"/>
                                </a:lnTo>
                                <a:lnTo>
                                  <a:pt x="10121" y="9058"/>
                                </a:lnTo>
                                <a:lnTo>
                                  <a:pt x="10172" y="9010"/>
                                </a:lnTo>
                                <a:lnTo>
                                  <a:pt x="10223" y="8962"/>
                                </a:lnTo>
                                <a:lnTo>
                                  <a:pt x="10272" y="8913"/>
                                </a:lnTo>
                                <a:lnTo>
                                  <a:pt x="10321" y="8863"/>
                                </a:lnTo>
                                <a:lnTo>
                                  <a:pt x="10369" y="8813"/>
                                </a:lnTo>
                                <a:lnTo>
                                  <a:pt x="10415" y="8762"/>
                                </a:lnTo>
                                <a:lnTo>
                                  <a:pt x="10461" y="8711"/>
                                </a:lnTo>
                                <a:lnTo>
                                  <a:pt x="10506" y="8658"/>
                                </a:lnTo>
                                <a:lnTo>
                                  <a:pt x="10549" y="8606"/>
                                </a:lnTo>
                                <a:lnTo>
                                  <a:pt x="10592" y="8552"/>
                                </a:lnTo>
                                <a:lnTo>
                                  <a:pt x="10633" y="8499"/>
                                </a:lnTo>
                                <a:lnTo>
                                  <a:pt x="10674" y="8444"/>
                                </a:lnTo>
                                <a:lnTo>
                                  <a:pt x="10714" y="8389"/>
                                </a:lnTo>
                                <a:lnTo>
                                  <a:pt x="10752" y="8334"/>
                                </a:lnTo>
                                <a:lnTo>
                                  <a:pt x="10790" y="8278"/>
                                </a:lnTo>
                                <a:lnTo>
                                  <a:pt x="10826" y="8221"/>
                                </a:lnTo>
                                <a:lnTo>
                                  <a:pt x="10862" y="8164"/>
                                </a:lnTo>
                                <a:lnTo>
                                  <a:pt x="10897" y="8107"/>
                                </a:lnTo>
                                <a:lnTo>
                                  <a:pt x="10930" y="8049"/>
                                </a:lnTo>
                                <a:lnTo>
                                  <a:pt x="10963" y="7991"/>
                                </a:lnTo>
                                <a:lnTo>
                                  <a:pt x="10994" y="7932"/>
                                </a:lnTo>
                                <a:lnTo>
                                  <a:pt x="11025" y="7873"/>
                                </a:lnTo>
                                <a:lnTo>
                                  <a:pt x="11054" y="7813"/>
                                </a:lnTo>
                                <a:lnTo>
                                  <a:pt x="11083" y="7753"/>
                                </a:lnTo>
                                <a:lnTo>
                                  <a:pt x="11111" y="7693"/>
                                </a:lnTo>
                                <a:lnTo>
                                  <a:pt x="11137" y="7632"/>
                                </a:lnTo>
                                <a:lnTo>
                                  <a:pt x="11163" y="7571"/>
                                </a:lnTo>
                                <a:lnTo>
                                  <a:pt x="11187" y="7510"/>
                                </a:lnTo>
                                <a:lnTo>
                                  <a:pt x="11211" y="7448"/>
                                </a:lnTo>
                                <a:lnTo>
                                  <a:pt x="11233" y="7386"/>
                                </a:lnTo>
                                <a:lnTo>
                                  <a:pt x="11255" y="7324"/>
                                </a:lnTo>
                                <a:lnTo>
                                  <a:pt x="11276" y="7262"/>
                                </a:lnTo>
                                <a:lnTo>
                                  <a:pt x="11295" y="7199"/>
                                </a:lnTo>
                                <a:lnTo>
                                  <a:pt x="11314" y="7136"/>
                                </a:lnTo>
                                <a:lnTo>
                                  <a:pt x="11331" y="7072"/>
                                </a:lnTo>
                                <a:lnTo>
                                  <a:pt x="11348" y="7009"/>
                                </a:lnTo>
                                <a:lnTo>
                                  <a:pt x="11363" y="6945"/>
                                </a:lnTo>
                                <a:lnTo>
                                  <a:pt x="11378" y="6881"/>
                                </a:lnTo>
                                <a:lnTo>
                                  <a:pt x="11391" y="6817"/>
                                </a:lnTo>
                                <a:lnTo>
                                  <a:pt x="11404" y="6753"/>
                                </a:lnTo>
                                <a:lnTo>
                                  <a:pt x="11415" y="6688"/>
                                </a:lnTo>
                                <a:lnTo>
                                  <a:pt x="11426" y="6624"/>
                                </a:lnTo>
                                <a:lnTo>
                                  <a:pt x="11436" y="6559"/>
                                </a:lnTo>
                                <a:lnTo>
                                  <a:pt x="11444" y="6494"/>
                                </a:lnTo>
                                <a:lnTo>
                                  <a:pt x="11452" y="6429"/>
                                </a:lnTo>
                                <a:lnTo>
                                  <a:pt x="11458" y="6364"/>
                                </a:lnTo>
                                <a:lnTo>
                                  <a:pt x="11464" y="6299"/>
                                </a:lnTo>
                                <a:lnTo>
                                  <a:pt x="11468" y="6234"/>
                                </a:lnTo>
                                <a:lnTo>
                                  <a:pt x="11472" y="6168"/>
                                </a:lnTo>
                                <a:lnTo>
                                  <a:pt x="11474" y="6103"/>
                                </a:lnTo>
                                <a:lnTo>
                                  <a:pt x="11476" y="6038"/>
                                </a:lnTo>
                                <a:lnTo>
                                  <a:pt x="11476" y="5972"/>
                                </a:lnTo>
                                <a:lnTo>
                                  <a:pt x="11476" y="5907"/>
                                </a:lnTo>
                                <a:lnTo>
                                  <a:pt x="11474" y="5842"/>
                                </a:lnTo>
                                <a:lnTo>
                                  <a:pt x="11472" y="5776"/>
                                </a:lnTo>
                                <a:lnTo>
                                  <a:pt x="11468" y="5711"/>
                                </a:lnTo>
                                <a:lnTo>
                                  <a:pt x="11464" y="5646"/>
                                </a:lnTo>
                                <a:lnTo>
                                  <a:pt x="11458" y="5581"/>
                                </a:lnTo>
                                <a:lnTo>
                                  <a:pt x="11452" y="5516"/>
                                </a:lnTo>
                                <a:lnTo>
                                  <a:pt x="11444" y="5451"/>
                                </a:lnTo>
                                <a:lnTo>
                                  <a:pt x="11436" y="5386"/>
                                </a:lnTo>
                                <a:lnTo>
                                  <a:pt x="11426" y="5321"/>
                                </a:lnTo>
                                <a:lnTo>
                                  <a:pt x="11415" y="5256"/>
                                </a:lnTo>
                                <a:lnTo>
                                  <a:pt x="11404" y="5192"/>
                                </a:lnTo>
                                <a:lnTo>
                                  <a:pt x="11391" y="5128"/>
                                </a:lnTo>
                                <a:lnTo>
                                  <a:pt x="11378" y="5063"/>
                                </a:lnTo>
                                <a:lnTo>
                                  <a:pt x="11363" y="4999"/>
                                </a:lnTo>
                                <a:lnTo>
                                  <a:pt x="11348" y="4936"/>
                                </a:lnTo>
                                <a:lnTo>
                                  <a:pt x="11331" y="4872"/>
                                </a:lnTo>
                                <a:lnTo>
                                  <a:pt x="11314" y="4809"/>
                                </a:lnTo>
                                <a:lnTo>
                                  <a:pt x="11295" y="4746"/>
                                </a:lnTo>
                                <a:lnTo>
                                  <a:pt x="11276" y="4683"/>
                                </a:lnTo>
                                <a:lnTo>
                                  <a:pt x="11255" y="4620"/>
                                </a:lnTo>
                                <a:lnTo>
                                  <a:pt x="11233" y="4558"/>
                                </a:lnTo>
                                <a:lnTo>
                                  <a:pt x="11211" y="4496"/>
                                </a:lnTo>
                                <a:lnTo>
                                  <a:pt x="11187" y="4435"/>
                                </a:lnTo>
                                <a:lnTo>
                                  <a:pt x="11163" y="4373"/>
                                </a:lnTo>
                                <a:lnTo>
                                  <a:pt x="11137" y="4312"/>
                                </a:lnTo>
                                <a:lnTo>
                                  <a:pt x="11111" y="4252"/>
                                </a:lnTo>
                                <a:lnTo>
                                  <a:pt x="11083" y="4191"/>
                                </a:lnTo>
                                <a:lnTo>
                                  <a:pt x="11054" y="4131"/>
                                </a:lnTo>
                                <a:lnTo>
                                  <a:pt x="11025" y="4072"/>
                                </a:lnTo>
                                <a:lnTo>
                                  <a:pt x="10994" y="4013"/>
                                </a:lnTo>
                                <a:lnTo>
                                  <a:pt x="10963" y="3954"/>
                                </a:lnTo>
                                <a:lnTo>
                                  <a:pt x="10930" y="3896"/>
                                </a:lnTo>
                                <a:lnTo>
                                  <a:pt x="10897" y="3838"/>
                                </a:lnTo>
                                <a:lnTo>
                                  <a:pt x="10862" y="3780"/>
                                </a:lnTo>
                                <a:lnTo>
                                  <a:pt x="10826" y="3723"/>
                                </a:lnTo>
                                <a:lnTo>
                                  <a:pt x="10790" y="3667"/>
                                </a:lnTo>
                                <a:lnTo>
                                  <a:pt x="10752" y="3611"/>
                                </a:lnTo>
                                <a:lnTo>
                                  <a:pt x="10714" y="3555"/>
                                </a:lnTo>
                                <a:lnTo>
                                  <a:pt x="10674" y="3500"/>
                                </a:lnTo>
                                <a:lnTo>
                                  <a:pt x="10633" y="3446"/>
                                </a:lnTo>
                                <a:lnTo>
                                  <a:pt x="10592" y="3392"/>
                                </a:lnTo>
                                <a:lnTo>
                                  <a:pt x="10549" y="3339"/>
                                </a:lnTo>
                                <a:lnTo>
                                  <a:pt x="10506" y="3286"/>
                                </a:lnTo>
                                <a:lnTo>
                                  <a:pt x="10461" y="3234"/>
                                </a:lnTo>
                                <a:lnTo>
                                  <a:pt x="10415" y="3182"/>
                                </a:lnTo>
                                <a:lnTo>
                                  <a:pt x="10369" y="3132"/>
                                </a:lnTo>
                                <a:lnTo>
                                  <a:pt x="10321" y="3081"/>
                                </a:lnTo>
                                <a:lnTo>
                                  <a:pt x="10272" y="3032"/>
                                </a:lnTo>
                                <a:lnTo>
                                  <a:pt x="10223" y="2983"/>
                                </a:lnTo>
                                <a:lnTo>
                                  <a:pt x="10172" y="2934"/>
                                </a:lnTo>
                                <a:lnTo>
                                  <a:pt x="10121" y="2887"/>
                                </a:lnTo>
                                <a:lnTo>
                                  <a:pt x="10068" y="2840"/>
                                </a:lnTo>
                                <a:lnTo>
                                  <a:pt x="10014" y="2793"/>
                                </a:lnTo>
                                <a:lnTo>
                                  <a:pt x="9960" y="2748"/>
                                </a:lnTo>
                                <a:lnTo>
                                  <a:pt x="9904" y="2703"/>
                                </a:lnTo>
                                <a:lnTo>
                                  <a:pt x="9847" y="2659"/>
                                </a:lnTo>
                                <a:lnTo>
                                  <a:pt x="9790" y="2616"/>
                                </a:lnTo>
                                <a:lnTo>
                                  <a:pt x="9731" y="2573"/>
                                </a:lnTo>
                                <a:lnTo>
                                  <a:pt x="9671" y="2531"/>
                                </a:lnTo>
                                <a:lnTo>
                                  <a:pt x="9611" y="2490"/>
                                </a:lnTo>
                                <a:lnTo>
                                  <a:pt x="9549" y="2450"/>
                                </a:lnTo>
                                <a:lnTo>
                                  <a:pt x="9486" y="2411"/>
                                </a:lnTo>
                                <a:lnTo>
                                  <a:pt x="5569" y="0"/>
                                </a:lnTo>
                                <a:close/>
                              </a:path>
                            </a:pathLst>
                          </a:custGeom>
                          <a:solidFill>
                            <a:srgbClr val="36404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430C88A" w14:textId="77777777" w:rsidR="00FD4DD9" w:rsidRPr="0009454A" w:rsidRDefault="00FD4DD9" w:rsidP="0086531A">
                              <w:pPr>
                                <w:jc w:val="center"/>
                                <w:rPr>
                                  <w:rFonts w:ascii="Century Gothic" w:hAnsi="Century Gothic"/>
                                  <w:b/>
                                  <w:color w:val="FFFFFF" w:themeColor="background1"/>
                                  <w:spacing w:val="40"/>
                                  <w:sz w:val="44"/>
                                  <w:szCs w:val="44"/>
                                </w:rPr>
                              </w:pPr>
                            </w:p>
                            <w:p w14:paraId="672B47C2" w14:textId="2B8EB9B2" w:rsidR="0009454A" w:rsidRDefault="0009454A" w:rsidP="0086531A">
                              <w:pPr>
                                <w:jc w:val="center"/>
                                <w:rPr>
                                  <w:rFonts w:ascii="Century Gothic" w:hAnsi="Century Gothic"/>
                                  <w:b/>
                                  <w:color w:val="FFFFFF" w:themeColor="background1"/>
                                  <w:spacing w:val="40"/>
                                  <w:sz w:val="44"/>
                                  <w:szCs w:val="44"/>
                                </w:rPr>
                              </w:pPr>
                              <w:r w:rsidRPr="0009454A">
                                <w:rPr>
                                  <w:rFonts w:ascii="Century Gothic" w:hAnsi="Century Gothic"/>
                                  <w:b/>
                                  <w:color w:val="FFFFFF" w:themeColor="background1"/>
                                  <w:spacing w:val="40"/>
                                  <w:sz w:val="44"/>
                                  <w:szCs w:val="44"/>
                                </w:rPr>
                                <w:t>MEDIUM TERM FINANCIAL STRATEGY</w:t>
                              </w:r>
                            </w:p>
                            <w:p w14:paraId="05FFF550" w14:textId="77777777" w:rsidR="0009454A" w:rsidRDefault="0009454A" w:rsidP="0086531A">
                              <w:pPr>
                                <w:jc w:val="center"/>
                                <w:rPr>
                                  <w:rFonts w:ascii="Century Gothic" w:hAnsi="Century Gothic"/>
                                  <w:b/>
                                  <w:color w:val="FFFFFF" w:themeColor="background1"/>
                                  <w:spacing w:val="40"/>
                                  <w:sz w:val="44"/>
                                  <w:szCs w:val="44"/>
                                </w:rPr>
                              </w:pPr>
                            </w:p>
                            <w:p w14:paraId="029C9B95" w14:textId="7DE6157B" w:rsidR="00FD4DD9" w:rsidRPr="00AA7E3F" w:rsidRDefault="0042655D" w:rsidP="0086531A">
                              <w:pPr>
                                <w:jc w:val="center"/>
                                <w:rPr>
                                  <w:rFonts w:ascii="Century Gothic" w:hAnsi="Century Gothic"/>
                                  <w:b/>
                                  <w:color w:val="FFFFFF" w:themeColor="background1"/>
                                  <w:spacing w:val="40"/>
                                  <w:sz w:val="44"/>
                                  <w:szCs w:val="44"/>
                                </w:rPr>
                              </w:pPr>
                              <w:r>
                                <w:rPr>
                                  <w:rFonts w:ascii="Century Gothic" w:hAnsi="Century Gothic"/>
                                  <w:b/>
                                  <w:color w:val="FFFFFF" w:themeColor="background1"/>
                                  <w:spacing w:val="40"/>
                                  <w:sz w:val="44"/>
                                  <w:szCs w:val="44"/>
                                </w:rPr>
                                <w:t>202</w:t>
                              </w:r>
                              <w:r w:rsidR="007362EF">
                                <w:rPr>
                                  <w:rFonts w:ascii="Century Gothic" w:hAnsi="Century Gothic"/>
                                  <w:b/>
                                  <w:color w:val="FFFFFF" w:themeColor="background1"/>
                                  <w:spacing w:val="40"/>
                                  <w:sz w:val="44"/>
                                  <w:szCs w:val="44"/>
                                </w:rPr>
                                <w:t>6</w:t>
                              </w:r>
                              <w:r w:rsidR="00FD4DD9">
                                <w:rPr>
                                  <w:rFonts w:ascii="Century Gothic" w:hAnsi="Century Gothic"/>
                                  <w:b/>
                                  <w:color w:val="FFFFFF" w:themeColor="background1"/>
                                  <w:spacing w:val="40"/>
                                  <w:sz w:val="44"/>
                                  <w:szCs w:val="44"/>
                                </w:rPr>
                                <w:t>-203</w:t>
                              </w:r>
                              <w:r w:rsidR="007362EF">
                                <w:rPr>
                                  <w:rFonts w:ascii="Century Gothic" w:hAnsi="Century Gothic"/>
                                  <w:b/>
                                  <w:color w:val="FFFFFF" w:themeColor="background1"/>
                                  <w:spacing w:val="40"/>
                                  <w:sz w:val="44"/>
                                  <w:szCs w:val="44"/>
                                </w:rPr>
                                <w:t>1</w:t>
                              </w:r>
                            </w:p>
                          </w:txbxContent>
                        </wps:txbx>
                        <wps:bodyPr rot="0" vert="horz" wrap="square" lIns="91440" tIns="45720" rIns="91440" bIns="45720" anchor="t" anchorCtr="0" upright="1">
                          <a:noAutofit/>
                        </wps:bodyPr>
                      </wps:wsp>
                      <wpg:grpSp>
                        <wpg:cNvPr id="371973309" name="Group 4"/>
                        <wpg:cNvGrpSpPr/>
                        <wpg:grpSpPr>
                          <a:xfrm>
                            <a:off x="1047750" y="3409950"/>
                            <a:ext cx="5274310" cy="5521325"/>
                            <a:chOff x="0" y="0"/>
                            <a:chExt cx="5274420" cy="5521932"/>
                          </a:xfrm>
                        </wpg:grpSpPr>
                        <wps:wsp>
                          <wps:cNvPr id="844810756" name="Freeform 21"/>
                          <wps:cNvSpPr>
                            <a:spLocks/>
                          </wps:cNvSpPr>
                          <wps:spPr bwMode="auto">
                            <a:xfrm>
                              <a:off x="0" y="0"/>
                              <a:ext cx="1918970" cy="2245995"/>
                            </a:xfrm>
                            <a:custGeom>
                              <a:avLst/>
                              <a:gdLst>
                                <a:gd name="T0" fmla="+- 0 1149 733"/>
                                <a:gd name="T1" fmla="*/ T0 w 3022"/>
                                <a:gd name="T2" fmla="+- 0 6017 6017"/>
                                <a:gd name="T3" fmla="*/ 6017 h 3537"/>
                                <a:gd name="T4" fmla="+- 0 1085 733"/>
                                <a:gd name="T5" fmla="*/ T4 w 3022"/>
                                <a:gd name="T6" fmla="+- 0 6020 6017"/>
                                <a:gd name="T7" fmla="*/ 6020 h 3537"/>
                                <a:gd name="T8" fmla="+- 0 1024 733"/>
                                <a:gd name="T9" fmla="*/ T8 w 3022"/>
                                <a:gd name="T10" fmla="+- 0 6032 6017"/>
                                <a:gd name="T11" fmla="*/ 6032 h 3537"/>
                                <a:gd name="T12" fmla="+- 0 965 733"/>
                                <a:gd name="T13" fmla="*/ T12 w 3022"/>
                                <a:gd name="T14" fmla="+- 0 6054 6017"/>
                                <a:gd name="T15" fmla="*/ 6054 h 3537"/>
                                <a:gd name="T16" fmla="+- 0 910 733"/>
                                <a:gd name="T17" fmla="*/ T16 w 3022"/>
                                <a:gd name="T18" fmla="+- 0 6084 6017"/>
                                <a:gd name="T19" fmla="*/ 6084 h 3537"/>
                                <a:gd name="T20" fmla="+- 0 861 733"/>
                                <a:gd name="T21" fmla="*/ T20 w 3022"/>
                                <a:gd name="T22" fmla="+- 0 6123 6017"/>
                                <a:gd name="T23" fmla="*/ 6123 h 3537"/>
                                <a:gd name="T24" fmla="+- 0 818 733"/>
                                <a:gd name="T25" fmla="*/ T24 w 3022"/>
                                <a:gd name="T26" fmla="+- 0 6169 6017"/>
                                <a:gd name="T27" fmla="*/ 6169 h 3537"/>
                                <a:gd name="T28" fmla="+- 0 782 733"/>
                                <a:gd name="T29" fmla="*/ T28 w 3022"/>
                                <a:gd name="T30" fmla="+- 0 6222 6017"/>
                                <a:gd name="T31" fmla="*/ 6222 h 3537"/>
                                <a:gd name="T32" fmla="+- 0 756 733"/>
                                <a:gd name="T33" fmla="*/ T32 w 3022"/>
                                <a:gd name="T34" fmla="+- 0 6281 6017"/>
                                <a:gd name="T35" fmla="*/ 6281 h 3537"/>
                                <a:gd name="T36" fmla="+- 0 739 733"/>
                                <a:gd name="T37" fmla="*/ T36 w 3022"/>
                                <a:gd name="T38" fmla="+- 0 6346 6017"/>
                                <a:gd name="T39" fmla="*/ 6346 h 3537"/>
                                <a:gd name="T40" fmla="+- 0 733 733"/>
                                <a:gd name="T41" fmla="*/ T40 w 3022"/>
                                <a:gd name="T42" fmla="+- 0 6416 6017"/>
                                <a:gd name="T43" fmla="*/ 6416 h 3537"/>
                                <a:gd name="T44" fmla="+- 0 733 733"/>
                                <a:gd name="T45" fmla="*/ T44 w 3022"/>
                                <a:gd name="T46" fmla="+- 0 9156 6017"/>
                                <a:gd name="T47" fmla="*/ 9156 h 3537"/>
                                <a:gd name="T48" fmla="+- 0 739 733"/>
                                <a:gd name="T49" fmla="*/ T48 w 3022"/>
                                <a:gd name="T50" fmla="+- 0 9225 6017"/>
                                <a:gd name="T51" fmla="*/ 9225 h 3537"/>
                                <a:gd name="T52" fmla="+- 0 756 733"/>
                                <a:gd name="T53" fmla="*/ T52 w 3022"/>
                                <a:gd name="T54" fmla="+- 0 9290 6017"/>
                                <a:gd name="T55" fmla="*/ 9290 h 3537"/>
                                <a:gd name="T56" fmla="+- 0 782 733"/>
                                <a:gd name="T57" fmla="*/ T56 w 3022"/>
                                <a:gd name="T58" fmla="+- 0 9349 6017"/>
                                <a:gd name="T59" fmla="*/ 9349 h 3537"/>
                                <a:gd name="T60" fmla="+- 0 818 733"/>
                                <a:gd name="T61" fmla="*/ T60 w 3022"/>
                                <a:gd name="T62" fmla="+- 0 9402 6017"/>
                                <a:gd name="T63" fmla="*/ 9402 h 3537"/>
                                <a:gd name="T64" fmla="+- 0 861 733"/>
                                <a:gd name="T65" fmla="*/ T64 w 3022"/>
                                <a:gd name="T66" fmla="+- 0 9448 6017"/>
                                <a:gd name="T67" fmla="*/ 9448 h 3537"/>
                                <a:gd name="T68" fmla="+- 0 910 733"/>
                                <a:gd name="T69" fmla="*/ T68 w 3022"/>
                                <a:gd name="T70" fmla="+- 0 9487 6017"/>
                                <a:gd name="T71" fmla="*/ 9487 h 3537"/>
                                <a:gd name="T72" fmla="+- 0 965 733"/>
                                <a:gd name="T73" fmla="*/ T72 w 3022"/>
                                <a:gd name="T74" fmla="+- 0 9517 6017"/>
                                <a:gd name="T75" fmla="*/ 9517 h 3537"/>
                                <a:gd name="T76" fmla="+- 0 1024 733"/>
                                <a:gd name="T77" fmla="*/ T76 w 3022"/>
                                <a:gd name="T78" fmla="+- 0 9539 6017"/>
                                <a:gd name="T79" fmla="*/ 9539 h 3537"/>
                                <a:gd name="T80" fmla="+- 0 1085 733"/>
                                <a:gd name="T81" fmla="*/ T80 w 3022"/>
                                <a:gd name="T82" fmla="+- 0 9551 6017"/>
                                <a:gd name="T83" fmla="*/ 9551 h 3537"/>
                                <a:gd name="T84" fmla="+- 0 1149 733"/>
                                <a:gd name="T85" fmla="*/ T84 w 3022"/>
                                <a:gd name="T86" fmla="+- 0 9554 6017"/>
                                <a:gd name="T87" fmla="*/ 9554 h 3537"/>
                                <a:gd name="T88" fmla="+- 0 1213 733"/>
                                <a:gd name="T89" fmla="*/ T88 w 3022"/>
                                <a:gd name="T90" fmla="+- 0 9546 6017"/>
                                <a:gd name="T91" fmla="*/ 9546 h 3537"/>
                                <a:gd name="T92" fmla="+- 0 1277 733"/>
                                <a:gd name="T93" fmla="*/ T92 w 3022"/>
                                <a:gd name="T94" fmla="+- 0 9526 6017"/>
                                <a:gd name="T95" fmla="*/ 9526 h 3537"/>
                                <a:gd name="T96" fmla="+- 0 1340 733"/>
                                <a:gd name="T97" fmla="*/ T96 w 3022"/>
                                <a:gd name="T98" fmla="+- 0 9495 6017"/>
                                <a:gd name="T99" fmla="*/ 9495 h 3537"/>
                                <a:gd name="T100" fmla="+- 0 3566 733"/>
                                <a:gd name="T101" fmla="*/ T100 w 3022"/>
                                <a:gd name="T102" fmla="+- 0 8125 6017"/>
                                <a:gd name="T103" fmla="*/ 8125 h 3537"/>
                                <a:gd name="T104" fmla="+- 0 3623 733"/>
                                <a:gd name="T105" fmla="*/ T104 w 3022"/>
                                <a:gd name="T106" fmla="+- 0 8082 6017"/>
                                <a:gd name="T107" fmla="*/ 8082 h 3537"/>
                                <a:gd name="T108" fmla="+- 0 3671 733"/>
                                <a:gd name="T109" fmla="*/ T108 w 3022"/>
                                <a:gd name="T110" fmla="+- 0 8031 6017"/>
                                <a:gd name="T111" fmla="*/ 8031 h 3537"/>
                                <a:gd name="T112" fmla="+- 0 3708 733"/>
                                <a:gd name="T113" fmla="*/ T112 w 3022"/>
                                <a:gd name="T114" fmla="+- 0 7975 6017"/>
                                <a:gd name="T115" fmla="*/ 7975 h 3537"/>
                                <a:gd name="T116" fmla="+- 0 3734 733"/>
                                <a:gd name="T117" fmla="*/ T116 w 3022"/>
                                <a:gd name="T118" fmla="+- 0 7914 6017"/>
                                <a:gd name="T119" fmla="*/ 7914 h 3537"/>
                                <a:gd name="T120" fmla="+- 0 3750 733"/>
                                <a:gd name="T121" fmla="*/ T120 w 3022"/>
                                <a:gd name="T122" fmla="+- 0 7851 6017"/>
                                <a:gd name="T123" fmla="*/ 7851 h 3537"/>
                                <a:gd name="T124" fmla="+- 0 3755 733"/>
                                <a:gd name="T125" fmla="*/ T124 w 3022"/>
                                <a:gd name="T126" fmla="+- 0 7786 6017"/>
                                <a:gd name="T127" fmla="*/ 7786 h 3537"/>
                                <a:gd name="T128" fmla="+- 0 3750 733"/>
                                <a:gd name="T129" fmla="*/ T128 w 3022"/>
                                <a:gd name="T130" fmla="+- 0 7721 6017"/>
                                <a:gd name="T131" fmla="*/ 7721 h 3537"/>
                                <a:gd name="T132" fmla="+- 0 3734 733"/>
                                <a:gd name="T133" fmla="*/ T132 w 3022"/>
                                <a:gd name="T134" fmla="+- 0 7657 6017"/>
                                <a:gd name="T135" fmla="*/ 7657 h 3537"/>
                                <a:gd name="T136" fmla="+- 0 3708 733"/>
                                <a:gd name="T137" fmla="*/ T136 w 3022"/>
                                <a:gd name="T138" fmla="+- 0 7596 6017"/>
                                <a:gd name="T139" fmla="*/ 7596 h 3537"/>
                                <a:gd name="T140" fmla="+- 0 3671 733"/>
                                <a:gd name="T141" fmla="*/ T140 w 3022"/>
                                <a:gd name="T142" fmla="+- 0 7540 6017"/>
                                <a:gd name="T143" fmla="*/ 7540 h 3537"/>
                                <a:gd name="T144" fmla="+- 0 3623 733"/>
                                <a:gd name="T145" fmla="*/ T144 w 3022"/>
                                <a:gd name="T146" fmla="+- 0 7490 6017"/>
                                <a:gd name="T147" fmla="*/ 7490 h 3537"/>
                                <a:gd name="T148" fmla="+- 0 3566 733"/>
                                <a:gd name="T149" fmla="*/ T148 w 3022"/>
                                <a:gd name="T150" fmla="+- 0 7447 6017"/>
                                <a:gd name="T151" fmla="*/ 7447 h 3537"/>
                                <a:gd name="T152" fmla="+- 0 1340 733"/>
                                <a:gd name="T153" fmla="*/ T152 w 3022"/>
                                <a:gd name="T154" fmla="+- 0 6077 6017"/>
                                <a:gd name="T155" fmla="*/ 6077 h 3537"/>
                                <a:gd name="T156" fmla="+- 0 1277 733"/>
                                <a:gd name="T157" fmla="*/ T156 w 3022"/>
                                <a:gd name="T158" fmla="+- 0 6045 6017"/>
                                <a:gd name="T159" fmla="*/ 6045 h 3537"/>
                                <a:gd name="T160" fmla="+- 0 1213 733"/>
                                <a:gd name="T161" fmla="*/ T160 w 3022"/>
                                <a:gd name="T162" fmla="+- 0 6026 6017"/>
                                <a:gd name="T163" fmla="*/ 6026 h 3537"/>
                                <a:gd name="T164" fmla="+- 0 1149 733"/>
                                <a:gd name="T165" fmla="*/ T164 w 3022"/>
                                <a:gd name="T166" fmla="+- 0 6017 6017"/>
                                <a:gd name="T167" fmla="*/ 6017 h 3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022" h="3537">
                                  <a:moveTo>
                                    <a:pt x="416" y="0"/>
                                  </a:moveTo>
                                  <a:lnTo>
                                    <a:pt x="352" y="3"/>
                                  </a:lnTo>
                                  <a:lnTo>
                                    <a:pt x="291" y="15"/>
                                  </a:lnTo>
                                  <a:lnTo>
                                    <a:pt x="232" y="37"/>
                                  </a:lnTo>
                                  <a:lnTo>
                                    <a:pt x="177" y="67"/>
                                  </a:lnTo>
                                  <a:lnTo>
                                    <a:pt x="128" y="106"/>
                                  </a:lnTo>
                                  <a:lnTo>
                                    <a:pt x="85" y="152"/>
                                  </a:lnTo>
                                  <a:lnTo>
                                    <a:pt x="49" y="205"/>
                                  </a:lnTo>
                                  <a:lnTo>
                                    <a:pt x="23" y="264"/>
                                  </a:lnTo>
                                  <a:lnTo>
                                    <a:pt x="6" y="329"/>
                                  </a:lnTo>
                                  <a:lnTo>
                                    <a:pt x="0" y="399"/>
                                  </a:lnTo>
                                  <a:lnTo>
                                    <a:pt x="0" y="3139"/>
                                  </a:lnTo>
                                  <a:lnTo>
                                    <a:pt x="6" y="3208"/>
                                  </a:lnTo>
                                  <a:lnTo>
                                    <a:pt x="23" y="3273"/>
                                  </a:lnTo>
                                  <a:lnTo>
                                    <a:pt x="49" y="3332"/>
                                  </a:lnTo>
                                  <a:lnTo>
                                    <a:pt x="85" y="3385"/>
                                  </a:lnTo>
                                  <a:lnTo>
                                    <a:pt x="128" y="3431"/>
                                  </a:lnTo>
                                  <a:lnTo>
                                    <a:pt x="177" y="3470"/>
                                  </a:lnTo>
                                  <a:lnTo>
                                    <a:pt x="232" y="3500"/>
                                  </a:lnTo>
                                  <a:lnTo>
                                    <a:pt x="291" y="3522"/>
                                  </a:lnTo>
                                  <a:lnTo>
                                    <a:pt x="352" y="3534"/>
                                  </a:lnTo>
                                  <a:lnTo>
                                    <a:pt x="416" y="3537"/>
                                  </a:lnTo>
                                  <a:lnTo>
                                    <a:pt x="480" y="3529"/>
                                  </a:lnTo>
                                  <a:lnTo>
                                    <a:pt x="544" y="3509"/>
                                  </a:lnTo>
                                  <a:lnTo>
                                    <a:pt x="607" y="3478"/>
                                  </a:lnTo>
                                  <a:lnTo>
                                    <a:pt x="2833" y="2108"/>
                                  </a:lnTo>
                                  <a:lnTo>
                                    <a:pt x="2890" y="2065"/>
                                  </a:lnTo>
                                  <a:lnTo>
                                    <a:pt x="2938" y="2014"/>
                                  </a:lnTo>
                                  <a:lnTo>
                                    <a:pt x="2975" y="1958"/>
                                  </a:lnTo>
                                  <a:lnTo>
                                    <a:pt x="3001" y="1897"/>
                                  </a:lnTo>
                                  <a:lnTo>
                                    <a:pt x="3017" y="1834"/>
                                  </a:lnTo>
                                  <a:lnTo>
                                    <a:pt x="3022" y="1769"/>
                                  </a:lnTo>
                                  <a:lnTo>
                                    <a:pt x="3017" y="1704"/>
                                  </a:lnTo>
                                  <a:lnTo>
                                    <a:pt x="3001" y="1640"/>
                                  </a:lnTo>
                                  <a:lnTo>
                                    <a:pt x="2975" y="1579"/>
                                  </a:lnTo>
                                  <a:lnTo>
                                    <a:pt x="2938" y="1523"/>
                                  </a:lnTo>
                                  <a:lnTo>
                                    <a:pt x="2890" y="1473"/>
                                  </a:lnTo>
                                  <a:lnTo>
                                    <a:pt x="2833" y="1430"/>
                                  </a:lnTo>
                                  <a:lnTo>
                                    <a:pt x="607" y="60"/>
                                  </a:lnTo>
                                  <a:lnTo>
                                    <a:pt x="544" y="28"/>
                                  </a:lnTo>
                                  <a:lnTo>
                                    <a:pt x="480" y="9"/>
                                  </a:lnTo>
                                  <a:lnTo>
                                    <a:pt x="416" y="0"/>
                                  </a:lnTo>
                                  <a:close/>
                                </a:path>
                              </a:pathLst>
                            </a:custGeom>
                            <a:solidFill>
                              <a:srgbClr val="00A8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723625" name="Freeform 20"/>
                          <wps:cNvSpPr>
                            <a:spLocks/>
                          </wps:cNvSpPr>
                          <wps:spPr bwMode="auto">
                            <a:xfrm>
                              <a:off x="0" y="3275937"/>
                              <a:ext cx="1918970" cy="2245995"/>
                            </a:xfrm>
                            <a:custGeom>
                              <a:avLst/>
                              <a:gdLst>
                                <a:gd name="T0" fmla="+- 0 1149 733"/>
                                <a:gd name="T1" fmla="*/ T0 w 3022"/>
                                <a:gd name="T2" fmla="+- 0 11175 11175"/>
                                <a:gd name="T3" fmla="*/ 11175 h 3537"/>
                                <a:gd name="T4" fmla="+- 0 1085 733"/>
                                <a:gd name="T5" fmla="*/ T4 w 3022"/>
                                <a:gd name="T6" fmla="+- 0 11177 11175"/>
                                <a:gd name="T7" fmla="*/ 11177 h 3537"/>
                                <a:gd name="T8" fmla="+- 0 1024 733"/>
                                <a:gd name="T9" fmla="*/ T8 w 3022"/>
                                <a:gd name="T10" fmla="+- 0 11190 11175"/>
                                <a:gd name="T11" fmla="*/ 11190 h 3537"/>
                                <a:gd name="T12" fmla="+- 0 965 733"/>
                                <a:gd name="T13" fmla="*/ T12 w 3022"/>
                                <a:gd name="T14" fmla="+- 0 11211 11175"/>
                                <a:gd name="T15" fmla="*/ 11211 h 3537"/>
                                <a:gd name="T16" fmla="+- 0 910 733"/>
                                <a:gd name="T17" fmla="*/ T16 w 3022"/>
                                <a:gd name="T18" fmla="+- 0 11242 11175"/>
                                <a:gd name="T19" fmla="*/ 11242 h 3537"/>
                                <a:gd name="T20" fmla="+- 0 861 733"/>
                                <a:gd name="T21" fmla="*/ T20 w 3022"/>
                                <a:gd name="T22" fmla="+- 0 11281 11175"/>
                                <a:gd name="T23" fmla="*/ 11281 h 3537"/>
                                <a:gd name="T24" fmla="+- 0 818 733"/>
                                <a:gd name="T25" fmla="*/ T24 w 3022"/>
                                <a:gd name="T26" fmla="+- 0 11327 11175"/>
                                <a:gd name="T27" fmla="*/ 11327 h 3537"/>
                                <a:gd name="T28" fmla="+- 0 782 733"/>
                                <a:gd name="T29" fmla="*/ T28 w 3022"/>
                                <a:gd name="T30" fmla="+- 0 11380 11175"/>
                                <a:gd name="T31" fmla="*/ 11380 h 3537"/>
                                <a:gd name="T32" fmla="+- 0 756 733"/>
                                <a:gd name="T33" fmla="*/ T32 w 3022"/>
                                <a:gd name="T34" fmla="+- 0 11439 11175"/>
                                <a:gd name="T35" fmla="*/ 11439 h 3537"/>
                                <a:gd name="T36" fmla="+- 0 739 733"/>
                                <a:gd name="T37" fmla="*/ T36 w 3022"/>
                                <a:gd name="T38" fmla="+- 0 11503 11175"/>
                                <a:gd name="T39" fmla="*/ 11503 h 3537"/>
                                <a:gd name="T40" fmla="+- 0 733 733"/>
                                <a:gd name="T41" fmla="*/ T40 w 3022"/>
                                <a:gd name="T42" fmla="+- 0 11573 11175"/>
                                <a:gd name="T43" fmla="*/ 11573 h 3537"/>
                                <a:gd name="T44" fmla="+- 0 733 733"/>
                                <a:gd name="T45" fmla="*/ T44 w 3022"/>
                                <a:gd name="T46" fmla="+- 0 14313 11175"/>
                                <a:gd name="T47" fmla="*/ 14313 h 3537"/>
                                <a:gd name="T48" fmla="+- 0 739 733"/>
                                <a:gd name="T49" fmla="*/ T48 w 3022"/>
                                <a:gd name="T50" fmla="+- 0 14383 11175"/>
                                <a:gd name="T51" fmla="*/ 14383 h 3537"/>
                                <a:gd name="T52" fmla="+- 0 756 733"/>
                                <a:gd name="T53" fmla="*/ T52 w 3022"/>
                                <a:gd name="T54" fmla="+- 0 14447 11175"/>
                                <a:gd name="T55" fmla="*/ 14447 h 3537"/>
                                <a:gd name="T56" fmla="+- 0 782 733"/>
                                <a:gd name="T57" fmla="*/ T56 w 3022"/>
                                <a:gd name="T58" fmla="+- 0 14507 11175"/>
                                <a:gd name="T59" fmla="*/ 14507 h 3537"/>
                                <a:gd name="T60" fmla="+- 0 818 733"/>
                                <a:gd name="T61" fmla="*/ T60 w 3022"/>
                                <a:gd name="T62" fmla="+- 0 14560 11175"/>
                                <a:gd name="T63" fmla="*/ 14560 h 3537"/>
                                <a:gd name="T64" fmla="+- 0 861 733"/>
                                <a:gd name="T65" fmla="*/ T64 w 3022"/>
                                <a:gd name="T66" fmla="+- 0 14606 11175"/>
                                <a:gd name="T67" fmla="*/ 14606 h 3537"/>
                                <a:gd name="T68" fmla="+- 0 910 733"/>
                                <a:gd name="T69" fmla="*/ T68 w 3022"/>
                                <a:gd name="T70" fmla="+- 0 14644 11175"/>
                                <a:gd name="T71" fmla="*/ 14644 h 3537"/>
                                <a:gd name="T72" fmla="+- 0 965 733"/>
                                <a:gd name="T73" fmla="*/ T72 w 3022"/>
                                <a:gd name="T74" fmla="+- 0 14675 11175"/>
                                <a:gd name="T75" fmla="*/ 14675 h 3537"/>
                                <a:gd name="T76" fmla="+- 0 1024 733"/>
                                <a:gd name="T77" fmla="*/ T76 w 3022"/>
                                <a:gd name="T78" fmla="+- 0 14697 11175"/>
                                <a:gd name="T79" fmla="*/ 14697 h 3537"/>
                                <a:gd name="T80" fmla="+- 0 1085 733"/>
                                <a:gd name="T81" fmla="*/ T80 w 3022"/>
                                <a:gd name="T82" fmla="+- 0 14709 11175"/>
                                <a:gd name="T83" fmla="*/ 14709 h 3537"/>
                                <a:gd name="T84" fmla="+- 0 1149 733"/>
                                <a:gd name="T85" fmla="*/ T84 w 3022"/>
                                <a:gd name="T86" fmla="+- 0 14711 11175"/>
                                <a:gd name="T87" fmla="*/ 14711 h 3537"/>
                                <a:gd name="T88" fmla="+- 0 1213 733"/>
                                <a:gd name="T89" fmla="*/ T88 w 3022"/>
                                <a:gd name="T90" fmla="+- 0 14703 11175"/>
                                <a:gd name="T91" fmla="*/ 14703 h 3537"/>
                                <a:gd name="T92" fmla="+- 0 1277 733"/>
                                <a:gd name="T93" fmla="*/ T92 w 3022"/>
                                <a:gd name="T94" fmla="+- 0 14684 11175"/>
                                <a:gd name="T95" fmla="*/ 14684 h 3537"/>
                                <a:gd name="T96" fmla="+- 0 1340 733"/>
                                <a:gd name="T97" fmla="*/ T96 w 3022"/>
                                <a:gd name="T98" fmla="+- 0 14652 11175"/>
                                <a:gd name="T99" fmla="*/ 14652 h 3537"/>
                                <a:gd name="T100" fmla="+- 0 3566 733"/>
                                <a:gd name="T101" fmla="*/ T100 w 3022"/>
                                <a:gd name="T102" fmla="+- 0 13282 11175"/>
                                <a:gd name="T103" fmla="*/ 13282 h 3537"/>
                                <a:gd name="T104" fmla="+- 0 3623 733"/>
                                <a:gd name="T105" fmla="*/ T104 w 3022"/>
                                <a:gd name="T106" fmla="+- 0 13239 11175"/>
                                <a:gd name="T107" fmla="*/ 13239 h 3537"/>
                                <a:gd name="T108" fmla="+- 0 3671 733"/>
                                <a:gd name="T109" fmla="*/ T108 w 3022"/>
                                <a:gd name="T110" fmla="+- 0 13189 11175"/>
                                <a:gd name="T111" fmla="*/ 13189 h 3537"/>
                                <a:gd name="T112" fmla="+- 0 3708 733"/>
                                <a:gd name="T113" fmla="*/ T112 w 3022"/>
                                <a:gd name="T114" fmla="+- 0 13132 11175"/>
                                <a:gd name="T115" fmla="*/ 13132 h 3537"/>
                                <a:gd name="T116" fmla="+- 0 3734 733"/>
                                <a:gd name="T117" fmla="*/ T116 w 3022"/>
                                <a:gd name="T118" fmla="+- 0 13072 11175"/>
                                <a:gd name="T119" fmla="*/ 13072 h 3537"/>
                                <a:gd name="T120" fmla="+- 0 3750 733"/>
                                <a:gd name="T121" fmla="*/ T120 w 3022"/>
                                <a:gd name="T122" fmla="+- 0 13008 11175"/>
                                <a:gd name="T123" fmla="*/ 13008 h 3537"/>
                                <a:gd name="T124" fmla="+- 0 3755 733"/>
                                <a:gd name="T125" fmla="*/ T124 w 3022"/>
                                <a:gd name="T126" fmla="+- 0 12943 11175"/>
                                <a:gd name="T127" fmla="*/ 12943 h 3537"/>
                                <a:gd name="T128" fmla="+- 0 3750 733"/>
                                <a:gd name="T129" fmla="*/ T128 w 3022"/>
                                <a:gd name="T130" fmla="+- 0 12878 11175"/>
                                <a:gd name="T131" fmla="*/ 12878 h 3537"/>
                                <a:gd name="T132" fmla="+- 0 3734 733"/>
                                <a:gd name="T133" fmla="*/ T132 w 3022"/>
                                <a:gd name="T134" fmla="+- 0 12814 11175"/>
                                <a:gd name="T135" fmla="*/ 12814 h 3537"/>
                                <a:gd name="T136" fmla="+- 0 3708 733"/>
                                <a:gd name="T137" fmla="*/ T136 w 3022"/>
                                <a:gd name="T138" fmla="+- 0 12754 11175"/>
                                <a:gd name="T139" fmla="*/ 12754 h 3537"/>
                                <a:gd name="T140" fmla="+- 0 3671 733"/>
                                <a:gd name="T141" fmla="*/ T140 w 3022"/>
                                <a:gd name="T142" fmla="+- 0 12698 11175"/>
                                <a:gd name="T143" fmla="*/ 12698 h 3537"/>
                                <a:gd name="T144" fmla="+- 0 3623 733"/>
                                <a:gd name="T145" fmla="*/ T144 w 3022"/>
                                <a:gd name="T146" fmla="+- 0 12647 11175"/>
                                <a:gd name="T147" fmla="*/ 12647 h 3537"/>
                                <a:gd name="T148" fmla="+- 0 3566 733"/>
                                <a:gd name="T149" fmla="*/ T148 w 3022"/>
                                <a:gd name="T150" fmla="+- 0 12604 11175"/>
                                <a:gd name="T151" fmla="*/ 12604 h 3537"/>
                                <a:gd name="T152" fmla="+- 0 1340 733"/>
                                <a:gd name="T153" fmla="*/ T152 w 3022"/>
                                <a:gd name="T154" fmla="+- 0 11234 11175"/>
                                <a:gd name="T155" fmla="*/ 11234 h 3537"/>
                                <a:gd name="T156" fmla="+- 0 1277 733"/>
                                <a:gd name="T157" fmla="*/ T156 w 3022"/>
                                <a:gd name="T158" fmla="+- 0 11203 11175"/>
                                <a:gd name="T159" fmla="*/ 11203 h 3537"/>
                                <a:gd name="T160" fmla="+- 0 1213 733"/>
                                <a:gd name="T161" fmla="*/ T160 w 3022"/>
                                <a:gd name="T162" fmla="+- 0 11183 11175"/>
                                <a:gd name="T163" fmla="*/ 11183 h 3537"/>
                                <a:gd name="T164" fmla="+- 0 1149 733"/>
                                <a:gd name="T165" fmla="*/ T164 w 3022"/>
                                <a:gd name="T166" fmla="+- 0 11175 11175"/>
                                <a:gd name="T167" fmla="*/ 11175 h 3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022" h="3537">
                                  <a:moveTo>
                                    <a:pt x="416" y="0"/>
                                  </a:moveTo>
                                  <a:lnTo>
                                    <a:pt x="352" y="2"/>
                                  </a:lnTo>
                                  <a:lnTo>
                                    <a:pt x="291" y="15"/>
                                  </a:lnTo>
                                  <a:lnTo>
                                    <a:pt x="232" y="36"/>
                                  </a:lnTo>
                                  <a:lnTo>
                                    <a:pt x="177" y="67"/>
                                  </a:lnTo>
                                  <a:lnTo>
                                    <a:pt x="128" y="106"/>
                                  </a:lnTo>
                                  <a:lnTo>
                                    <a:pt x="85" y="152"/>
                                  </a:lnTo>
                                  <a:lnTo>
                                    <a:pt x="49" y="205"/>
                                  </a:lnTo>
                                  <a:lnTo>
                                    <a:pt x="23" y="264"/>
                                  </a:lnTo>
                                  <a:lnTo>
                                    <a:pt x="6" y="328"/>
                                  </a:lnTo>
                                  <a:lnTo>
                                    <a:pt x="0" y="398"/>
                                  </a:lnTo>
                                  <a:lnTo>
                                    <a:pt x="0" y="3138"/>
                                  </a:lnTo>
                                  <a:lnTo>
                                    <a:pt x="6" y="3208"/>
                                  </a:lnTo>
                                  <a:lnTo>
                                    <a:pt x="23" y="3272"/>
                                  </a:lnTo>
                                  <a:lnTo>
                                    <a:pt x="49" y="3332"/>
                                  </a:lnTo>
                                  <a:lnTo>
                                    <a:pt x="85" y="3385"/>
                                  </a:lnTo>
                                  <a:lnTo>
                                    <a:pt x="128" y="3431"/>
                                  </a:lnTo>
                                  <a:lnTo>
                                    <a:pt x="177" y="3469"/>
                                  </a:lnTo>
                                  <a:lnTo>
                                    <a:pt x="232" y="3500"/>
                                  </a:lnTo>
                                  <a:lnTo>
                                    <a:pt x="291" y="3522"/>
                                  </a:lnTo>
                                  <a:lnTo>
                                    <a:pt x="352" y="3534"/>
                                  </a:lnTo>
                                  <a:lnTo>
                                    <a:pt x="416" y="3536"/>
                                  </a:lnTo>
                                  <a:lnTo>
                                    <a:pt x="480" y="3528"/>
                                  </a:lnTo>
                                  <a:lnTo>
                                    <a:pt x="544" y="3509"/>
                                  </a:lnTo>
                                  <a:lnTo>
                                    <a:pt x="607" y="3477"/>
                                  </a:lnTo>
                                  <a:lnTo>
                                    <a:pt x="2833" y="2107"/>
                                  </a:lnTo>
                                  <a:lnTo>
                                    <a:pt x="2890" y="2064"/>
                                  </a:lnTo>
                                  <a:lnTo>
                                    <a:pt x="2938" y="2014"/>
                                  </a:lnTo>
                                  <a:lnTo>
                                    <a:pt x="2975" y="1957"/>
                                  </a:lnTo>
                                  <a:lnTo>
                                    <a:pt x="3001" y="1897"/>
                                  </a:lnTo>
                                  <a:lnTo>
                                    <a:pt x="3017" y="1833"/>
                                  </a:lnTo>
                                  <a:lnTo>
                                    <a:pt x="3022" y="1768"/>
                                  </a:lnTo>
                                  <a:lnTo>
                                    <a:pt x="3017" y="1703"/>
                                  </a:lnTo>
                                  <a:lnTo>
                                    <a:pt x="3001" y="1639"/>
                                  </a:lnTo>
                                  <a:lnTo>
                                    <a:pt x="2975" y="1579"/>
                                  </a:lnTo>
                                  <a:lnTo>
                                    <a:pt x="2938" y="1523"/>
                                  </a:lnTo>
                                  <a:lnTo>
                                    <a:pt x="2890" y="1472"/>
                                  </a:lnTo>
                                  <a:lnTo>
                                    <a:pt x="2833" y="1429"/>
                                  </a:lnTo>
                                  <a:lnTo>
                                    <a:pt x="607" y="59"/>
                                  </a:lnTo>
                                  <a:lnTo>
                                    <a:pt x="544" y="28"/>
                                  </a:lnTo>
                                  <a:lnTo>
                                    <a:pt x="480" y="8"/>
                                  </a:lnTo>
                                  <a:lnTo>
                                    <a:pt x="416" y="0"/>
                                  </a:lnTo>
                                  <a:close/>
                                </a:path>
                              </a:pathLst>
                            </a:custGeom>
                            <a:solidFill>
                              <a:srgbClr val="F59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6391162" name="Freeform 19"/>
                          <wps:cNvSpPr>
                            <a:spLocks/>
                          </wps:cNvSpPr>
                          <wps:spPr bwMode="auto">
                            <a:xfrm>
                              <a:off x="0" y="1637969"/>
                              <a:ext cx="1918970" cy="2245995"/>
                            </a:xfrm>
                            <a:custGeom>
                              <a:avLst/>
                              <a:gdLst>
                                <a:gd name="T0" fmla="+- 0 1149 733"/>
                                <a:gd name="T1" fmla="*/ T0 w 3022"/>
                                <a:gd name="T2" fmla="+- 0 8597 8597"/>
                                <a:gd name="T3" fmla="*/ 8597 h 3537"/>
                                <a:gd name="T4" fmla="+- 0 1085 733"/>
                                <a:gd name="T5" fmla="*/ T4 w 3022"/>
                                <a:gd name="T6" fmla="+- 0 8599 8597"/>
                                <a:gd name="T7" fmla="*/ 8599 h 3537"/>
                                <a:gd name="T8" fmla="+- 0 1024 733"/>
                                <a:gd name="T9" fmla="*/ T8 w 3022"/>
                                <a:gd name="T10" fmla="+- 0 8612 8597"/>
                                <a:gd name="T11" fmla="*/ 8612 h 3537"/>
                                <a:gd name="T12" fmla="+- 0 965 733"/>
                                <a:gd name="T13" fmla="*/ T12 w 3022"/>
                                <a:gd name="T14" fmla="+- 0 8634 8597"/>
                                <a:gd name="T15" fmla="*/ 8634 h 3537"/>
                                <a:gd name="T16" fmla="+- 0 910 733"/>
                                <a:gd name="T17" fmla="*/ T16 w 3022"/>
                                <a:gd name="T18" fmla="+- 0 8664 8597"/>
                                <a:gd name="T19" fmla="*/ 8664 h 3537"/>
                                <a:gd name="T20" fmla="+- 0 861 733"/>
                                <a:gd name="T21" fmla="*/ T20 w 3022"/>
                                <a:gd name="T22" fmla="+- 0 8703 8597"/>
                                <a:gd name="T23" fmla="*/ 8703 h 3537"/>
                                <a:gd name="T24" fmla="+- 0 818 733"/>
                                <a:gd name="T25" fmla="*/ T24 w 3022"/>
                                <a:gd name="T26" fmla="+- 0 8749 8597"/>
                                <a:gd name="T27" fmla="*/ 8749 h 3537"/>
                                <a:gd name="T28" fmla="+- 0 782 733"/>
                                <a:gd name="T29" fmla="*/ T28 w 3022"/>
                                <a:gd name="T30" fmla="+- 0 8802 8597"/>
                                <a:gd name="T31" fmla="*/ 8802 h 3537"/>
                                <a:gd name="T32" fmla="+- 0 756 733"/>
                                <a:gd name="T33" fmla="*/ T32 w 3022"/>
                                <a:gd name="T34" fmla="+- 0 8861 8597"/>
                                <a:gd name="T35" fmla="*/ 8861 h 3537"/>
                                <a:gd name="T36" fmla="+- 0 739 733"/>
                                <a:gd name="T37" fmla="*/ T36 w 3022"/>
                                <a:gd name="T38" fmla="+- 0 8926 8597"/>
                                <a:gd name="T39" fmla="*/ 8926 h 3537"/>
                                <a:gd name="T40" fmla="+- 0 733 733"/>
                                <a:gd name="T41" fmla="*/ T40 w 3022"/>
                                <a:gd name="T42" fmla="+- 0 8995 8597"/>
                                <a:gd name="T43" fmla="*/ 8995 h 3537"/>
                                <a:gd name="T44" fmla="+- 0 733 733"/>
                                <a:gd name="T45" fmla="*/ T44 w 3022"/>
                                <a:gd name="T46" fmla="+- 0 11735 8597"/>
                                <a:gd name="T47" fmla="*/ 11735 h 3537"/>
                                <a:gd name="T48" fmla="+- 0 739 733"/>
                                <a:gd name="T49" fmla="*/ T48 w 3022"/>
                                <a:gd name="T50" fmla="+- 0 11805 8597"/>
                                <a:gd name="T51" fmla="*/ 11805 h 3537"/>
                                <a:gd name="T52" fmla="+- 0 756 733"/>
                                <a:gd name="T53" fmla="*/ T52 w 3022"/>
                                <a:gd name="T54" fmla="+- 0 11870 8597"/>
                                <a:gd name="T55" fmla="*/ 11870 h 3537"/>
                                <a:gd name="T56" fmla="+- 0 782 733"/>
                                <a:gd name="T57" fmla="*/ T56 w 3022"/>
                                <a:gd name="T58" fmla="+- 0 11929 8597"/>
                                <a:gd name="T59" fmla="*/ 11929 h 3537"/>
                                <a:gd name="T60" fmla="+- 0 818 733"/>
                                <a:gd name="T61" fmla="*/ T60 w 3022"/>
                                <a:gd name="T62" fmla="+- 0 11982 8597"/>
                                <a:gd name="T63" fmla="*/ 11982 h 3537"/>
                                <a:gd name="T64" fmla="+- 0 861 733"/>
                                <a:gd name="T65" fmla="*/ T64 w 3022"/>
                                <a:gd name="T66" fmla="+- 0 12028 8597"/>
                                <a:gd name="T67" fmla="*/ 12028 h 3537"/>
                                <a:gd name="T68" fmla="+- 0 910 733"/>
                                <a:gd name="T69" fmla="*/ T68 w 3022"/>
                                <a:gd name="T70" fmla="+- 0 12067 8597"/>
                                <a:gd name="T71" fmla="*/ 12067 h 3537"/>
                                <a:gd name="T72" fmla="+- 0 965 733"/>
                                <a:gd name="T73" fmla="*/ T72 w 3022"/>
                                <a:gd name="T74" fmla="+- 0 12097 8597"/>
                                <a:gd name="T75" fmla="*/ 12097 h 3537"/>
                                <a:gd name="T76" fmla="+- 0 1024 733"/>
                                <a:gd name="T77" fmla="*/ T76 w 3022"/>
                                <a:gd name="T78" fmla="+- 0 12119 8597"/>
                                <a:gd name="T79" fmla="*/ 12119 h 3537"/>
                                <a:gd name="T80" fmla="+- 0 1085 733"/>
                                <a:gd name="T81" fmla="*/ T80 w 3022"/>
                                <a:gd name="T82" fmla="+- 0 12131 8597"/>
                                <a:gd name="T83" fmla="*/ 12131 h 3537"/>
                                <a:gd name="T84" fmla="+- 0 1149 733"/>
                                <a:gd name="T85" fmla="*/ T84 w 3022"/>
                                <a:gd name="T86" fmla="+- 0 12134 8597"/>
                                <a:gd name="T87" fmla="*/ 12134 h 3537"/>
                                <a:gd name="T88" fmla="+- 0 1213 733"/>
                                <a:gd name="T89" fmla="*/ T88 w 3022"/>
                                <a:gd name="T90" fmla="+- 0 12125 8597"/>
                                <a:gd name="T91" fmla="*/ 12125 h 3537"/>
                                <a:gd name="T92" fmla="+- 0 1277 733"/>
                                <a:gd name="T93" fmla="*/ T92 w 3022"/>
                                <a:gd name="T94" fmla="+- 0 12106 8597"/>
                                <a:gd name="T95" fmla="*/ 12106 h 3537"/>
                                <a:gd name="T96" fmla="+- 0 1340 733"/>
                                <a:gd name="T97" fmla="*/ T96 w 3022"/>
                                <a:gd name="T98" fmla="+- 0 12074 8597"/>
                                <a:gd name="T99" fmla="*/ 12074 h 3537"/>
                                <a:gd name="T100" fmla="+- 0 3566 733"/>
                                <a:gd name="T101" fmla="*/ T100 w 3022"/>
                                <a:gd name="T102" fmla="+- 0 10704 8597"/>
                                <a:gd name="T103" fmla="*/ 10704 h 3537"/>
                                <a:gd name="T104" fmla="+- 0 3623 733"/>
                                <a:gd name="T105" fmla="*/ T104 w 3022"/>
                                <a:gd name="T106" fmla="+- 0 10661 8597"/>
                                <a:gd name="T107" fmla="*/ 10661 h 3537"/>
                                <a:gd name="T108" fmla="+- 0 3671 733"/>
                                <a:gd name="T109" fmla="*/ T108 w 3022"/>
                                <a:gd name="T110" fmla="+- 0 10611 8597"/>
                                <a:gd name="T111" fmla="*/ 10611 h 3537"/>
                                <a:gd name="T112" fmla="+- 0 3708 733"/>
                                <a:gd name="T113" fmla="*/ T112 w 3022"/>
                                <a:gd name="T114" fmla="+- 0 10555 8597"/>
                                <a:gd name="T115" fmla="*/ 10555 h 3537"/>
                                <a:gd name="T116" fmla="+- 0 3734 733"/>
                                <a:gd name="T117" fmla="*/ T116 w 3022"/>
                                <a:gd name="T118" fmla="+- 0 10494 8597"/>
                                <a:gd name="T119" fmla="*/ 10494 h 3537"/>
                                <a:gd name="T120" fmla="+- 0 3750 733"/>
                                <a:gd name="T121" fmla="*/ T120 w 3022"/>
                                <a:gd name="T122" fmla="+- 0 10430 8597"/>
                                <a:gd name="T123" fmla="*/ 10430 h 3537"/>
                                <a:gd name="T124" fmla="+- 0 3755 733"/>
                                <a:gd name="T125" fmla="*/ T124 w 3022"/>
                                <a:gd name="T126" fmla="+- 0 10365 8597"/>
                                <a:gd name="T127" fmla="*/ 10365 h 3537"/>
                                <a:gd name="T128" fmla="+- 0 3750 733"/>
                                <a:gd name="T129" fmla="*/ T128 w 3022"/>
                                <a:gd name="T130" fmla="+- 0 10300 8597"/>
                                <a:gd name="T131" fmla="*/ 10300 h 3537"/>
                                <a:gd name="T132" fmla="+- 0 3734 733"/>
                                <a:gd name="T133" fmla="*/ T132 w 3022"/>
                                <a:gd name="T134" fmla="+- 0 10237 8597"/>
                                <a:gd name="T135" fmla="*/ 10237 h 3537"/>
                                <a:gd name="T136" fmla="+- 0 3708 733"/>
                                <a:gd name="T137" fmla="*/ T136 w 3022"/>
                                <a:gd name="T138" fmla="+- 0 10176 8597"/>
                                <a:gd name="T139" fmla="*/ 10176 h 3537"/>
                                <a:gd name="T140" fmla="+- 0 3671 733"/>
                                <a:gd name="T141" fmla="*/ T140 w 3022"/>
                                <a:gd name="T142" fmla="+- 0 10120 8597"/>
                                <a:gd name="T143" fmla="*/ 10120 h 3537"/>
                                <a:gd name="T144" fmla="+- 0 3623 733"/>
                                <a:gd name="T145" fmla="*/ T144 w 3022"/>
                                <a:gd name="T146" fmla="+- 0 10069 8597"/>
                                <a:gd name="T147" fmla="*/ 10069 h 3537"/>
                                <a:gd name="T148" fmla="+- 0 3566 733"/>
                                <a:gd name="T149" fmla="*/ T148 w 3022"/>
                                <a:gd name="T150" fmla="+- 0 10026 8597"/>
                                <a:gd name="T151" fmla="*/ 10026 h 3537"/>
                                <a:gd name="T152" fmla="+- 0 1340 733"/>
                                <a:gd name="T153" fmla="*/ T152 w 3022"/>
                                <a:gd name="T154" fmla="+- 0 8656 8597"/>
                                <a:gd name="T155" fmla="*/ 8656 h 3537"/>
                                <a:gd name="T156" fmla="+- 0 1277 733"/>
                                <a:gd name="T157" fmla="*/ T156 w 3022"/>
                                <a:gd name="T158" fmla="+- 0 8625 8597"/>
                                <a:gd name="T159" fmla="*/ 8625 h 3537"/>
                                <a:gd name="T160" fmla="+- 0 1213 733"/>
                                <a:gd name="T161" fmla="*/ T160 w 3022"/>
                                <a:gd name="T162" fmla="+- 0 8605 8597"/>
                                <a:gd name="T163" fmla="*/ 8605 h 3537"/>
                                <a:gd name="T164" fmla="+- 0 1149 733"/>
                                <a:gd name="T165" fmla="*/ T164 w 3022"/>
                                <a:gd name="T166" fmla="+- 0 8597 8597"/>
                                <a:gd name="T167" fmla="*/ 8597 h 3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022" h="3537">
                                  <a:moveTo>
                                    <a:pt x="416" y="0"/>
                                  </a:moveTo>
                                  <a:lnTo>
                                    <a:pt x="352" y="2"/>
                                  </a:lnTo>
                                  <a:lnTo>
                                    <a:pt x="291" y="15"/>
                                  </a:lnTo>
                                  <a:lnTo>
                                    <a:pt x="232" y="37"/>
                                  </a:lnTo>
                                  <a:lnTo>
                                    <a:pt x="177" y="67"/>
                                  </a:lnTo>
                                  <a:lnTo>
                                    <a:pt x="128" y="106"/>
                                  </a:lnTo>
                                  <a:lnTo>
                                    <a:pt x="85" y="152"/>
                                  </a:lnTo>
                                  <a:lnTo>
                                    <a:pt x="49" y="205"/>
                                  </a:lnTo>
                                  <a:lnTo>
                                    <a:pt x="23" y="264"/>
                                  </a:lnTo>
                                  <a:lnTo>
                                    <a:pt x="6" y="329"/>
                                  </a:lnTo>
                                  <a:lnTo>
                                    <a:pt x="0" y="398"/>
                                  </a:lnTo>
                                  <a:lnTo>
                                    <a:pt x="0" y="3138"/>
                                  </a:lnTo>
                                  <a:lnTo>
                                    <a:pt x="6" y="3208"/>
                                  </a:lnTo>
                                  <a:lnTo>
                                    <a:pt x="23" y="3273"/>
                                  </a:lnTo>
                                  <a:lnTo>
                                    <a:pt x="49" y="3332"/>
                                  </a:lnTo>
                                  <a:lnTo>
                                    <a:pt x="85" y="3385"/>
                                  </a:lnTo>
                                  <a:lnTo>
                                    <a:pt x="128" y="3431"/>
                                  </a:lnTo>
                                  <a:lnTo>
                                    <a:pt x="177" y="3470"/>
                                  </a:lnTo>
                                  <a:lnTo>
                                    <a:pt x="232" y="3500"/>
                                  </a:lnTo>
                                  <a:lnTo>
                                    <a:pt x="291" y="3522"/>
                                  </a:lnTo>
                                  <a:lnTo>
                                    <a:pt x="352" y="3534"/>
                                  </a:lnTo>
                                  <a:lnTo>
                                    <a:pt x="416" y="3537"/>
                                  </a:lnTo>
                                  <a:lnTo>
                                    <a:pt x="480" y="3528"/>
                                  </a:lnTo>
                                  <a:lnTo>
                                    <a:pt x="544" y="3509"/>
                                  </a:lnTo>
                                  <a:lnTo>
                                    <a:pt x="607" y="3477"/>
                                  </a:lnTo>
                                  <a:lnTo>
                                    <a:pt x="2833" y="2107"/>
                                  </a:lnTo>
                                  <a:lnTo>
                                    <a:pt x="2890" y="2064"/>
                                  </a:lnTo>
                                  <a:lnTo>
                                    <a:pt x="2938" y="2014"/>
                                  </a:lnTo>
                                  <a:lnTo>
                                    <a:pt x="2975" y="1958"/>
                                  </a:lnTo>
                                  <a:lnTo>
                                    <a:pt x="3001" y="1897"/>
                                  </a:lnTo>
                                  <a:lnTo>
                                    <a:pt x="3017" y="1833"/>
                                  </a:lnTo>
                                  <a:lnTo>
                                    <a:pt x="3022" y="1768"/>
                                  </a:lnTo>
                                  <a:lnTo>
                                    <a:pt x="3017" y="1703"/>
                                  </a:lnTo>
                                  <a:lnTo>
                                    <a:pt x="3001" y="1640"/>
                                  </a:lnTo>
                                  <a:lnTo>
                                    <a:pt x="2975" y="1579"/>
                                  </a:lnTo>
                                  <a:lnTo>
                                    <a:pt x="2938" y="1523"/>
                                  </a:lnTo>
                                  <a:lnTo>
                                    <a:pt x="2890" y="1472"/>
                                  </a:lnTo>
                                  <a:lnTo>
                                    <a:pt x="2833" y="1429"/>
                                  </a:lnTo>
                                  <a:lnTo>
                                    <a:pt x="607" y="59"/>
                                  </a:lnTo>
                                  <a:lnTo>
                                    <a:pt x="544" y="28"/>
                                  </a:lnTo>
                                  <a:lnTo>
                                    <a:pt x="480" y="8"/>
                                  </a:lnTo>
                                  <a:lnTo>
                                    <a:pt x="416" y="0"/>
                                  </a:lnTo>
                                  <a:close/>
                                </a:path>
                              </a:pathLst>
                            </a:custGeom>
                            <a:solidFill>
                              <a:srgbClr val="EA4B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122329" name="Freeform 18"/>
                          <wps:cNvSpPr>
                            <a:spLocks/>
                          </wps:cNvSpPr>
                          <wps:spPr bwMode="auto">
                            <a:xfrm>
                              <a:off x="0" y="3275937"/>
                              <a:ext cx="819150" cy="608965"/>
                            </a:xfrm>
                            <a:custGeom>
                              <a:avLst/>
                              <a:gdLst>
                                <a:gd name="T0" fmla="+- 0 1149 733"/>
                                <a:gd name="T1" fmla="*/ T0 w 1290"/>
                                <a:gd name="T2" fmla="+- 0 11175 11175"/>
                                <a:gd name="T3" fmla="*/ 11175 h 959"/>
                                <a:gd name="T4" fmla="+- 0 1085 733"/>
                                <a:gd name="T5" fmla="*/ T4 w 1290"/>
                                <a:gd name="T6" fmla="+- 0 11177 11175"/>
                                <a:gd name="T7" fmla="*/ 11177 h 959"/>
                                <a:gd name="T8" fmla="+- 0 1024 733"/>
                                <a:gd name="T9" fmla="*/ T8 w 1290"/>
                                <a:gd name="T10" fmla="+- 0 11190 11175"/>
                                <a:gd name="T11" fmla="*/ 11190 h 959"/>
                                <a:gd name="T12" fmla="+- 0 965 733"/>
                                <a:gd name="T13" fmla="*/ T12 w 1290"/>
                                <a:gd name="T14" fmla="+- 0 11211 11175"/>
                                <a:gd name="T15" fmla="*/ 11211 h 959"/>
                                <a:gd name="T16" fmla="+- 0 910 733"/>
                                <a:gd name="T17" fmla="*/ T16 w 1290"/>
                                <a:gd name="T18" fmla="+- 0 11242 11175"/>
                                <a:gd name="T19" fmla="*/ 11242 h 959"/>
                                <a:gd name="T20" fmla="+- 0 861 733"/>
                                <a:gd name="T21" fmla="*/ T20 w 1290"/>
                                <a:gd name="T22" fmla="+- 0 11281 11175"/>
                                <a:gd name="T23" fmla="*/ 11281 h 959"/>
                                <a:gd name="T24" fmla="+- 0 818 733"/>
                                <a:gd name="T25" fmla="*/ T24 w 1290"/>
                                <a:gd name="T26" fmla="+- 0 11327 11175"/>
                                <a:gd name="T27" fmla="*/ 11327 h 959"/>
                                <a:gd name="T28" fmla="+- 0 782 733"/>
                                <a:gd name="T29" fmla="*/ T28 w 1290"/>
                                <a:gd name="T30" fmla="+- 0 11380 11175"/>
                                <a:gd name="T31" fmla="*/ 11380 h 959"/>
                                <a:gd name="T32" fmla="+- 0 756 733"/>
                                <a:gd name="T33" fmla="*/ T32 w 1290"/>
                                <a:gd name="T34" fmla="+- 0 11439 11175"/>
                                <a:gd name="T35" fmla="*/ 11439 h 959"/>
                                <a:gd name="T36" fmla="+- 0 739 733"/>
                                <a:gd name="T37" fmla="*/ T36 w 1290"/>
                                <a:gd name="T38" fmla="+- 0 11503 11175"/>
                                <a:gd name="T39" fmla="*/ 11503 h 959"/>
                                <a:gd name="T40" fmla="+- 0 733 733"/>
                                <a:gd name="T41" fmla="*/ T40 w 1290"/>
                                <a:gd name="T42" fmla="+- 0 11573 11175"/>
                                <a:gd name="T43" fmla="*/ 11573 h 959"/>
                                <a:gd name="T44" fmla="+- 0 733 733"/>
                                <a:gd name="T45" fmla="*/ T44 w 1290"/>
                                <a:gd name="T46" fmla="+- 0 11735 11175"/>
                                <a:gd name="T47" fmla="*/ 11735 h 959"/>
                                <a:gd name="T48" fmla="+- 0 739 733"/>
                                <a:gd name="T49" fmla="*/ T48 w 1290"/>
                                <a:gd name="T50" fmla="+- 0 11805 11175"/>
                                <a:gd name="T51" fmla="*/ 11805 h 959"/>
                                <a:gd name="T52" fmla="+- 0 756 733"/>
                                <a:gd name="T53" fmla="*/ T52 w 1290"/>
                                <a:gd name="T54" fmla="+- 0 11870 11175"/>
                                <a:gd name="T55" fmla="*/ 11870 h 959"/>
                                <a:gd name="T56" fmla="+- 0 782 733"/>
                                <a:gd name="T57" fmla="*/ T56 w 1290"/>
                                <a:gd name="T58" fmla="+- 0 11929 11175"/>
                                <a:gd name="T59" fmla="*/ 11929 h 959"/>
                                <a:gd name="T60" fmla="+- 0 818 733"/>
                                <a:gd name="T61" fmla="*/ T60 w 1290"/>
                                <a:gd name="T62" fmla="+- 0 11982 11175"/>
                                <a:gd name="T63" fmla="*/ 11982 h 959"/>
                                <a:gd name="T64" fmla="+- 0 861 733"/>
                                <a:gd name="T65" fmla="*/ T64 w 1290"/>
                                <a:gd name="T66" fmla="+- 0 12028 11175"/>
                                <a:gd name="T67" fmla="*/ 12028 h 959"/>
                                <a:gd name="T68" fmla="+- 0 910 733"/>
                                <a:gd name="T69" fmla="*/ T68 w 1290"/>
                                <a:gd name="T70" fmla="+- 0 12067 11175"/>
                                <a:gd name="T71" fmla="*/ 12067 h 959"/>
                                <a:gd name="T72" fmla="+- 0 965 733"/>
                                <a:gd name="T73" fmla="*/ T72 w 1290"/>
                                <a:gd name="T74" fmla="+- 0 12097 11175"/>
                                <a:gd name="T75" fmla="*/ 12097 h 959"/>
                                <a:gd name="T76" fmla="+- 0 1024 733"/>
                                <a:gd name="T77" fmla="*/ T76 w 1290"/>
                                <a:gd name="T78" fmla="+- 0 12119 11175"/>
                                <a:gd name="T79" fmla="*/ 12119 h 959"/>
                                <a:gd name="T80" fmla="+- 0 1085 733"/>
                                <a:gd name="T81" fmla="*/ T80 w 1290"/>
                                <a:gd name="T82" fmla="+- 0 12131 11175"/>
                                <a:gd name="T83" fmla="*/ 12131 h 959"/>
                                <a:gd name="T84" fmla="+- 0 1149 733"/>
                                <a:gd name="T85" fmla="*/ T84 w 1290"/>
                                <a:gd name="T86" fmla="+- 0 12134 11175"/>
                                <a:gd name="T87" fmla="*/ 12134 h 959"/>
                                <a:gd name="T88" fmla="+- 0 1213 733"/>
                                <a:gd name="T89" fmla="*/ T88 w 1290"/>
                                <a:gd name="T90" fmla="+- 0 12125 11175"/>
                                <a:gd name="T91" fmla="*/ 12125 h 959"/>
                                <a:gd name="T92" fmla="+- 0 1277 733"/>
                                <a:gd name="T93" fmla="*/ T92 w 1290"/>
                                <a:gd name="T94" fmla="+- 0 12106 11175"/>
                                <a:gd name="T95" fmla="*/ 12106 h 959"/>
                                <a:gd name="T96" fmla="+- 0 1340 733"/>
                                <a:gd name="T97" fmla="*/ T96 w 1290"/>
                                <a:gd name="T98" fmla="+- 0 12074 11175"/>
                                <a:gd name="T99" fmla="*/ 12074 h 959"/>
                                <a:gd name="T100" fmla="+- 0 2022 733"/>
                                <a:gd name="T101" fmla="*/ T100 w 1290"/>
                                <a:gd name="T102" fmla="+- 0 11654 11175"/>
                                <a:gd name="T103" fmla="*/ 11654 h 959"/>
                                <a:gd name="T104" fmla="+- 0 1340 733"/>
                                <a:gd name="T105" fmla="*/ T104 w 1290"/>
                                <a:gd name="T106" fmla="+- 0 11234 11175"/>
                                <a:gd name="T107" fmla="*/ 11234 h 959"/>
                                <a:gd name="T108" fmla="+- 0 1277 733"/>
                                <a:gd name="T109" fmla="*/ T108 w 1290"/>
                                <a:gd name="T110" fmla="+- 0 11203 11175"/>
                                <a:gd name="T111" fmla="*/ 11203 h 959"/>
                                <a:gd name="T112" fmla="+- 0 1213 733"/>
                                <a:gd name="T113" fmla="*/ T112 w 1290"/>
                                <a:gd name="T114" fmla="+- 0 11183 11175"/>
                                <a:gd name="T115" fmla="*/ 11183 h 959"/>
                                <a:gd name="T116" fmla="+- 0 1149 733"/>
                                <a:gd name="T117" fmla="*/ T116 w 1290"/>
                                <a:gd name="T118" fmla="+- 0 11175 11175"/>
                                <a:gd name="T119" fmla="*/ 11175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90" h="959">
                                  <a:moveTo>
                                    <a:pt x="416" y="0"/>
                                  </a:moveTo>
                                  <a:lnTo>
                                    <a:pt x="352" y="2"/>
                                  </a:lnTo>
                                  <a:lnTo>
                                    <a:pt x="291" y="15"/>
                                  </a:lnTo>
                                  <a:lnTo>
                                    <a:pt x="232" y="36"/>
                                  </a:lnTo>
                                  <a:lnTo>
                                    <a:pt x="177" y="67"/>
                                  </a:lnTo>
                                  <a:lnTo>
                                    <a:pt x="128" y="106"/>
                                  </a:lnTo>
                                  <a:lnTo>
                                    <a:pt x="85" y="152"/>
                                  </a:lnTo>
                                  <a:lnTo>
                                    <a:pt x="49" y="205"/>
                                  </a:lnTo>
                                  <a:lnTo>
                                    <a:pt x="23" y="264"/>
                                  </a:lnTo>
                                  <a:lnTo>
                                    <a:pt x="6" y="328"/>
                                  </a:lnTo>
                                  <a:lnTo>
                                    <a:pt x="0" y="398"/>
                                  </a:lnTo>
                                  <a:lnTo>
                                    <a:pt x="0" y="560"/>
                                  </a:lnTo>
                                  <a:lnTo>
                                    <a:pt x="6" y="630"/>
                                  </a:lnTo>
                                  <a:lnTo>
                                    <a:pt x="23" y="695"/>
                                  </a:lnTo>
                                  <a:lnTo>
                                    <a:pt x="49" y="754"/>
                                  </a:lnTo>
                                  <a:lnTo>
                                    <a:pt x="85" y="807"/>
                                  </a:lnTo>
                                  <a:lnTo>
                                    <a:pt x="128" y="853"/>
                                  </a:lnTo>
                                  <a:lnTo>
                                    <a:pt x="177" y="892"/>
                                  </a:lnTo>
                                  <a:lnTo>
                                    <a:pt x="232" y="922"/>
                                  </a:lnTo>
                                  <a:lnTo>
                                    <a:pt x="291" y="944"/>
                                  </a:lnTo>
                                  <a:lnTo>
                                    <a:pt x="352" y="956"/>
                                  </a:lnTo>
                                  <a:lnTo>
                                    <a:pt x="416" y="959"/>
                                  </a:lnTo>
                                  <a:lnTo>
                                    <a:pt x="480" y="950"/>
                                  </a:lnTo>
                                  <a:lnTo>
                                    <a:pt x="544" y="931"/>
                                  </a:lnTo>
                                  <a:lnTo>
                                    <a:pt x="607" y="899"/>
                                  </a:lnTo>
                                  <a:lnTo>
                                    <a:pt x="1289" y="479"/>
                                  </a:lnTo>
                                  <a:lnTo>
                                    <a:pt x="607" y="59"/>
                                  </a:lnTo>
                                  <a:lnTo>
                                    <a:pt x="544" y="28"/>
                                  </a:lnTo>
                                  <a:lnTo>
                                    <a:pt x="480" y="8"/>
                                  </a:lnTo>
                                  <a:lnTo>
                                    <a:pt x="416" y="0"/>
                                  </a:lnTo>
                                  <a:close/>
                                </a:path>
                              </a:pathLst>
                            </a:custGeom>
                            <a:solidFill>
                              <a:srgbClr val="E6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4756393" name="Freeform 17"/>
                          <wps:cNvSpPr>
                            <a:spLocks/>
                          </wps:cNvSpPr>
                          <wps:spPr bwMode="auto">
                            <a:xfrm>
                              <a:off x="0" y="1637969"/>
                              <a:ext cx="817880" cy="607695"/>
                            </a:xfrm>
                            <a:custGeom>
                              <a:avLst/>
                              <a:gdLst>
                                <a:gd name="T0" fmla="+- 0 1149 733"/>
                                <a:gd name="T1" fmla="*/ T0 w 1288"/>
                                <a:gd name="T2" fmla="+- 0 8597 8597"/>
                                <a:gd name="T3" fmla="*/ 8597 h 957"/>
                                <a:gd name="T4" fmla="+- 0 1085 733"/>
                                <a:gd name="T5" fmla="*/ T4 w 1288"/>
                                <a:gd name="T6" fmla="+- 0 8599 8597"/>
                                <a:gd name="T7" fmla="*/ 8599 h 957"/>
                                <a:gd name="T8" fmla="+- 0 1024 733"/>
                                <a:gd name="T9" fmla="*/ T8 w 1288"/>
                                <a:gd name="T10" fmla="+- 0 8612 8597"/>
                                <a:gd name="T11" fmla="*/ 8612 h 957"/>
                                <a:gd name="T12" fmla="+- 0 965 733"/>
                                <a:gd name="T13" fmla="*/ T12 w 1288"/>
                                <a:gd name="T14" fmla="+- 0 8634 8597"/>
                                <a:gd name="T15" fmla="*/ 8634 h 957"/>
                                <a:gd name="T16" fmla="+- 0 910 733"/>
                                <a:gd name="T17" fmla="*/ T16 w 1288"/>
                                <a:gd name="T18" fmla="+- 0 8664 8597"/>
                                <a:gd name="T19" fmla="*/ 8664 h 957"/>
                                <a:gd name="T20" fmla="+- 0 861 733"/>
                                <a:gd name="T21" fmla="*/ T20 w 1288"/>
                                <a:gd name="T22" fmla="+- 0 8703 8597"/>
                                <a:gd name="T23" fmla="*/ 8703 h 957"/>
                                <a:gd name="T24" fmla="+- 0 818 733"/>
                                <a:gd name="T25" fmla="*/ T24 w 1288"/>
                                <a:gd name="T26" fmla="+- 0 8749 8597"/>
                                <a:gd name="T27" fmla="*/ 8749 h 957"/>
                                <a:gd name="T28" fmla="+- 0 782 733"/>
                                <a:gd name="T29" fmla="*/ T28 w 1288"/>
                                <a:gd name="T30" fmla="+- 0 8802 8597"/>
                                <a:gd name="T31" fmla="*/ 8802 h 957"/>
                                <a:gd name="T32" fmla="+- 0 756 733"/>
                                <a:gd name="T33" fmla="*/ T32 w 1288"/>
                                <a:gd name="T34" fmla="+- 0 8861 8597"/>
                                <a:gd name="T35" fmla="*/ 8861 h 957"/>
                                <a:gd name="T36" fmla="+- 0 739 733"/>
                                <a:gd name="T37" fmla="*/ T36 w 1288"/>
                                <a:gd name="T38" fmla="+- 0 8926 8597"/>
                                <a:gd name="T39" fmla="*/ 8926 h 957"/>
                                <a:gd name="T40" fmla="+- 0 733 733"/>
                                <a:gd name="T41" fmla="*/ T40 w 1288"/>
                                <a:gd name="T42" fmla="+- 0 8995 8597"/>
                                <a:gd name="T43" fmla="*/ 8995 h 957"/>
                                <a:gd name="T44" fmla="+- 0 733 733"/>
                                <a:gd name="T45" fmla="*/ T44 w 1288"/>
                                <a:gd name="T46" fmla="+- 0 9156 8597"/>
                                <a:gd name="T47" fmla="*/ 9156 h 957"/>
                                <a:gd name="T48" fmla="+- 0 739 733"/>
                                <a:gd name="T49" fmla="*/ T48 w 1288"/>
                                <a:gd name="T50" fmla="+- 0 9225 8597"/>
                                <a:gd name="T51" fmla="*/ 9225 h 957"/>
                                <a:gd name="T52" fmla="+- 0 756 733"/>
                                <a:gd name="T53" fmla="*/ T52 w 1288"/>
                                <a:gd name="T54" fmla="+- 0 9290 8597"/>
                                <a:gd name="T55" fmla="*/ 9290 h 957"/>
                                <a:gd name="T56" fmla="+- 0 782 733"/>
                                <a:gd name="T57" fmla="*/ T56 w 1288"/>
                                <a:gd name="T58" fmla="+- 0 9349 8597"/>
                                <a:gd name="T59" fmla="*/ 9349 h 957"/>
                                <a:gd name="T60" fmla="+- 0 818 733"/>
                                <a:gd name="T61" fmla="*/ T60 w 1288"/>
                                <a:gd name="T62" fmla="+- 0 9402 8597"/>
                                <a:gd name="T63" fmla="*/ 9402 h 957"/>
                                <a:gd name="T64" fmla="+- 0 861 733"/>
                                <a:gd name="T65" fmla="*/ T64 w 1288"/>
                                <a:gd name="T66" fmla="+- 0 9448 8597"/>
                                <a:gd name="T67" fmla="*/ 9448 h 957"/>
                                <a:gd name="T68" fmla="+- 0 910 733"/>
                                <a:gd name="T69" fmla="*/ T68 w 1288"/>
                                <a:gd name="T70" fmla="+- 0 9487 8597"/>
                                <a:gd name="T71" fmla="*/ 9487 h 957"/>
                                <a:gd name="T72" fmla="+- 0 965 733"/>
                                <a:gd name="T73" fmla="*/ T72 w 1288"/>
                                <a:gd name="T74" fmla="+- 0 9517 8597"/>
                                <a:gd name="T75" fmla="*/ 9517 h 957"/>
                                <a:gd name="T76" fmla="+- 0 1024 733"/>
                                <a:gd name="T77" fmla="*/ T76 w 1288"/>
                                <a:gd name="T78" fmla="+- 0 9539 8597"/>
                                <a:gd name="T79" fmla="*/ 9539 h 957"/>
                                <a:gd name="T80" fmla="+- 0 1085 733"/>
                                <a:gd name="T81" fmla="*/ T80 w 1288"/>
                                <a:gd name="T82" fmla="+- 0 9551 8597"/>
                                <a:gd name="T83" fmla="*/ 9551 h 957"/>
                                <a:gd name="T84" fmla="+- 0 1149 733"/>
                                <a:gd name="T85" fmla="*/ T84 w 1288"/>
                                <a:gd name="T86" fmla="+- 0 9554 8597"/>
                                <a:gd name="T87" fmla="*/ 9554 h 957"/>
                                <a:gd name="T88" fmla="+- 0 1213 733"/>
                                <a:gd name="T89" fmla="*/ T88 w 1288"/>
                                <a:gd name="T90" fmla="+- 0 9546 8597"/>
                                <a:gd name="T91" fmla="*/ 9546 h 957"/>
                                <a:gd name="T92" fmla="+- 0 1277 733"/>
                                <a:gd name="T93" fmla="*/ T92 w 1288"/>
                                <a:gd name="T94" fmla="+- 0 9526 8597"/>
                                <a:gd name="T95" fmla="*/ 9526 h 957"/>
                                <a:gd name="T96" fmla="+- 0 1340 733"/>
                                <a:gd name="T97" fmla="*/ T96 w 1288"/>
                                <a:gd name="T98" fmla="+- 0 9495 8597"/>
                                <a:gd name="T99" fmla="*/ 9495 h 957"/>
                                <a:gd name="T100" fmla="+- 0 2021 733"/>
                                <a:gd name="T101" fmla="*/ T100 w 1288"/>
                                <a:gd name="T102" fmla="+- 0 9075 8597"/>
                                <a:gd name="T103" fmla="*/ 9075 h 957"/>
                                <a:gd name="T104" fmla="+- 0 1340 733"/>
                                <a:gd name="T105" fmla="*/ T104 w 1288"/>
                                <a:gd name="T106" fmla="+- 0 8656 8597"/>
                                <a:gd name="T107" fmla="*/ 8656 h 957"/>
                                <a:gd name="T108" fmla="+- 0 1277 733"/>
                                <a:gd name="T109" fmla="*/ T108 w 1288"/>
                                <a:gd name="T110" fmla="+- 0 8625 8597"/>
                                <a:gd name="T111" fmla="*/ 8625 h 957"/>
                                <a:gd name="T112" fmla="+- 0 1213 733"/>
                                <a:gd name="T113" fmla="*/ T112 w 1288"/>
                                <a:gd name="T114" fmla="+- 0 8605 8597"/>
                                <a:gd name="T115" fmla="*/ 8605 h 957"/>
                                <a:gd name="T116" fmla="+- 0 1149 733"/>
                                <a:gd name="T117" fmla="*/ T116 w 1288"/>
                                <a:gd name="T118" fmla="+- 0 8597 8597"/>
                                <a:gd name="T119" fmla="*/ 8597 h 9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88" h="957">
                                  <a:moveTo>
                                    <a:pt x="416" y="0"/>
                                  </a:moveTo>
                                  <a:lnTo>
                                    <a:pt x="352" y="2"/>
                                  </a:lnTo>
                                  <a:lnTo>
                                    <a:pt x="291" y="15"/>
                                  </a:lnTo>
                                  <a:lnTo>
                                    <a:pt x="232" y="37"/>
                                  </a:lnTo>
                                  <a:lnTo>
                                    <a:pt x="177" y="67"/>
                                  </a:lnTo>
                                  <a:lnTo>
                                    <a:pt x="128" y="106"/>
                                  </a:lnTo>
                                  <a:lnTo>
                                    <a:pt x="85" y="152"/>
                                  </a:lnTo>
                                  <a:lnTo>
                                    <a:pt x="49" y="205"/>
                                  </a:lnTo>
                                  <a:lnTo>
                                    <a:pt x="23" y="264"/>
                                  </a:lnTo>
                                  <a:lnTo>
                                    <a:pt x="6" y="329"/>
                                  </a:lnTo>
                                  <a:lnTo>
                                    <a:pt x="0" y="398"/>
                                  </a:lnTo>
                                  <a:lnTo>
                                    <a:pt x="0" y="559"/>
                                  </a:lnTo>
                                  <a:lnTo>
                                    <a:pt x="6" y="628"/>
                                  </a:lnTo>
                                  <a:lnTo>
                                    <a:pt x="23" y="693"/>
                                  </a:lnTo>
                                  <a:lnTo>
                                    <a:pt x="49" y="752"/>
                                  </a:lnTo>
                                  <a:lnTo>
                                    <a:pt x="85" y="805"/>
                                  </a:lnTo>
                                  <a:lnTo>
                                    <a:pt x="128" y="851"/>
                                  </a:lnTo>
                                  <a:lnTo>
                                    <a:pt x="177" y="890"/>
                                  </a:lnTo>
                                  <a:lnTo>
                                    <a:pt x="232" y="920"/>
                                  </a:lnTo>
                                  <a:lnTo>
                                    <a:pt x="291" y="942"/>
                                  </a:lnTo>
                                  <a:lnTo>
                                    <a:pt x="352" y="954"/>
                                  </a:lnTo>
                                  <a:lnTo>
                                    <a:pt x="416" y="957"/>
                                  </a:lnTo>
                                  <a:lnTo>
                                    <a:pt x="480" y="949"/>
                                  </a:lnTo>
                                  <a:lnTo>
                                    <a:pt x="544" y="929"/>
                                  </a:lnTo>
                                  <a:lnTo>
                                    <a:pt x="607" y="898"/>
                                  </a:lnTo>
                                  <a:lnTo>
                                    <a:pt x="1288" y="478"/>
                                  </a:lnTo>
                                  <a:lnTo>
                                    <a:pt x="607" y="59"/>
                                  </a:lnTo>
                                  <a:lnTo>
                                    <a:pt x="544" y="28"/>
                                  </a:lnTo>
                                  <a:lnTo>
                                    <a:pt x="480" y="8"/>
                                  </a:lnTo>
                                  <a:lnTo>
                                    <a:pt x="416" y="0"/>
                                  </a:lnTo>
                                  <a:close/>
                                </a:path>
                              </a:pathLst>
                            </a:custGeom>
                            <a:solidFill>
                              <a:srgbClr val="0090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385786" name="Freeform 16"/>
                          <wps:cNvSpPr>
                            <a:spLocks/>
                          </wps:cNvSpPr>
                          <wps:spPr bwMode="auto">
                            <a:xfrm>
                              <a:off x="1693628" y="612251"/>
                              <a:ext cx="1896745" cy="2245995"/>
                            </a:xfrm>
                            <a:custGeom>
                              <a:avLst/>
                              <a:gdLst>
                                <a:gd name="T0" fmla="+- 0 3810 3394"/>
                                <a:gd name="T1" fmla="*/ T0 w 2987"/>
                                <a:gd name="T2" fmla="+- 0 6995 6995"/>
                                <a:gd name="T3" fmla="*/ 6995 h 3537"/>
                                <a:gd name="T4" fmla="+- 0 3747 3394"/>
                                <a:gd name="T5" fmla="*/ T4 w 2987"/>
                                <a:gd name="T6" fmla="+- 0 6998 6995"/>
                                <a:gd name="T7" fmla="*/ 6998 h 3537"/>
                                <a:gd name="T8" fmla="+- 0 3685 3394"/>
                                <a:gd name="T9" fmla="*/ T8 w 2987"/>
                                <a:gd name="T10" fmla="+- 0 7010 6995"/>
                                <a:gd name="T11" fmla="*/ 7010 h 3537"/>
                                <a:gd name="T12" fmla="+- 0 3626 3394"/>
                                <a:gd name="T13" fmla="*/ T12 w 2987"/>
                                <a:gd name="T14" fmla="+- 0 7032 6995"/>
                                <a:gd name="T15" fmla="*/ 7032 h 3537"/>
                                <a:gd name="T16" fmla="+- 0 3571 3394"/>
                                <a:gd name="T17" fmla="*/ T16 w 2987"/>
                                <a:gd name="T18" fmla="+- 0 7062 6995"/>
                                <a:gd name="T19" fmla="*/ 7062 h 3537"/>
                                <a:gd name="T20" fmla="+- 0 3522 3394"/>
                                <a:gd name="T21" fmla="*/ T20 w 2987"/>
                                <a:gd name="T22" fmla="+- 0 7101 6995"/>
                                <a:gd name="T23" fmla="*/ 7101 h 3537"/>
                                <a:gd name="T24" fmla="+- 0 3479 3394"/>
                                <a:gd name="T25" fmla="*/ T24 w 2987"/>
                                <a:gd name="T26" fmla="+- 0 7147 6995"/>
                                <a:gd name="T27" fmla="*/ 7147 h 3537"/>
                                <a:gd name="T28" fmla="+- 0 3444 3394"/>
                                <a:gd name="T29" fmla="*/ T28 w 2987"/>
                                <a:gd name="T30" fmla="+- 0 7200 6995"/>
                                <a:gd name="T31" fmla="*/ 7200 h 3537"/>
                                <a:gd name="T32" fmla="+- 0 3417 3394"/>
                                <a:gd name="T33" fmla="*/ T32 w 2987"/>
                                <a:gd name="T34" fmla="+- 0 7259 6995"/>
                                <a:gd name="T35" fmla="*/ 7259 h 3537"/>
                                <a:gd name="T36" fmla="+- 0 3400 3394"/>
                                <a:gd name="T37" fmla="*/ T36 w 2987"/>
                                <a:gd name="T38" fmla="+- 0 7324 6995"/>
                                <a:gd name="T39" fmla="*/ 7324 h 3537"/>
                                <a:gd name="T40" fmla="+- 0 3394 3394"/>
                                <a:gd name="T41" fmla="*/ T40 w 2987"/>
                                <a:gd name="T42" fmla="+- 0 7393 6995"/>
                                <a:gd name="T43" fmla="*/ 7393 h 3537"/>
                                <a:gd name="T44" fmla="+- 0 3394 3394"/>
                                <a:gd name="T45" fmla="*/ T44 w 2987"/>
                                <a:gd name="T46" fmla="+- 0 10133 6995"/>
                                <a:gd name="T47" fmla="*/ 10133 h 3537"/>
                                <a:gd name="T48" fmla="+- 0 3400 3394"/>
                                <a:gd name="T49" fmla="*/ T48 w 2987"/>
                                <a:gd name="T50" fmla="+- 0 10203 6995"/>
                                <a:gd name="T51" fmla="*/ 10203 h 3537"/>
                                <a:gd name="T52" fmla="+- 0 3417 3394"/>
                                <a:gd name="T53" fmla="*/ T52 w 2987"/>
                                <a:gd name="T54" fmla="+- 0 10268 6995"/>
                                <a:gd name="T55" fmla="*/ 10268 h 3537"/>
                                <a:gd name="T56" fmla="+- 0 3444 3394"/>
                                <a:gd name="T57" fmla="*/ T56 w 2987"/>
                                <a:gd name="T58" fmla="+- 0 10327 6995"/>
                                <a:gd name="T59" fmla="*/ 10327 h 3537"/>
                                <a:gd name="T60" fmla="+- 0 3479 3394"/>
                                <a:gd name="T61" fmla="*/ T60 w 2987"/>
                                <a:gd name="T62" fmla="+- 0 10380 6995"/>
                                <a:gd name="T63" fmla="*/ 10380 h 3537"/>
                                <a:gd name="T64" fmla="+- 0 3522 3394"/>
                                <a:gd name="T65" fmla="*/ T64 w 2987"/>
                                <a:gd name="T66" fmla="+- 0 10426 6995"/>
                                <a:gd name="T67" fmla="*/ 10426 h 3537"/>
                                <a:gd name="T68" fmla="+- 0 3571 3394"/>
                                <a:gd name="T69" fmla="*/ T68 w 2987"/>
                                <a:gd name="T70" fmla="+- 0 10465 6995"/>
                                <a:gd name="T71" fmla="*/ 10465 h 3537"/>
                                <a:gd name="T72" fmla="+- 0 3626 3394"/>
                                <a:gd name="T73" fmla="*/ T72 w 2987"/>
                                <a:gd name="T74" fmla="+- 0 10495 6995"/>
                                <a:gd name="T75" fmla="*/ 10495 h 3537"/>
                                <a:gd name="T76" fmla="+- 0 3685 3394"/>
                                <a:gd name="T77" fmla="*/ T76 w 2987"/>
                                <a:gd name="T78" fmla="+- 0 10517 6995"/>
                                <a:gd name="T79" fmla="*/ 10517 h 3537"/>
                                <a:gd name="T80" fmla="+- 0 3747 3394"/>
                                <a:gd name="T81" fmla="*/ T80 w 2987"/>
                                <a:gd name="T82" fmla="+- 0 10529 6995"/>
                                <a:gd name="T83" fmla="*/ 10529 h 3537"/>
                                <a:gd name="T84" fmla="+- 0 3810 3394"/>
                                <a:gd name="T85" fmla="*/ T84 w 2987"/>
                                <a:gd name="T86" fmla="+- 0 10532 6995"/>
                                <a:gd name="T87" fmla="*/ 10532 h 3537"/>
                                <a:gd name="T88" fmla="+- 0 3875 3394"/>
                                <a:gd name="T89" fmla="*/ T88 w 2987"/>
                                <a:gd name="T90" fmla="+- 0 10523 6995"/>
                                <a:gd name="T91" fmla="*/ 10523 h 3537"/>
                                <a:gd name="T92" fmla="+- 0 3938 3394"/>
                                <a:gd name="T93" fmla="*/ T92 w 2987"/>
                                <a:gd name="T94" fmla="+- 0 10504 6995"/>
                                <a:gd name="T95" fmla="*/ 10504 h 3537"/>
                                <a:gd name="T96" fmla="+- 0 4001 3394"/>
                                <a:gd name="T97" fmla="*/ T96 w 2987"/>
                                <a:gd name="T98" fmla="+- 0 10472 6995"/>
                                <a:gd name="T99" fmla="*/ 10472 h 3537"/>
                                <a:gd name="T100" fmla="+- 0 6015 3394"/>
                                <a:gd name="T101" fmla="*/ T100 w 2987"/>
                                <a:gd name="T102" fmla="+- 0 9233 6995"/>
                                <a:gd name="T103" fmla="*/ 9233 h 3537"/>
                                <a:gd name="T104" fmla="+- 0 6015 3394"/>
                                <a:gd name="T105" fmla="*/ T104 w 2987"/>
                                <a:gd name="T106" fmla="+- 0 8995 6995"/>
                                <a:gd name="T107" fmla="*/ 8995 h 3537"/>
                                <a:gd name="T108" fmla="+- 0 6023 3394"/>
                                <a:gd name="T109" fmla="*/ T108 w 2987"/>
                                <a:gd name="T110" fmla="+- 0 8916 6995"/>
                                <a:gd name="T111" fmla="*/ 8916 h 3537"/>
                                <a:gd name="T112" fmla="+- 0 6045 3394"/>
                                <a:gd name="T113" fmla="*/ T112 w 2987"/>
                                <a:gd name="T114" fmla="+- 0 8843 6995"/>
                                <a:gd name="T115" fmla="*/ 8843 h 3537"/>
                                <a:gd name="T116" fmla="+- 0 6079 3394"/>
                                <a:gd name="T117" fmla="*/ T116 w 2987"/>
                                <a:gd name="T118" fmla="+- 0 8777 6995"/>
                                <a:gd name="T119" fmla="*/ 8777 h 3537"/>
                                <a:gd name="T120" fmla="+- 0 6125 3394"/>
                                <a:gd name="T121" fmla="*/ T120 w 2987"/>
                                <a:gd name="T122" fmla="+- 0 8720 6995"/>
                                <a:gd name="T123" fmla="*/ 8720 h 3537"/>
                                <a:gd name="T124" fmla="+- 0 6180 3394"/>
                                <a:gd name="T125" fmla="*/ T124 w 2987"/>
                                <a:gd name="T126" fmla="+- 0 8673 6995"/>
                                <a:gd name="T127" fmla="*/ 8673 h 3537"/>
                                <a:gd name="T128" fmla="+- 0 6242 3394"/>
                                <a:gd name="T129" fmla="*/ T128 w 2987"/>
                                <a:gd name="T130" fmla="+- 0 8636 6995"/>
                                <a:gd name="T131" fmla="*/ 8636 h 3537"/>
                                <a:gd name="T132" fmla="+- 0 6309 3394"/>
                                <a:gd name="T133" fmla="*/ T132 w 2987"/>
                                <a:gd name="T134" fmla="+- 0 8611 6995"/>
                                <a:gd name="T135" fmla="*/ 8611 h 3537"/>
                                <a:gd name="T136" fmla="+- 0 6381 3394"/>
                                <a:gd name="T137" fmla="*/ T136 w 2987"/>
                                <a:gd name="T138" fmla="+- 0 8598 6995"/>
                                <a:gd name="T139" fmla="*/ 8598 h 3537"/>
                                <a:gd name="T140" fmla="+- 0 6354 3394"/>
                                <a:gd name="T141" fmla="*/ T140 w 2987"/>
                                <a:gd name="T142" fmla="+- 0 8548 6995"/>
                                <a:gd name="T143" fmla="*/ 8548 h 3537"/>
                                <a:gd name="T144" fmla="+- 0 6277 3394"/>
                                <a:gd name="T145" fmla="*/ T144 w 2987"/>
                                <a:gd name="T146" fmla="+- 0 8461 6995"/>
                                <a:gd name="T147" fmla="*/ 8461 h 3537"/>
                                <a:gd name="T148" fmla="+- 0 6227 3394"/>
                                <a:gd name="T149" fmla="*/ T148 w 2987"/>
                                <a:gd name="T150" fmla="+- 0 8424 6995"/>
                                <a:gd name="T151" fmla="*/ 8424 h 3537"/>
                                <a:gd name="T152" fmla="+- 0 4001 3394"/>
                                <a:gd name="T153" fmla="*/ T152 w 2987"/>
                                <a:gd name="T154" fmla="+- 0 7054 6995"/>
                                <a:gd name="T155" fmla="*/ 7054 h 3537"/>
                                <a:gd name="T156" fmla="+- 0 3938 3394"/>
                                <a:gd name="T157" fmla="*/ T156 w 2987"/>
                                <a:gd name="T158" fmla="+- 0 7023 6995"/>
                                <a:gd name="T159" fmla="*/ 7023 h 3537"/>
                                <a:gd name="T160" fmla="+- 0 3875 3394"/>
                                <a:gd name="T161" fmla="*/ T160 w 2987"/>
                                <a:gd name="T162" fmla="+- 0 7003 6995"/>
                                <a:gd name="T163" fmla="*/ 7003 h 3537"/>
                                <a:gd name="T164" fmla="+- 0 3810 3394"/>
                                <a:gd name="T165" fmla="*/ T164 w 2987"/>
                                <a:gd name="T166" fmla="+- 0 6995 6995"/>
                                <a:gd name="T167" fmla="*/ 6995 h 3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987" h="3537">
                                  <a:moveTo>
                                    <a:pt x="416" y="0"/>
                                  </a:moveTo>
                                  <a:lnTo>
                                    <a:pt x="353" y="3"/>
                                  </a:lnTo>
                                  <a:lnTo>
                                    <a:pt x="291" y="15"/>
                                  </a:lnTo>
                                  <a:lnTo>
                                    <a:pt x="232" y="37"/>
                                  </a:lnTo>
                                  <a:lnTo>
                                    <a:pt x="177" y="67"/>
                                  </a:lnTo>
                                  <a:lnTo>
                                    <a:pt x="128" y="106"/>
                                  </a:lnTo>
                                  <a:lnTo>
                                    <a:pt x="85" y="152"/>
                                  </a:lnTo>
                                  <a:lnTo>
                                    <a:pt x="50" y="205"/>
                                  </a:lnTo>
                                  <a:lnTo>
                                    <a:pt x="23" y="264"/>
                                  </a:lnTo>
                                  <a:lnTo>
                                    <a:pt x="6" y="329"/>
                                  </a:lnTo>
                                  <a:lnTo>
                                    <a:pt x="0" y="398"/>
                                  </a:lnTo>
                                  <a:lnTo>
                                    <a:pt x="0" y="3138"/>
                                  </a:lnTo>
                                  <a:lnTo>
                                    <a:pt x="6" y="3208"/>
                                  </a:lnTo>
                                  <a:lnTo>
                                    <a:pt x="23" y="3273"/>
                                  </a:lnTo>
                                  <a:lnTo>
                                    <a:pt x="50" y="3332"/>
                                  </a:lnTo>
                                  <a:lnTo>
                                    <a:pt x="85" y="3385"/>
                                  </a:lnTo>
                                  <a:lnTo>
                                    <a:pt x="128" y="3431"/>
                                  </a:lnTo>
                                  <a:lnTo>
                                    <a:pt x="177" y="3470"/>
                                  </a:lnTo>
                                  <a:lnTo>
                                    <a:pt x="232" y="3500"/>
                                  </a:lnTo>
                                  <a:lnTo>
                                    <a:pt x="291" y="3522"/>
                                  </a:lnTo>
                                  <a:lnTo>
                                    <a:pt x="353" y="3534"/>
                                  </a:lnTo>
                                  <a:lnTo>
                                    <a:pt x="416" y="3537"/>
                                  </a:lnTo>
                                  <a:lnTo>
                                    <a:pt x="481" y="3528"/>
                                  </a:lnTo>
                                  <a:lnTo>
                                    <a:pt x="544" y="3509"/>
                                  </a:lnTo>
                                  <a:lnTo>
                                    <a:pt x="607" y="3477"/>
                                  </a:lnTo>
                                  <a:lnTo>
                                    <a:pt x="2621" y="2238"/>
                                  </a:lnTo>
                                  <a:lnTo>
                                    <a:pt x="2621" y="2000"/>
                                  </a:lnTo>
                                  <a:lnTo>
                                    <a:pt x="2629" y="1921"/>
                                  </a:lnTo>
                                  <a:lnTo>
                                    <a:pt x="2651" y="1848"/>
                                  </a:lnTo>
                                  <a:lnTo>
                                    <a:pt x="2685" y="1782"/>
                                  </a:lnTo>
                                  <a:lnTo>
                                    <a:pt x="2731" y="1725"/>
                                  </a:lnTo>
                                  <a:lnTo>
                                    <a:pt x="2786" y="1678"/>
                                  </a:lnTo>
                                  <a:lnTo>
                                    <a:pt x="2848" y="1641"/>
                                  </a:lnTo>
                                  <a:lnTo>
                                    <a:pt x="2915" y="1616"/>
                                  </a:lnTo>
                                  <a:lnTo>
                                    <a:pt x="2987" y="1603"/>
                                  </a:lnTo>
                                  <a:lnTo>
                                    <a:pt x="2960" y="1553"/>
                                  </a:lnTo>
                                  <a:lnTo>
                                    <a:pt x="2883" y="1466"/>
                                  </a:lnTo>
                                  <a:lnTo>
                                    <a:pt x="2833" y="1429"/>
                                  </a:lnTo>
                                  <a:lnTo>
                                    <a:pt x="607" y="59"/>
                                  </a:lnTo>
                                  <a:lnTo>
                                    <a:pt x="544" y="28"/>
                                  </a:lnTo>
                                  <a:lnTo>
                                    <a:pt x="481" y="8"/>
                                  </a:lnTo>
                                  <a:lnTo>
                                    <a:pt x="416" y="0"/>
                                  </a:lnTo>
                                  <a:close/>
                                </a:path>
                              </a:pathLst>
                            </a:custGeom>
                            <a:solidFill>
                              <a:srgbClr val="603D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318225" name="Freeform 15"/>
                          <wps:cNvSpPr>
                            <a:spLocks/>
                          </wps:cNvSpPr>
                          <wps:spPr bwMode="auto">
                            <a:xfrm>
                              <a:off x="3355450" y="1637969"/>
                              <a:ext cx="254635" cy="403225"/>
                            </a:xfrm>
                            <a:custGeom>
                              <a:avLst/>
                              <a:gdLst>
                                <a:gd name="T0" fmla="+- 0 6381 6015"/>
                                <a:gd name="T1" fmla="*/ T0 w 401"/>
                                <a:gd name="T2" fmla="+- 0 8598 8598"/>
                                <a:gd name="T3" fmla="*/ 8598 h 635"/>
                                <a:gd name="T4" fmla="+- 0 6309 6015"/>
                                <a:gd name="T5" fmla="*/ T4 w 401"/>
                                <a:gd name="T6" fmla="+- 0 8611 8598"/>
                                <a:gd name="T7" fmla="*/ 8611 h 635"/>
                                <a:gd name="T8" fmla="+- 0 6242 6015"/>
                                <a:gd name="T9" fmla="*/ T8 w 401"/>
                                <a:gd name="T10" fmla="+- 0 8636 8598"/>
                                <a:gd name="T11" fmla="*/ 8636 h 635"/>
                                <a:gd name="T12" fmla="+- 0 6180 6015"/>
                                <a:gd name="T13" fmla="*/ T12 w 401"/>
                                <a:gd name="T14" fmla="+- 0 8673 8598"/>
                                <a:gd name="T15" fmla="*/ 8673 h 635"/>
                                <a:gd name="T16" fmla="+- 0 6125 6015"/>
                                <a:gd name="T17" fmla="*/ T16 w 401"/>
                                <a:gd name="T18" fmla="+- 0 8720 8598"/>
                                <a:gd name="T19" fmla="*/ 8720 h 635"/>
                                <a:gd name="T20" fmla="+- 0 6079 6015"/>
                                <a:gd name="T21" fmla="*/ T20 w 401"/>
                                <a:gd name="T22" fmla="+- 0 8777 8598"/>
                                <a:gd name="T23" fmla="*/ 8777 h 635"/>
                                <a:gd name="T24" fmla="+- 0 6045 6015"/>
                                <a:gd name="T25" fmla="*/ T24 w 401"/>
                                <a:gd name="T26" fmla="+- 0 8843 8598"/>
                                <a:gd name="T27" fmla="*/ 8843 h 635"/>
                                <a:gd name="T28" fmla="+- 0 6023 6015"/>
                                <a:gd name="T29" fmla="*/ T28 w 401"/>
                                <a:gd name="T30" fmla="+- 0 8916 8598"/>
                                <a:gd name="T31" fmla="*/ 8916 h 635"/>
                                <a:gd name="T32" fmla="+- 0 6015 6015"/>
                                <a:gd name="T33" fmla="*/ T32 w 401"/>
                                <a:gd name="T34" fmla="+- 0 8995 8598"/>
                                <a:gd name="T35" fmla="*/ 8995 h 635"/>
                                <a:gd name="T36" fmla="+- 0 6015 6015"/>
                                <a:gd name="T37" fmla="*/ T36 w 401"/>
                                <a:gd name="T38" fmla="+- 0 9233 8598"/>
                                <a:gd name="T39" fmla="*/ 9233 h 635"/>
                                <a:gd name="T40" fmla="+- 0 6227 6015"/>
                                <a:gd name="T41" fmla="*/ T40 w 401"/>
                                <a:gd name="T42" fmla="+- 0 9102 8598"/>
                                <a:gd name="T43" fmla="*/ 9102 h 635"/>
                                <a:gd name="T44" fmla="+- 0 6288 6015"/>
                                <a:gd name="T45" fmla="*/ T44 w 401"/>
                                <a:gd name="T46" fmla="+- 0 9056 8598"/>
                                <a:gd name="T47" fmla="*/ 9056 h 635"/>
                                <a:gd name="T48" fmla="+- 0 6338 6015"/>
                                <a:gd name="T49" fmla="*/ T48 w 401"/>
                                <a:gd name="T50" fmla="+- 0 9001 8598"/>
                                <a:gd name="T51" fmla="*/ 9001 h 635"/>
                                <a:gd name="T52" fmla="+- 0 6376 6015"/>
                                <a:gd name="T53" fmla="*/ T52 w 401"/>
                                <a:gd name="T54" fmla="+- 0 8940 8598"/>
                                <a:gd name="T55" fmla="*/ 8940 h 635"/>
                                <a:gd name="T56" fmla="+- 0 6401 6015"/>
                                <a:gd name="T57" fmla="*/ T56 w 401"/>
                                <a:gd name="T58" fmla="+- 0 8873 8598"/>
                                <a:gd name="T59" fmla="*/ 8873 h 635"/>
                                <a:gd name="T60" fmla="+- 0 6414 6015"/>
                                <a:gd name="T61" fmla="*/ T60 w 401"/>
                                <a:gd name="T62" fmla="+- 0 8804 8598"/>
                                <a:gd name="T63" fmla="*/ 8804 h 635"/>
                                <a:gd name="T64" fmla="+- 0 6415 6015"/>
                                <a:gd name="T65" fmla="*/ T64 w 401"/>
                                <a:gd name="T66" fmla="+- 0 8734 8598"/>
                                <a:gd name="T67" fmla="*/ 8734 h 635"/>
                                <a:gd name="T68" fmla="+- 0 6404 6015"/>
                                <a:gd name="T69" fmla="*/ T68 w 401"/>
                                <a:gd name="T70" fmla="+- 0 8665 8598"/>
                                <a:gd name="T71" fmla="*/ 8665 h 635"/>
                                <a:gd name="T72" fmla="+- 0 6381 6015"/>
                                <a:gd name="T73" fmla="*/ T72 w 401"/>
                                <a:gd name="T74" fmla="+- 0 8598 8598"/>
                                <a:gd name="T75" fmla="*/ 8598 h 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01" h="635">
                                  <a:moveTo>
                                    <a:pt x="366" y="0"/>
                                  </a:moveTo>
                                  <a:lnTo>
                                    <a:pt x="294" y="13"/>
                                  </a:lnTo>
                                  <a:lnTo>
                                    <a:pt x="227" y="38"/>
                                  </a:lnTo>
                                  <a:lnTo>
                                    <a:pt x="165" y="75"/>
                                  </a:lnTo>
                                  <a:lnTo>
                                    <a:pt x="110" y="122"/>
                                  </a:lnTo>
                                  <a:lnTo>
                                    <a:pt x="64" y="179"/>
                                  </a:lnTo>
                                  <a:lnTo>
                                    <a:pt x="30" y="245"/>
                                  </a:lnTo>
                                  <a:lnTo>
                                    <a:pt x="8" y="318"/>
                                  </a:lnTo>
                                  <a:lnTo>
                                    <a:pt x="0" y="397"/>
                                  </a:lnTo>
                                  <a:lnTo>
                                    <a:pt x="0" y="635"/>
                                  </a:lnTo>
                                  <a:lnTo>
                                    <a:pt x="212" y="504"/>
                                  </a:lnTo>
                                  <a:lnTo>
                                    <a:pt x="273" y="458"/>
                                  </a:lnTo>
                                  <a:lnTo>
                                    <a:pt x="323" y="403"/>
                                  </a:lnTo>
                                  <a:lnTo>
                                    <a:pt x="361" y="342"/>
                                  </a:lnTo>
                                  <a:lnTo>
                                    <a:pt x="386" y="275"/>
                                  </a:lnTo>
                                  <a:lnTo>
                                    <a:pt x="399" y="206"/>
                                  </a:lnTo>
                                  <a:lnTo>
                                    <a:pt x="400" y="136"/>
                                  </a:lnTo>
                                  <a:lnTo>
                                    <a:pt x="389" y="67"/>
                                  </a:lnTo>
                                  <a:lnTo>
                                    <a:pt x="366" y="0"/>
                                  </a:lnTo>
                                  <a:close/>
                                </a:path>
                              </a:pathLst>
                            </a:custGeom>
                            <a:solidFill>
                              <a:srgbClr val="951B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1292874" name="Freeform 13"/>
                          <wps:cNvSpPr>
                            <a:spLocks/>
                          </wps:cNvSpPr>
                          <wps:spPr bwMode="auto">
                            <a:xfrm>
                              <a:off x="1693628" y="842838"/>
                              <a:ext cx="229235" cy="563245"/>
                            </a:xfrm>
                            <a:custGeom>
                              <a:avLst/>
                              <a:gdLst>
                                <a:gd name="T0" fmla="+- 0 3397 3394"/>
                                <a:gd name="T1" fmla="*/ T0 w 361"/>
                                <a:gd name="T2" fmla="+- 0 7343 7343"/>
                                <a:gd name="T3" fmla="*/ 7343 h 887"/>
                                <a:gd name="T4" fmla="+- 0 3395 3394"/>
                                <a:gd name="T5" fmla="*/ T4 w 361"/>
                                <a:gd name="T6" fmla="+- 0 7368 7343"/>
                                <a:gd name="T7" fmla="*/ 7368 h 887"/>
                                <a:gd name="T8" fmla="+- 0 3394 3394"/>
                                <a:gd name="T9" fmla="*/ T8 w 361"/>
                                <a:gd name="T10" fmla="+- 0 7381 7343"/>
                                <a:gd name="T11" fmla="*/ 7381 h 887"/>
                                <a:gd name="T12" fmla="+- 0 3394 3394"/>
                                <a:gd name="T13" fmla="*/ T12 w 361"/>
                                <a:gd name="T14" fmla="+- 0 7393 7343"/>
                                <a:gd name="T15" fmla="*/ 7393 h 887"/>
                                <a:gd name="T16" fmla="+- 0 3394 3394"/>
                                <a:gd name="T17" fmla="*/ T16 w 361"/>
                                <a:gd name="T18" fmla="+- 0 8230 7343"/>
                                <a:gd name="T19" fmla="*/ 8230 h 887"/>
                                <a:gd name="T20" fmla="+- 0 3566 3394"/>
                                <a:gd name="T21" fmla="*/ T20 w 361"/>
                                <a:gd name="T22" fmla="+- 0 8125 7343"/>
                                <a:gd name="T23" fmla="*/ 8125 h 887"/>
                                <a:gd name="T24" fmla="+- 0 3623 3394"/>
                                <a:gd name="T25" fmla="*/ T24 w 361"/>
                                <a:gd name="T26" fmla="+- 0 8082 7343"/>
                                <a:gd name="T27" fmla="*/ 8082 h 887"/>
                                <a:gd name="T28" fmla="+- 0 3671 3394"/>
                                <a:gd name="T29" fmla="*/ T28 w 361"/>
                                <a:gd name="T30" fmla="+- 0 8031 7343"/>
                                <a:gd name="T31" fmla="*/ 8031 h 887"/>
                                <a:gd name="T32" fmla="+- 0 3708 3394"/>
                                <a:gd name="T33" fmla="*/ T32 w 361"/>
                                <a:gd name="T34" fmla="+- 0 7975 7343"/>
                                <a:gd name="T35" fmla="*/ 7975 h 887"/>
                                <a:gd name="T36" fmla="+- 0 3734 3394"/>
                                <a:gd name="T37" fmla="*/ T36 w 361"/>
                                <a:gd name="T38" fmla="+- 0 7914 7343"/>
                                <a:gd name="T39" fmla="*/ 7914 h 887"/>
                                <a:gd name="T40" fmla="+- 0 3750 3394"/>
                                <a:gd name="T41" fmla="*/ T40 w 361"/>
                                <a:gd name="T42" fmla="+- 0 7851 7343"/>
                                <a:gd name="T43" fmla="*/ 7851 h 887"/>
                                <a:gd name="T44" fmla="+- 0 3755 3394"/>
                                <a:gd name="T45" fmla="*/ T44 w 361"/>
                                <a:gd name="T46" fmla="+- 0 7786 7343"/>
                                <a:gd name="T47" fmla="*/ 7786 h 887"/>
                                <a:gd name="T48" fmla="+- 0 3750 3394"/>
                                <a:gd name="T49" fmla="*/ T48 w 361"/>
                                <a:gd name="T50" fmla="+- 0 7721 7343"/>
                                <a:gd name="T51" fmla="*/ 7721 h 887"/>
                                <a:gd name="T52" fmla="+- 0 3734 3394"/>
                                <a:gd name="T53" fmla="*/ T52 w 361"/>
                                <a:gd name="T54" fmla="+- 0 7657 7343"/>
                                <a:gd name="T55" fmla="*/ 7657 h 887"/>
                                <a:gd name="T56" fmla="+- 0 3708 3394"/>
                                <a:gd name="T57" fmla="*/ T56 w 361"/>
                                <a:gd name="T58" fmla="+- 0 7596 7343"/>
                                <a:gd name="T59" fmla="*/ 7596 h 887"/>
                                <a:gd name="T60" fmla="+- 0 3671 3394"/>
                                <a:gd name="T61" fmla="*/ T60 w 361"/>
                                <a:gd name="T62" fmla="+- 0 7540 7343"/>
                                <a:gd name="T63" fmla="*/ 7540 h 887"/>
                                <a:gd name="T64" fmla="+- 0 3623 3394"/>
                                <a:gd name="T65" fmla="*/ T64 w 361"/>
                                <a:gd name="T66" fmla="+- 0 7490 7343"/>
                                <a:gd name="T67" fmla="*/ 7490 h 887"/>
                                <a:gd name="T68" fmla="+- 0 3566 3394"/>
                                <a:gd name="T69" fmla="*/ T68 w 361"/>
                                <a:gd name="T70" fmla="+- 0 7447 7343"/>
                                <a:gd name="T71" fmla="*/ 7447 h 887"/>
                                <a:gd name="T72" fmla="+- 0 3397 3394"/>
                                <a:gd name="T73" fmla="*/ T72 w 361"/>
                                <a:gd name="T74" fmla="+- 0 7343 7343"/>
                                <a:gd name="T75" fmla="*/ 7343 h 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61" h="887">
                                  <a:moveTo>
                                    <a:pt x="3" y="0"/>
                                  </a:moveTo>
                                  <a:lnTo>
                                    <a:pt x="1" y="25"/>
                                  </a:lnTo>
                                  <a:lnTo>
                                    <a:pt x="0" y="38"/>
                                  </a:lnTo>
                                  <a:lnTo>
                                    <a:pt x="0" y="50"/>
                                  </a:lnTo>
                                  <a:lnTo>
                                    <a:pt x="0" y="887"/>
                                  </a:lnTo>
                                  <a:lnTo>
                                    <a:pt x="172" y="782"/>
                                  </a:lnTo>
                                  <a:lnTo>
                                    <a:pt x="229" y="739"/>
                                  </a:lnTo>
                                  <a:lnTo>
                                    <a:pt x="277" y="688"/>
                                  </a:lnTo>
                                  <a:lnTo>
                                    <a:pt x="314" y="632"/>
                                  </a:lnTo>
                                  <a:lnTo>
                                    <a:pt x="340" y="571"/>
                                  </a:lnTo>
                                  <a:lnTo>
                                    <a:pt x="356" y="508"/>
                                  </a:lnTo>
                                  <a:lnTo>
                                    <a:pt x="361" y="443"/>
                                  </a:lnTo>
                                  <a:lnTo>
                                    <a:pt x="356" y="378"/>
                                  </a:lnTo>
                                  <a:lnTo>
                                    <a:pt x="340" y="314"/>
                                  </a:lnTo>
                                  <a:lnTo>
                                    <a:pt x="314" y="253"/>
                                  </a:lnTo>
                                  <a:lnTo>
                                    <a:pt x="277" y="197"/>
                                  </a:lnTo>
                                  <a:lnTo>
                                    <a:pt x="229" y="147"/>
                                  </a:lnTo>
                                  <a:lnTo>
                                    <a:pt x="172" y="104"/>
                                  </a:lnTo>
                                  <a:lnTo>
                                    <a:pt x="3" y="0"/>
                                  </a:lnTo>
                                  <a:close/>
                                </a:path>
                              </a:pathLst>
                            </a:custGeom>
                            <a:solidFill>
                              <a:srgbClr val="43B8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378461" name="Freeform 12"/>
                          <wps:cNvSpPr>
                            <a:spLocks/>
                          </wps:cNvSpPr>
                          <wps:spPr bwMode="auto">
                            <a:xfrm>
                              <a:off x="1693628" y="2480807"/>
                              <a:ext cx="228600" cy="384175"/>
                            </a:xfrm>
                            <a:custGeom>
                              <a:avLst/>
                              <a:gdLst>
                                <a:gd name="T0" fmla="+- 0 3394 3394"/>
                                <a:gd name="T1" fmla="*/ T0 w 360"/>
                                <a:gd name="T2" fmla="+- 0 9921 9921"/>
                                <a:gd name="T3" fmla="*/ 9921 h 605"/>
                                <a:gd name="T4" fmla="+- 0 3394 3394"/>
                                <a:gd name="T5" fmla="*/ T4 w 360"/>
                                <a:gd name="T6" fmla="+- 0 10133 9921"/>
                                <a:gd name="T7" fmla="*/ 10133 h 605"/>
                                <a:gd name="T8" fmla="+- 0 3401 3394"/>
                                <a:gd name="T9" fmla="*/ T8 w 360"/>
                                <a:gd name="T10" fmla="+- 0 10208 9921"/>
                                <a:gd name="T11" fmla="*/ 10208 h 605"/>
                                <a:gd name="T12" fmla="+- 0 3420 3394"/>
                                <a:gd name="T13" fmla="*/ T12 w 360"/>
                                <a:gd name="T14" fmla="+- 0 10277 9921"/>
                                <a:gd name="T15" fmla="*/ 10277 h 605"/>
                                <a:gd name="T16" fmla="+- 0 3451 3394"/>
                                <a:gd name="T17" fmla="*/ T16 w 360"/>
                                <a:gd name="T18" fmla="+- 0 10339 9921"/>
                                <a:gd name="T19" fmla="*/ 10339 h 605"/>
                                <a:gd name="T20" fmla="+- 0 3491 3394"/>
                                <a:gd name="T21" fmla="*/ T20 w 360"/>
                                <a:gd name="T22" fmla="+- 0 10394 9921"/>
                                <a:gd name="T23" fmla="*/ 10394 h 605"/>
                                <a:gd name="T24" fmla="+- 0 3540 3394"/>
                                <a:gd name="T25" fmla="*/ T24 w 360"/>
                                <a:gd name="T26" fmla="+- 0 10441 9921"/>
                                <a:gd name="T27" fmla="*/ 10441 h 605"/>
                                <a:gd name="T28" fmla="+- 0 3595 3394"/>
                                <a:gd name="T29" fmla="*/ T28 w 360"/>
                                <a:gd name="T30" fmla="+- 0 10479 9921"/>
                                <a:gd name="T31" fmla="*/ 10479 h 605"/>
                                <a:gd name="T32" fmla="+- 0 3656 3394"/>
                                <a:gd name="T33" fmla="*/ T32 w 360"/>
                                <a:gd name="T34" fmla="+- 0 10508 9921"/>
                                <a:gd name="T35" fmla="*/ 10508 h 605"/>
                                <a:gd name="T36" fmla="+- 0 3722 3394"/>
                                <a:gd name="T37" fmla="*/ T36 w 360"/>
                                <a:gd name="T38" fmla="+- 0 10525 9921"/>
                                <a:gd name="T39" fmla="*/ 10525 h 605"/>
                                <a:gd name="T40" fmla="+- 0 3744 3394"/>
                                <a:gd name="T41" fmla="*/ T40 w 360"/>
                                <a:gd name="T42" fmla="+- 0 10459 9921"/>
                                <a:gd name="T43" fmla="*/ 10459 h 605"/>
                                <a:gd name="T44" fmla="+- 0 3754 3394"/>
                                <a:gd name="T45" fmla="*/ T44 w 360"/>
                                <a:gd name="T46" fmla="+- 0 10390 9921"/>
                                <a:gd name="T47" fmla="*/ 10390 h 605"/>
                                <a:gd name="T48" fmla="+- 0 3752 3394"/>
                                <a:gd name="T49" fmla="*/ T48 w 360"/>
                                <a:gd name="T50" fmla="+- 0 10321 9921"/>
                                <a:gd name="T51" fmla="*/ 10321 h 605"/>
                                <a:gd name="T52" fmla="+- 0 3739 3394"/>
                                <a:gd name="T53" fmla="*/ T52 w 360"/>
                                <a:gd name="T54" fmla="+- 0 10253 9921"/>
                                <a:gd name="T55" fmla="*/ 10253 h 605"/>
                                <a:gd name="T56" fmla="+- 0 3713 3394"/>
                                <a:gd name="T57" fmla="*/ T56 w 360"/>
                                <a:gd name="T58" fmla="+- 0 10187 9921"/>
                                <a:gd name="T59" fmla="*/ 10187 h 605"/>
                                <a:gd name="T60" fmla="+- 0 3676 3394"/>
                                <a:gd name="T61" fmla="*/ T60 w 360"/>
                                <a:gd name="T62" fmla="+- 0 10127 9921"/>
                                <a:gd name="T63" fmla="*/ 10127 h 605"/>
                                <a:gd name="T64" fmla="+- 0 3627 3394"/>
                                <a:gd name="T65" fmla="*/ T64 w 360"/>
                                <a:gd name="T66" fmla="+- 0 10072 9921"/>
                                <a:gd name="T67" fmla="*/ 10072 h 605"/>
                                <a:gd name="T68" fmla="+- 0 3566 3394"/>
                                <a:gd name="T69" fmla="*/ T68 w 360"/>
                                <a:gd name="T70" fmla="+- 0 10026 9921"/>
                                <a:gd name="T71" fmla="*/ 10026 h 605"/>
                                <a:gd name="T72" fmla="+- 0 3394 3394"/>
                                <a:gd name="T73" fmla="*/ T72 w 360"/>
                                <a:gd name="T74" fmla="+- 0 9921 9921"/>
                                <a:gd name="T75" fmla="*/ 9921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60" h="605">
                                  <a:moveTo>
                                    <a:pt x="0" y="0"/>
                                  </a:moveTo>
                                  <a:lnTo>
                                    <a:pt x="0" y="212"/>
                                  </a:lnTo>
                                  <a:lnTo>
                                    <a:pt x="7" y="287"/>
                                  </a:lnTo>
                                  <a:lnTo>
                                    <a:pt x="26" y="356"/>
                                  </a:lnTo>
                                  <a:lnTo>
                                    <a:pt x="57" y="418"/>
                                  </a:lnTo>
                                  <a:lnTo>
                                    <a:pt x="97" y="473"/>
                                  </a:lnTo>
                                  <a:lnTo>
                                    <a:pt x="146" y="520"/>
                                  </a:lnTo>
                                  <a:lnTo>
                                    <a:pt x="201" y="558"/>
                                  </a:lnTo>
                                  <a:lnTo>
                                    <a:pt x="262" y="587"/>
                                  </a:lnTo>
                                  <a:lnTo>
                                    <a:pt x="328" y="604"/>
                                  </a:lnTo>
                                  <a:lnTo>
                                    <a:pt x="350" y="538"/>
                                  </a:lnTo>
                                  <a:lnTo>
                                    <a:pt x="360" y="469"/>
                                  </a:lnTo>
                                  <a:lnTo>
                                    <a:pt x="358" y="400"/>
                                  </a:lnTo>
                                  <a:lnTo>
                                    <a:pt x="345" y="332"/>
                                  </a:lnTo>
                                  <a:lnTo>
                                    <a:pt x="319" y="266"/>
                                  </a:lnTo>
                                  <a:lnTo>
                                    <a:pt x="282" y="206"/>
                                  </a:lnTo>
                                  <a:lnTo>
                                    <a:pt x="233" y="151"/>
                                  </a:lnTo>
                                  <a:lnTo>
                                    <a:pt x="172" y="105"/>
                                  </a:lnTo>
                                  <a:lnTo>
                                    <a:pt x="0" y="0"/>
                                  </a:lnTo>
                                  <a:close/>
                                </a:path>
                              </a:pathLst>
                            </a:custGeom>
                            <a:solidFill>
                              <a:srgbClr val="6623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988386" name="Freeform 11"/>
                          <wps:cNvSpPr>
                            <a:spLocks/>
                          </wps:cNvSpPr>
                          <wps:spPr bwMode="auto">
                            <a:xfrm>
                              <a:off x="3355450" y="1637969"/>
                              <a:ext cx="1918970" cy="2245360"/>
                            </a:xfrm>
                            <a:custGeom>
                              <a:avLst/>
                              <a:gdLst>
                                <a:gd name="T0" fmla="+- 0 6441 6015"/>
                                <a:gd name="T1" fmla="*/ T0 w 3022"/>
                                <a:gd name="T2" fmla="+- 0 8598 8598"/>
                                <a:gd name="T3" fmla="*/ 8598 h 3536"/>
                                <a:gd name="T4" fmla="+- 0 6381 6015"/>
                                <a:gd name="T5" fmla="*/ T4 w 3022"/>
                                <a:gd name="T6" fmla="+- 0 8598 8598"/>
                                <a:gd name="T7" fmla="*/ 8598 h 3536"/>
                                <a:gd name="T8" fmla="+- 0 6404 6015"/>
                                <a:gd name="T9" fmla="*/ T8 w 3022"/>
                                <a:gd name="T10" fmla="+- 0 8665 8598"/>
                                <a:gd name="T11" fmla="*/ 8665 h 3536"/>
                                <a:gd name="T12" fmla="+- 0 6415 6015"/>
                                <a:gd name="T13" fmla="*/ T12 w 3022"/>
                                <a:gd name="T14" fmla="+- 0 8734 8598"/>
                                <a:gd name="T15" fmla="*/ 8734 h 3536"/>
                                <a:gd name="T16" fmla="+- 0 6414 6015"/>
                                <a:gd name="T17" fmla="*/ T16 w 3022"/>
                                <a:gd name="T18" fmla="+- 0 8804 8598"/>
                                <a:gd name="T19" fmla="*/ 8804 h 3536"/>
                                <a:gd name="T20" fmla="+- 0 6401 6015"/>
                                <a:gd name="T21" fmla="*/ T20 w 3022"/>
                                <a:gd name="T22" fmla="+- 0 8873 8598"/>
                                <a:gd name="T23" fmla="*/ 8873 h 3536"/>
                                <a:gd name="T24" fmla="+- 0 6376 6015"/>
                                <a:gd name="T25" fmla="*/ T24 w 3022"/>
                                <a:gd name="T26" fmla="+- 0 8940 8598"/>
                                <a:gd name="T27" fmla="*/ 8940 h 3536"/>
                                <a:gd name="T28" fmla="+- 0 6338 6015"/>
                                <a:gd name="T29" fmla="*/ T28 w 3022"/>
                                <a:gd name="T30" fmla="+- 0 9001 8598"/>
                                <a:gd name="T31" fmla="*/ 9001 h 3536"/>
                                <a:gd name="T32" fmla="+- 0 6288 6015"/>
                                <a:gd name="T33" fmla="*/ T32 w 3022"/>
                                <a:gd name="T34" fmla="+- 0 9056 8598"/>
                                <a:gd name="T35" fmla="*/ 9056 h 3536"/>
                                <a:gd name="T36" fmla="+- 0 6227 6015"/>
                                <a:gd name="T37" fmla="*/ T36 w 3022"/>
                                <a:gd name="T38" fmla="+- 0 9102 8598"/>
                                <a:gd name="T39" fmla="*/ 9102 h 3536"/>
                                <a:gd name="T40" fmla="+- 0 6015 6015"/>
                                <a:gd name="T41" fmla="*/ T40 w 3022"/>
                                <a:gd name="T42" fmla="+- 0 9233 8598"/>
                                <a:gd name="T43" fmla="*/ 9233 h 3536"/>
                                <a:gd name="T44" fmla="+- 0 6015 6015"/>
                                <a:gd name="T45" fmla="*/ T44 w 3022"/>
                                <a:gd name="T46" fmla="+- 0 11380 8598"/>
                                <a:gd name="T47" fmla="*/ 11380 h 3536"/>
                                <a:gd name="T48" fmla="+- 0 6227 6015"/>
                                <a:gd name="T49" fmla="*/ T48 w 3022"/>
                                <a:gd name="T50" fmla="+- 0 11510 8598"/>
                                <a:gd name="T51" fmla="*/ 11510 h 3536"/>
                                <a:gd name="T52" fmla="+- 0 6287 6015"/>
                                <a:gd name="T53" fmla="*/ T52 w 3022"/>
                                <a:gd name="T54" fmla="+- 0 11555 8598"/>
                                <a:gd name="T55" fmla="*/ 11555 h 3536"/>
                                <a:gd name="T56" fmla="+- 0 6336 6015"/>
                                <a:gd name="T57" fmla="*/ T56 w 3022"/>
                                <a:gd name="T58" fmla="+- 0 11609 8598"/>
                                <a:gd name="T59" fmla="*/ 11609 h 3536"/>
                                <a:gd name="T60" fmla="+- 0 6373 6015"/>
                                <a:gd name="T61" fmla="*/ T60 w 3022"/>
                                <a:gd name="T62" fmla="+- 0 11668 8598"/>
                                <a:gd name="T63" fmla="*/ 11668 h 3536"/>
                                <a:gd name="T64" fmla="+- 0 6399 6015"/>
                                <a:gd name="T65" fmla="*/ T64 w 3022"/>
                                <a:gd name="T66" fmla="+- 0 11733 8598"/>
                                <a:gd name="T67" fmla="*/ 11733 h 3536"/>
                                <a:gd name="T68" fmla="+- 0 6413 6015"/>
                                <a:gd name="T69" fmla="*/ T68 w 3022"/>
                                <a:gd name="T70" fmla="+- 0 11800 8598"/>
                                <a:gd name="T71" fmla="*/ 11800 h 3536"/>
                                <a:gd name="T72" fmla="+- 0 6416 6015"/>
                                <a:gd name="T73" fmla="*/ T72 w 3022"/>
                                <a:gd name="T74" fmla="+- 0 11868 8598"/>
                                <a:gd name="T75" fmla="*/ 11868 h 3536"/>
                                <a:gd name="T76" fmla="+- 0 6407 6015"/>
                                <a:gd name="T77" fmla="*/ T76 w 3022"/>
                                <a:gd name="T78" fmla="+- 0 11936 8598"/>
                                <a:gd name="T79" fmla="*/ 11936 h 3536"/>
                                <a:gd name="T80" fmla="+- 0 6386 6015"/>
                                <a:gd name="T81" fmla="*/ T80 w 3022"/>
                                <a:gd name="T82" fmla="+- 0 12002 8598"/>
                                <a:gd name="T83" fmla="*/ 12002 h 3536"/>
                                <a:gd name="T84" fmla="+- 0 6354 6015"/>
                                <a:gd name="T85" fmla="*/ T84 w 3022"/>
                                <a:gd name="T86" fmla="+- 0 12064 8598"/>
                                <a:gd name="T87" fmla="*/ 12064 h 3536"/>
                                <a:gd name="T88" fmla="+- 0 6310 6015"/>
                                <a:gd name="T89" fmla="*/ T88 w 3022"/>
                                <a:gd name="T90" fmla="+- 0 12120 8598"/>
                                <a:gd name="T91" fmla="*/ 12120 h 3536"/>
                                <a:gd name="T92" fmla="+- 0 6387 6015"/>
                                <a:gd name="T93" fmla="*/ T92 w 3022"/>
                                <a:gd name="T94" fmla="+- 0 12133 8598"/>
                                <a:gd name="T95" fmla="*/ 12133 h 3536"/>
                                <a:gd name="T96" fmla="+- 0 6466 6015"/>
                                <a:gd name="T97" fmla="*/ T96 w 3022"/>
                                <a:gd name="T98" fmla="+- 0 12131 8598"/>
                                <a:gd name="T99" fmla="*/ 12131 h 3536"/>
                                <a:gd name="T100" fmla="+- 0 6545 6015"/>
                                <a:gd name="T101" fmla="*/ T100 w 3022"/>
                                <a:gd name="T102" fmla="+- 0 12111 8598"/>
                                <a:gd name="T103" fmla="*/ 12111 h 3536"/>
                                <a:gd name="T104" fmla="+- 0 6622 6015"/>
                                <a:gd name="T105" fmla="*/ T104 w 3022"/>
                                <a:gd name="T106" fmla="+- 0 12074 8598"/>
                                <a:gd name="T107" fmla="*/ 12074 h 3536"/>
                                <a:gd name="T108" fmla="+- 0 8847 6015"/>
                                <a:gd name="T109" fmla="*/ T108 w 3022"/>
                                <a:gd name="T110" fmla="+- 0 10704 8598"/>
                                <a:gd name="T111" fmla="*/ 10704 h 3536"/>
                                <a:gd name="T112" fmla="+- 0 8905 6015"/>
                                <a:gd name="T113" fmla="*/ T112 w 3022"/>
                                <a:gd name="T114" fmla="+- 0 10661 8598"/>
                                <a:gd name="T115" fmla="*/ 10661 h 3536"/>
                                <a:gd name="T116" fmla="+- 0 8953 6015"/>
                                <a:gd name="T117" fmla="*/ T116 w 3022"/>
                                <a:gd name="T118" fmla="+- 0 10611 8598"/>
                                <a:gd name="T119" fmla="*/ 10611 h 3536"/>
                                <a:gd name="T120" fmla="+- 0 8989 6015"/>
                                <a:gd name="T121" fmla="*/ T120 w 3022"/>
                                <a:gd name="T122" fmla="+- 0 10555 8598"/>
                                <a:gd name="T123" fmla="*/ 10555 h 3536"/>
                                <a:gd name="T124" fmla="+- 0 9016 6015"/>
                                <a:gd name="T125" fmla="*/ T124 w 3022"/>
                                <a:gd name="T126" fmla="+- 0 10494 8598"/>
                                <a:gd name="T127" fmla="*/ 10494 h 3536"/>
                                <a:gd name="T128" fmla="+- 0 9032 6015"/>
                                <a:gd name="T129" fmla="*/ T128 w 3022"/>
                                <a:gd name="T130" fmla="+- 0 10430 8598"/>
                                <a:gd name="T131" fmla="*/ 10430 h 3536"/>
                                <a:gd name="T132" fmla="+- 0 9037 6015"/>
                                <a:gd name="T133" fmla="*/ T132 w 3022"/>
                                <a:gd name="T134" fmla="+- 0 10365 8598"/>
                                <a:gd name="T135" fmla="*/ 10365 h 3536"/>
                                <a:gd name="T136" fmla="+- 0 9032 6015"/>
                                <a:gd name="T137" fmla="*/ T136 w 3022"/>
                                <a:gd name="T138" fmla="+- 0 10300 8598"/>
                                <a:gd name="T139" fmla="*/ 10300 h 3536"/>
                                <a:gd name="T140" fmla="+- 0 9016 6015"/>
                                <a:gd name="T141" fmla="*/ T140 w 3022"/>
                                <a:gd name="T142" fmla="+- 0 10237 8598"/>
                                <a:gd name="T143" fmla="*/ 10237 h 3536"/>
                                <a:gd name="T144" fmla="+- 0 8989 6015"/>
                                <a:gd name="T145" fmla="*/ T144 w 3022"/>
                                <a:gd name="T146" fmla="+- 0 10176 8598"/>
                                <a:gd name="T147" fmla="*/ 10176 h 3536"/>
                                <a:gd name="T148" fmla="+- 0 8953 6015"/>
                                <a:gd name="T149" fmla="*/ T148 w 3022"/>
                                <a:gd name="T150" fmla="+- 0 10120 8598"/>
                                <a:gd name="T151" fmla="*/ 10120 h 3536"/>
                                <a:gd name="T152" fmla="+- 0 8905 6015"/>
                                <a:gd name="T153" fmla="*/ T152 w 3022"/>
                                <a:gd name="T154" fmla="+- 0 10069 8598"/>
                                <a:gd name="T155" fmla="*/ 10069 h 3536"/>
                                <a:gd name="T156" fmla="+- 0 8847 6015"/>
                                <a:gd name="T157" fmla="*/ T156 w 3022"/>
                                <a:gd name="T158" fmla="+- 0 10026 8598"/>
                                <a:gd name="T159" fmla="*/ 10026 h 3536"/>
                                <a:gd name="T160" fmla="+- 0 6622 6015"/>
                                <a:gd name="T161" fmla="*/ T160 w 3022"/>
                                <a:gd name="T162" fmla="+- 0 8656 8598"/>
                                <a:gd name="T163" fmla="*/ 8656 h 3536"/>
                                <a:gd name="T164" fmla="+- 0 6563 6015"/>
                                <a:gd name="T165" fmla="*/ T164 w 3022"/>
                                <a:gd name="T166" fmla="+- 0 8626 8598"/>
                                <a:gd name="T167" fmla="*/ 8626 h 3536"/>
                                <a:gd name="T168" fmla="+- 0 6502 6015"/>
                                <a:gd name="T169" fmla="*/ T168 w 3022"/>
                                <a:gd name="T170" fmla="+- 0 8607 8598"/>
                                <a:gd name="T171" fmla="*/ 8607 h 3536"/>
                                <a:gd name="T172" fmla="+- 0 6441 6015"/>
                                <a:gd name="T173" fmla="*/ T172 w 3022"/>
                                <a:gd name="T174" fmla="+- 0 8598 8598"/>
                                <a:gd name="T175" fmla="*/ 8598 h 3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022" h="3536">
                                  <a:moveTo>
                                    <a:pt x="426" y="0"/>
                                  </a:moveTo>
                                  <a:lnTo>
                                    <a:pt x="366" y="0"/>
                                  </a:lnTo>
                                  <a:lnTo>
                                    <a:pt x="389" y="67"/>
                                  </a:lnTo>
                                  <a:lnTo>
                                    <a:pt x="400" y="136"/>
                                  </a:lnTo>
                                  <a:lnTo>
                                    <a:pt x="399" y="206"/>
                                  </a:lnTo>
                                  <a:lnTo>
                                    <a:pt x="386" y="275"/>
                                  </a:lnTo>
                                  <a:lnTo>
                                    <a:pt x="361" y="342"/>
                                  </a:lnTo>
                                  <a:lnTo>
                                    <a:pt x="323" y="403"/>
                                  </a:lnTo>
                                  <a:lnTo>
                                    <a:pt x="273" y="458"/>
                                  </a:lnTo>
                                  <a:lnTo>
                                    <a:pt x="212" y="504"/>
                                  </a:lnTo>
                                  <a:lnTo>
                                    <a:pt x="0" y="635"/>
                                  </a:lnTo>
                                  <a:lnTo>
                                    <a:pt x="0" y="2782"/>
                                  </a:lnTo>
                                  <a:lnTo>
                                    <a:pt x="212" y="2912"/>
                                  </a:lnTo>
                                  <a:lnTo>
                                    <a:pt x="272" y="2957"/>
                                  </a:lnTo>
                                  <a:lnTo>
                                    <a:pt x="321" y="3011"/>
                                  </a:lnTo>
                                  <a:lnTo>
                                    <a:pt x="358" y="3070"/>
                                  </a:lnTo>
                                  <a:lnTo>
                                    <a:pt x="384" y="3135"/>
                                  </a:lnTo>
                                  <a:lnTo>
                                    <a:pt x="398" y="3202"/>
                                  </a:lnTo>
                                  <a:lnTo>
                                    <a:pt x="401" y="3270"/>
                                  </a:lnTo>
                                  <a:lnTo>
                                    <a:pt x="392" y="3338"/>
                                  </a:lnTo>
                                  <a:lnTo>
                                    <a:pt x="371" y="3404"/>
                                  </a:lnTo>
                                  <a:lnTo>
                                    <a:pt x="339" y="3466"/>
                                  </a:lnTo>
                                  <a:lnTo>
                                    <a:pt x="295" y="3522"/>
                                  </a:lnTo>
                                  <a:lnTo>
                                    <a:pt x="372" y="3535"/>
                                  </a:lnTo>
                                  <a:lnTo>
                                    <a:pt x="451" y="3533"/>
                                  </a:lnTo>
                                  <a:lnTo>
                                    <a:pt x="530" y="3513"/>
                                  </a:lnTo>
                                  <a:lnTo>
                                    <a:pt x="607" y="3476"/>
                                  </a:lnTo>
                                  <a:lnTo>
                                    <a:pt x="2832" y="2106"/>
                                  </a:lnTo>
                                  <a:lnTo>
                                    <a:pt x="2890" y="2063"/>
                                  </a:lnTo>
                                  <a:lnTo>
                                    <a:pt x="2938" y="2013"/>
                                  </a:lnTo>
                                  <a:lnTo>
                                    <a:pt x="2974" y="1957"/>
                                  </a:lnTo>
                                  <a:lnTo>
                                    <a:pt x="3001" y="1896"/>
                                  </a:lnTo>
                                  <a:lnTo>
                                    <a:pt x="3017" y="1832"/>
                                  </a:lnTo>
                                  <a:lnTo>
                                    <a:pt x="3022" y="1767"/>
                                  </a:lnTo>
                                  <a:lnTo>
                                    <a:pt x="3017" y="1702"/>
                                  </a:lnTo>
                                  <a:lnTo>
                                    <a:pt x="3001" y="1639"/>
                                  </a:lnTo>
                                  <a:lnTo>
                                    <a:pt x="2974" y="1578"/>
                                  </a:lnTo>
                                  <a:lnTo>
                                    <a:pt x="2938" y="1522"/>
                                  </a:lnTo>
                                  <a:lnTo>
                                    <a:pt x="2890" y="1471"/>
                                  </a:lnTo>
                                  <a:lnTo>
                                    <a:pt x="2832" y="1428"/>
                                  </a:lnTo>
                                  <a:lnTo>
                                    <a:pt x="607" y="58"/>
                                  </a:lnTo>
                                  <a:lnTo>
                                    <a:pt x="548" y="28"/>
                                  </a:lnTo>
                                  <a:lnTo>
                                    <a:pt x="487" y="9"/>
                                  </a:lnTo>
                                  <a:lnTo>
                                    <a:pt x="426" y="0"/>
                                  </a:lnTo>
                                  <a:close/>
                                </a:path>
                              </a:pathLst>
                            </a:custGeom>
                            <a:solidFill>
                              <a:srgbClr val="EB5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5286290" name="Freeform 10"/>
                          <wps:cNvSpPr>
                            <a:spLocks/>
                          </wps:cNvSpPr>
                          <wps:spPr bwMode="auto">
                            <a:xfrm>
                              <a:off x="1693628" y="2576223"/>
                              <a:ext cx="1851660" cy="2245995"/>
                            </a:xfrm>
                            <a:custGeom>
                              <a:avLst/>
                              <a:gdLst>
                                <a:gd name="T0" fmla="+- 0 3810 3394"/>
                                <a:gd name="T1" fmla="*/ T0 w 2916"/>
                                <a:gd name="T2" fmla="+- 0 10081 10081"/>
                                <a:gd name="T3" fmla="*/ 10081 h 3537"/>
                                <a:gd name="T4" fmla="+- 0 3747 3394"/>
                                <a:gd name="T5" fmla="*/ T4 w 2916"/>
                                <a:gd name="T6" fmla="+- 0 10083 10081"/>
                                <a:gd name="T7" fmla="*/ 10083 h 3537"/>
                                <a:gd name="T8" fmla="+- 0 3685 3394"/>
                                <a:gd name="T9" fmla="*/ T8 w 2916"/>
                                <a:gd name="T10" fmla="+- 0 10096 10081"/>
                                <a:gd name="T11" fmla="*/ 10096 h 3537"/>
                                <a:gd name="T12" fmla="+- 0 3626 3394"/>
                                <a:gd name="T13" fmla="*/ T12 w 2916"/>
                                <a:gd name="T14" fmla="+- 0 10117 10081"/>
                                <a:gd name="T15" fmla="*/ 10117 h 3537"/>
                                <a:gd name="T16" fmla="+- 0 3571 3394"/>
                                <a:gd name="T17" fmla="*/ T16 w 2916"/>
                                <a:gd name="T18" fmla="+- 0 10148 10081"/>
                                <a:gd name="T19" fmla="*/ 10148 h 3537"/>
                                <a:gd name="T20" fmla="+- 0 3522 3394"/>
                                <a:gd name="T21" fmla="*/ T20 w 2916"/>
                                <a:gd name="T22" fmla="+- 0 10187 10081"/>
                                <a:gd name="T23" fmla="*/ 10187 h 3537"/>
                                <a:gd name="T24" fmla="+- 0 3479 3394"/>
                                <a:gd name="T25" fmla="*/ T24 w 2916"/>
                                <a:gd name="T26" fmla="+- 0 10233 10081"/>
                                <a:gd name="T27" fmla="*/ 10233 h 3537"/>
                                <a:gd name="T28" fmla="+- 0 3444 3394"/>
                                <a:gd name="T29" fmla="*/ T28 w 2916"/>
                                <a:gd name="T30" fmla="+- 0 10286 10081"/>
                                <a:gd name="T31" fmla="*/ 10286 h 3537"/>
                                <a:gd name="T32" fmla="+- 0 3417 3394"/>
                                <a:gd name="T33" fmla="*/ T32 w 2916"/>
                                <a:gd name="T34" fmla="+- 0 10345 10081"/>
                                <a:gd name="T35" fmla="*/ 10345 h 3537"/>
                                <a:gd name="T36" fmla="+- 0 3400 3394"/>
                                <a:gd name="T37" fmla="*/ T36 w 2916"/>
                                <a:gd name="T38" fmla="+- 0 10409 10081"/>
                                <a:gd name="T39" fmla="*/ 10409 h 3537"/>
                                <a:gd name="T40" fmla="+- 0 3394 3394"/>
                                <a:gd name="T41" fmla="*/ T40 w 2916"/>
                                <a:gd name="T42" fmla="+- 0 10479 10081"/>
                                <a:gd name="T43" fmla="*/ 10479 h 3537"/>
                                <a:gd name="T44" fmla="+- 0 3394 3394"/>
                                <a:gd name="T45" fmla="*/ T44 w 2916"/>
                                <a:gd name="T46" fmla="+- 0 13219 10081"/>
                                <a:gd name="T47" fmla="*/ 13219 h 3537"/>
                                <a:gd name="T48" fmla="+- 0 3400 3394"/>
                                <a:gd name="T49" fmla="*/ T48 w 2916"/>
                                <a:gd name="T50" fmla="+- 0 13289 10081"/>
                                <a:gd name="T51" fmla="*/ 13289 h 3537"/>
                                <a:gd name="T52" fmla="+- 0 3417 3394"/>
                                <a:gd name="T53" fmla="*/ T52 w 2916"/>
                                <a:gd name="T54" fmla="+- 0 13353 10081"/>
                                <a:gd name="T55" fmla="*/ 13353 h 3537"/>
                                <a:gd name="T56" fmla="+- 0 3444 3394"/>
                                <a:gd name="T57" fmla="*/ T56 w 2916"/>
                                <a:gd name="T58" fmla="+- 0 13413 10081"/>
                                <a:gd name="T59" fmla="*/ 13413 h 3537"/>
                                <a:gd name="T60" fmla="+- 0 3479 3394"/>
                                <a:gd name="T61" fmla="*/ T60 w 2916"/>
                                <a:gd name="T62" fmla="+- 0 13465 10081"/>
                                <a:gd name="T63" fmla="*/ 13465 h 3537"/>
                                <a:gd name="T64" fmla="+- 0 3522 3394"/>
                                <a:gd name="T65" fmla="*/ T64 w 2916"/>
                                <a:gd name="T66" fmla="+- 0 13512 10081"/>
                                <a:gd name="T67" fmla="*/ 13512 h 3537"/>
                                <a:gd name="T68" fmla="+- 0 3571 3394"/>
                                <a:gd name="T69" fmla="*/ T68 w 2916"/>
                                <a:gd name="T70" fmla="+- 0 13550 10081"/>
                                <a:gd name="T71" fmla="*/ 13550 h 3537"/>
                                <a:gd name="T72" fmla="+- 0 3626 3394"/>
                                <a:gd name="T73" fmla="*/ T72 w 2916"/>
                                <a:gd name="T74" fmla="+- 0 13581 10081"/>
                                <a:gd name="T75" fmla="*/ 13581 h 3537"/>
                                <a:gd name="T76" fmla="+- 0 3685 3394"/>
                                <a:gd name="T77" fmla="*/ T76 w 2916"/>
                                <a:gd name="T78" fmla="+- 0 13603 10081"/>
                                <a:gd name="T79" fmla="*/ 13603 h 3537"/>
                                <a:gd name="T80" fmla="+- 0 3747 3394"/>
                                <a:gd name="T81" fmla="*/ T80 w 2916"/>
                                <a:gd name="T82" fmla="+- 0 13615 10081"/>
                                <a:gd name="T83" fmla="*/ 13615 h 3537"/>
                                <a:gd name="T84" fmla="+- 0 3810 3394"/>
                                <a:gd name="T85" fmla="*/ T84 w 2916"/>
                                <a:gd name="T86" fmla="+- 0 13617 10081"/>
                                <a:gd name="T87" fmla="*/ 13617 h 3537"/>
                                <a:gd name="T88" fmla="+- 0 3875 3394"/>
                                <a:gd name="T89" fmla="*/ T88 w 2916"/>
                                <a:gd name="T90" fmla="+- 0 13609 10081"/>
                                <a:gd name="T91" fmla="*/ 13609 h 3537"/>
                                <a:gd name="T92" fmla="+- 0 3939 3394"/>
                                <a:gd name="T93" fmla="*/ T92 w 2916"/>
                                <a:gd name="T94" fmla="+- 0 13590 10081"/>
                                <a:gd name="T95" fmla="*/ 13590 h 3537"/>
                                <a:gd name="T96" fmla="+- 0 4001 3394"/>
                                <a:gd name="T97" fmla="*/ T96 w 2916"/>
                                <a:gd name="T98" fmla="+- 0 13558 10081"/>
                                <a:gd name="T99" fmla="*/ 13558 h 3537"/>
                                <a:gd name="T100" fmla="+- 0 6227 3394"/>
                                <a:gd name="T101" fmla="*/ T100 w 2916"/>
                                <a:gd name="T102" fmla="+- 0 12188 10081"/>
                                <a:gd name="T103" fmla="*/ 12188 h 3537"/>
                                <a:gd name="T104" fmla="+- 0 6291 3394"/>
                                <a:gd name="T105" fmla="*/ T104 w 2916"/>
                                <a:gd name="T106" fmla="+- 0 12139 10081"/>
                                <a:gd name="T107" fmla="*/ 12139 h 3537"/>
                                <a:gd name="T108" fmla="+- 0 6310 3394"/>
                                <a:gd name="T109" fmla="*/ T108 w 2916"/>
                                <a:gd name="T110" fmla="+- 0 12120 10081"/>
                                <a:gd name="T111" fmla="*/ 12120 h 3537"/>
                                <a:gd name="T112" fmla="+- 0 6242 3394"/>
                                <a:gd name="T113" fmla="*/ T112 w 2916"/>
                                <a:gd name="T114" fmla="+- 0 12095 10081"/>
                                <a:gd name="T115" fmla="*/ 12095 h 3537"/>
                                <a:gd name="T116" fmla="+- 0 6180 3394"/>
                                <a:gd name="T117" fmla="*/ T116 w 2916"/>
                                <a:gd name="T118" fmla="+- 0 12058 10081"/>
                                <a:gd name="T119" fmla="*/ 12058 h 3537"/>
                                <a:gd name="T120" fmla="+- 0 6125 3394"/>
                                <a:gd name="T121" fmla="*/ T120 w 2916"/>
                                <a:gd name="T122" fmla="+- 0 12011 10081"/>
                                <a:gd name="T123" fmla="*/ 12011 h 3537"/>
                                <a:gd name="T124" fmla="+- 0 6080 3394"/>
                                <a:gd name="T125" fmla="*/ T124 w 2916"/>
                                <a:gd name="T126" fmla="+- 0 11954 10081"/>
                                <a:gd name="T127" fmla="*/ 11954 h 3537"/>
                                <a:gd name="T128" fmla="+- 0 6045 3394"/>
                                <a:gd name="T129" fmla="*/ T128 w 2916"/>
                                <a:gd name="T130" fmla="+- 0 11888 10081"/>
                                <a:gd name="T131" fmla="*/ 11888 h 3537"/>
                                <a:gd name="T132" fmla="+- 0 6023 3394"/>
                                <a:gd name="T133" fmla="*/ T132 w 2916"/>
                                <a:gd name="T134" fmla="+- 0 11815 10081"/>
                                <a:gd name="T135" fmla="*/ 11815 h 3537"/>
                                <a:gd name="T136" fmla="+- 0 6015 3394"/>
                                <a:gd name="T137" fmla="*/ T136 w 2916"/>
                                <a:gd name="T138" fmla="+- 0 11735 10081"/>
                                <a:gd name="T139" fmla="*/ 11735 h 3537"/>
                                <a:gd name="T140" fmla="+- 0 6015 3394"/>
                                <a:gd name="T141" fmla="*/ T140 w 2916"/>
                                <a:gd name="T142" fmla="+- 0 11380 10081"/>
                                <a:gd name="T143" fmla="*/ 11380 h 3537"/>
                                <a:gd name="T144" fmla="+- 0 4001 3394"/>
                                <a:gd name="T145" fmla="*/ T144 w 2916"/>
                                <a:gd name="T146" fmla="+- 0 10140 10081"/>
                                <a:gd name="T147" fmla="*/ 10140 h 3537"/>
                                <a:gd name="T148" fmla="+- 0 3939 3394"/>
                                <a:gd name="T149" fmla="*/ T148 w 2916"/>
                                <a:gd name="T150" fmla="+- 0 10109 10081"/>
                                <a:gd name="T151" fmla="*/ 10109 h 3537"/>
                                <a:gd name="T152" fmla="+- 0 3875 3394"/>
                                <a:gd name="T153" fmla="*/ T152 w 2916"/>
                                <a:gd name="T154" fmla="+- 0 10089 10081"/>
                                <a:gd name="T155" fmla="*/ 10089 h 3537"/>
                                <a:gd name="T156" fmla="+- 0 3810 3394"/>
                                <a:gd name="T157" fmla="*/ T156 w 2916"/>
                                <a:gd name="T158" fmla="+- 0 10081 10081"/>
                                <a:gd name="T159" fmla="*/ 10081 h 3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916" h="3537">
                                  <a:moveTo>
                                    <a:pt x="416" y="0"/>
                                  </a:moveTo>
                                  <a:lnTo>
                                    <a:pt x="353" y="2"/>
                                  </a:lnTo>
                                  <a:lnTo>
                                    <a:pt x="291" y="15"/>
                                  </a:lnTo>
                                  <a:lnTo>
                                    <a:pt x="232" y="36"/>
                                  </a:lnTo>
                                  <a:lnTo>
                                    <a:pt x="177" y="67"/>
                                  </a:lnTo>
                                  <a:lnTo>
                                    <a:pt x="128" y="106"/>
                                  </a:lnTo>
                                  <a:lnTo>
                                    <a:pt x="85" y="152"/>
                                  </a:lnTo>
                                  <a:lnTo>
                                    <a:pt x="50" y="205"/>
                                  </a:lnTo>
                                  <a:lnTo>
                                    <a:pt x="23" y="264"/>
                                  </a:lnTo>
                                  <a:lnTo>
                                    <a:pt x="6" y="328"/>
                                  </a:lnTo>
                                  <a:lnTo>
                                    <a:pt x="0" y="398"/>
                                  </a:lnTo>
                                  <a:lnTo>
                                    <a:pt x="0" y="3138"/>
                                  </a:lnTo>
                                  <a:lnTo>
                                    <a:pt x="6" y="3208"/>
                                  </a:lnTo>
                                  <a:lnTo>
                                    <a:pt x="23" y="3272"/>
                                  </a:lnTo>
                                  <a:lnTo>
                                    <a:pt x="50" y="3332"/>
                                  </a:lnTo>
                                  <a:lnTo>
                                    <a:pt x="85" y="3384"/>
                                  </a:lnTo>
                                  <a:lnTo>
                                    <a:pt x="128" y="3431"/>
                                  </a:lnTo>
                                  <a:lnTo>
                                    <a:pt x="177" y="3469"/>
                                  </a:lnTo>
                                  <a:lnTo>
                                    <a:pt x="232" y="3500"/>
                                  </a:lnTo>
                                  <a:lnTo>
                                    <a:pt x="291" y="3522"/>
                                  </a:lnTo>
                                  <a:lnTo>
                                    <a:pt x="353" y="3534"/>
                                  </a:lnTo>
                                  <a:lnTo>
                                    <a:pt x="416" y="3536"/>
                                  </a:lnTo>
                                  <a:lnTo>
                                    <a:pt x="481" y="3528"/>
                                  </a:lnTo>
                                  <a:lnTo>
                                    <a:pt x="545" y="3509"/>
                                  </a:lnTo>
                                  <a:lnTo>
                                    <a:pt x="607" y="3477"/>
                                  </a:lnTo>
                                  <a:lnTo>
                                    <a:pt x="2833" y="2107"/>
                                  </a:lnTo>
                                  <a:lnTo>
                                    <a:pt x="2897" y="2058"/>
                                  </a:lnTo>
                                  <a:lnTo>
                                    <a:pt x="2916" y="2039"/>
                                  </a:lnTo>
                                  <a:lnTo>
                                    <a:pt x="2848" y="2014"/>
                                  </a:lnTo>
                                  <a:lnTo>
                                    <a:pt x="2786" y="1977"/>
                                  </a:lnTo>
                                  <a:lnTo>
                                    <a:pt x="2731" y="1930"/>
                                  </a:lnTo>
                                  <a:lnTo>
                                    <a:pt x="2686" y="1873"/>
                                  </a:lnTo>
                                  <a:lnTo>
                                    <a:pt x="2651" y="1807"/>
                                  </a:lnTo>
                                  <a:lnTo>
                                    <a:pt x="2629" y="1734"/>
                                  </a:lnTo>
                                  <a:lnTo>
                                    <a:pt x="2621" y="1654"/>
                                  </a:lnTo>
                                  <a:lnTo>
                                    <a:pt x="2621" y="1299"/>
                                  </a:lnTo>
                                  <a:lnTo>
                                    <a:pt x="607" y="59"/>
                                  </a:lnTo>
                                  <a:lnTo>
                                    <a:pt x="545" y="28"/>
                                  </a:lnTo>
                                  <a:lnTo>
                                    <a:pt x="481" y="8"/>
                                  </a:lnTo>
                                  <a:lnTo>
                                    <a:pt x="416" y="0"/>
                                  </a:lnTo>
                                  <a:close/>
                                </a:path>
                              </a:pathLst>
                            </a:custGeom>
                            <a:solidFill>
                              <a:srgbClr val="64B4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00585" name="Freeform 9"/>
                          <wps:cNvSpPr>
                            <a:spLocks/>
                          </wps:cNvSpPr>
                          <wps:spPr bwMode="auto">
                            <a:xfrm>
                              <a:off x="3355450" y="3395207"/>
                              <a:ext cx="254635" cy="470535"/>
                            </a:xfrm>
                            <a:custGeom>
                              <a:avLst/>
                              <a:gdLst>
                                <a:gd name="T0" fmla="+- 0 6015 6015"/>
                                <a:gd name="T1" fmla="*/ T0 w 401"/>
                                <a:gd name="T2" fmla="+- 0 11380 11380"/>
                                <a:gd name="T3" fmla="*/ 11380 h 741"/>
                                <a:gd name="T4" fmla="+- 0 6015 6015"/>
                                <a:gd name="T5" fmla="*/ T4 w 401"/>
                                <a:gd name="T6" fmla="+- 0 11735 11380"/>
                                <a:gd name="T7" fmla="*/ 11735 h 741"/>
                                <a:gd name="T8" fmla="+- 0 6023 6015"/>
                                <a:gd name="T9" fmla="*/ T8 w 401"/>
                                <a:gd name="T10" fmla="+- 0 11815 11380"/>
                                <a:gd name="T11" fmla="*/ 11815 h 741"/>
                                <a:gd name="T12" fmla="+- 0 6045 6015"/>
                                <a:gd name="T13" fmla="*/ T12 w 401"/>
                                <a:gd name="T14" fmla="+- 0 11888 11380"/>
                                <a:gd name="T15" fmla="*/ 11888 h 741"/>
                                <a:gd name="T16" fmla="+- 0 6080 6015"/>
                                <a:gd name="T17" fmla="*/ T16 w 401"/>
                                <a:gd name="T18" fmla="+- 0 11954 11380"/>
                                <a:gd name="T19" fmla="*/ 11954 h 741"/>
                                <a:gd name="T20" fmla="+- 0 6125 6015"/>
                                <a:gd name="T21" fmla="*/ T20 w 401"/>
                                <a:gd name="T22" fmla="+- 0 12011 11380"/>
                                <a:gd name="T23" fmla="*/ 12011 h 741"/>
                                <a:gd name="T24" fmla="+- 0 6180 6015"/>
                                <a:gd name="T25" fmla="*/ T24 w 401"/>
                                <a:gd name="T26" fmla="+- 0 12058 11380"/>
                                <a:gd name="T27" fmla="*/ 12058 h 741"/>
                                <a:gd name="T28" fmla="+- 0 6242 6015"/>
                                <a:gd name="T29" fmla="*/ T28 w 401"/>
                                <a:gd name="T30" fmla="+- 0 12095 11380"/>
                                <a:gd name="T31" fmla="*/ 12095 h 741"/>
                                <a:gd name="T32" fmla="+- 0 6310 6015"/>
                                <a:gd name="T33" fmla="*/ T32 w 401"/>
                                <a:gd name="T34" fmla="+- 0 12120 11380"/>
                                <a:gd name="T35" fmla="*/ 12120 h 741"/>
                                <a:gd name="T36" fmla="+- 0 6354 6015"/>
                                <a:gd name="T37" fmla="*/ T36 w 401"/>
                                <a:gd name="T38" fmla="+- 0 12064 11380"/>
                                <a:gd name="T39" fmla="*/ 12064 h 741"/>
                                <a:gd name="T40" fmla="+- 0 6386 6015"/>
                                <a:gd name="T41" fmla="*/ T40 w 401"/>
                                <a:gd name="T42" fmla="+- 0 12002 11380"/>
                                <a:gd name="T43" fmla="*/ 12002 h 741"/>
                                <a:gd name="T44" fmla="+- 0 6407 6015"/>
                                <a:gd name="T45" fmla="*/ T44 w 401"/>
                                <a:gd name="T46" fmla="+- 0 11936 11380"/>
                                <a:gd name="T47" fmla="*/ 11936 h 741"/>
                                <a:gd name="T48" fmla="+- 0 6416 6015"/>
                                <a:gd name="T49" fmla="*/ T48 w 401"/>
                                <a:gd name="T50" fmla="+- 0 11868 11380"/>
                                <a:gd name="T51" fmla="*/ 11868 h 741"/>
                                <a:gd name="T52" fmla="+- 0 6413 6015"/>
                                <a:gd name="T53" fmla="*/ T52 w 401"/>
                                <a:gd name="T54" fmla="+- 0 11800 11380"/>
                                <a:gd name="T55" fmla="*/ 11800 h 741"/>
                                <a:gd name="T56" fmla="+- 0 6399 6015"/>
                                <a:gd name="T57" fmla="*/ T56 w 401"/>
                                <a:gd name="T58" fmla="+- 0 11733 11380"/>
                                <a:gd name="T59" fmla="*/ 11733 h 741"/>
                                <a:gd name="T60" fmla="+- 0 6373 6015"/>
                                <a:gd name="T61" fmla="*/ T60 w 401"/>
                                <a:gd name="T62" fmla="+- 0 11668 11380"/>
                                <a:gd name="T63" fmla="*/ 11668 h 741"/>
                                <a:gd name="T64" fmla="+- 0 6336 6015"/>
                                <a:gd name="T65" fmla="*/ T64 w 401"/>
                                <a:gd name="T66" fmla="+- 0 11609 11380"/>
                                <a:gd name="T67" fmla="*/ 11609 h 741"/>
                                <a:gd name="T68" fmla="+- 0 6287 6015"/>
                                <a:gd name="T69" fmla="*/ T68 w 401"/>
                                <a:gd name="T70" fmla="+- 0 11555 11380"/>
                                <a:gd name="T71" fmla="*/ 11555 h 741"/>
                                <a:gd name="T72" fmla="+- 0 6227 6015"/>
                                <a:gd name="T73" fmla="*/ T72 w 401"/>
                                <a:gd name="T74" fmla="+- 0 11510 11380"/>
                                <a:gd name="T75" fmla="*/ 11510 h 741"/>
                                <a:gd name="T76" fmla="+- 0 6015 6015"/>
                                <a:gd name="T77" fmla="*/ T76 w 401"/>
                                <a:gd name="T78" fmla="+- 0 11380 11380"/>
                                <a:gd name="T79" fmla="*/ 11380 h 7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01" h="741">
                                  <a:moveTo>
                                    <a:pt x="0" y="0"/>
                                  </a:moveTo>
                                  <a:lnTo>
                                    <a:pt x="0" y="355"/>
                                  </a:lnTo>
                                  <a:lnTo>
                                    <a:pt x="8" y="435"/>
                                  </a:lnTo>
                                  <a:lnTo>
                                    <a:pt x="30" y="508"/>
                                  </a:lnTo>
                                  <a:lnTo>
                                    <a:pt x="65" y="574"/>
                                  </a:lnTo>
                                  <a:lnTo>
                                    <a:pt x="110" y="631"/>
                                  </a:lnTo>
                                  <a:lnTo>
                                    <a:pt x="165" y="678"/>
                                  </a:lnTo>
                                  <a:lnTo>
                                    <a:pt x="227" y="715"/>
                                  </a:lnTo>
                                  <a:lnTo>
                                    <a:pt x="295" y="740"/>
                                  </a:lnTo>
                                  <a:lnTo>
                                    <a:pt x="339" y="684"/>
                                  </a:lnTo>
                                  <a:lnTo>
                                    <a:pt x="371" y="622"/>
                                  </a:lnTo>
                                  <a:lnTo>
                                    <a:pt x="392" y="556"/>
                                  </a:lnTo>
                                  <a:lnTo>
                                    <a:pt x="401" y="488"/>
                                  </a:lnTo>
                                  <a:lnTo>
                                    <a:pt x="398" y="420"/>
                                  </a:lnTo>
                                  <a:lnTo>
                                    <a:pt x="384" y="353"/>
                                  </a:lnTo>
                                  <a:lnTo>
                                    <a:pt x="358" y="288"/>
                                  </a:lnTo>
                                  <a:lnTo>
                                    <a:pt x="321" y="229"/>
                                  </a:lnTo>
                                  <a:lnTo>
                                    <a:pt x="272" y="175"/>
                                  </a:lnTo>
                                  <a:lnTo>
                                    <a:pt x="212" y="130"/>
                                  </a:lnTo>
                                  <a:lnTo>
                                    <a:pt x="0" y="0"/>
                                  </a:lnTo>
                                  <a:close/>
                                </a:path>
                              </a:pathLst>
                            </a:custGeom>
                            <a:solidFill>
                              <a:srgbClr val="95C1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187848" name="Freeform 8"/>
                          <wps:cNvSpPr>
                            <a:spLocks/>
                          </wps:cNvSpPr>
                          <wps:spPr bwMode="auto">
                            <a:xfrm>
                              <a:off x="1693628" y="2592125"/>
                              <a:ext cx="229235" cy="448310"/>
                            </a:xfrm>
                            <a:custGeom>
                              <a:avLst/>
                              <a:gdLst>
                                <a:gd name="T0" fmla="+- 0 3658 3394"/>
                                <a:gd name="T1" fmla="*/ T0 w 361"/>
                                <a:gd name="T2" fmla="+- 0 10104 10104"/>
                                <a:gd name="T3" fmla="*/ 10104 h 706"/>
                                <a:gd name="T4" fmla="+- 0 3587 3394"/>
                                <a:gd name="T5" fmla="*/ T4 w 361"/>
                                <a:gd name="T6" fmla="+- 0 10138 10104"/>
                                <a:gd name="T7" fmla="*/ 10138 h 706"/>
                                <a:gd name="T8" fmla="+- 0 3523 3394"/>
                                <a:gd name="T9" fmla="*/ T8 w 361"/>
                                <a:gd name="T10" fmla="+- 0 10185 10104"/>
                                <a:gd name="T11" fmla="*/ 10185 h 706"/>
                                <a:gd name="T12" fmla="+- 0 3470 3394"/>
                                <a:gd name="T13" fmla="*/ T12 w 361"/>
                                <a:gd name="T14" fmla="+- 0 10244 10104"/>
                                <a:gd name="T15" fmla="*/ 10244 h 706"/>
                                <a:gd name="T16" fmla="+- 0 3430 3394"/>
                                <a:gd name="T17" fmla="*/ T16 w 361"/>
                                <a:gd name="T18" fmla="+- 0 10314 10104"/>
                                <a:gd name="T19" fmla="*/ 10314 h 706"/>
                                <a:gd name="T20" fmla="+- 0 3403 3394"/>
                                <a:gd name="T21" fmla="*/ T20 w 361"/>
                                <a:gd name="T22" fmla="+- 0 10392 10104"/>
                                <a:gd name="T23" fmla="*/ 10392 h 706"/>
                                <a:gd name="T24" fmla="+- 0 3394 3394"/>
                                <a:gd name="T25" fmla="*/ T24 w 361"/>
                                <a:gd name="T26" fmla="+- 0 10479 10104"/>
                                <a:gd name="T27" fmla="*/ 10479 h 706"/>
                                <a:gd name="T28" fmla="+- 0 3394 3394"/>
                                <a:gd name="T29" fmla="*/ T28 w 361"/>
                                <a:gd name="T30" fmla="+- 0 10810 10104"/>
                                <a:gd name="T31" fmla="*/ 10810 h 706"/>
                                <a:gd name="T32" fmla="+- 0 3566 3394"/>
                                <a:gd name="T33" fmla="*/ T32 w 361"/>
                                <a:gd name="T34" fmla="+- 0 10704 10104"/>
                                <a:gd name="T35" fmla="*/ 10704 h 706"/>
                                <a:gd name="T36" fmla="+- 0 3625 3394"/>
                                <a:gd name="T37" fmla="*/ T36 w 361"/>
                                <a:gd name="T38" fmla="+- 0 10660 10104"/>
                                <a:gd name="T39" fmla="*/ 10660 h 706"/>
                                <a:gd name="T40" fmla="+- 0 3673 3394"/>
                                <a:gd name="T41" fmla="*/ T40 w 361"/>
                                <a:gd name="T42" fmla="+- 0 10608 10104"/>
                                <a:gd name="T43" fmla="*/ 10608 h 706"/>
                                <a:gd name="T44" fmla="+- 0 3710 3394"/>
                                <a:gd name="T45" fmla="*/ T44 w 361"/>
                                <a:gd name="T46" fmla="+- 0 10550 10104"/>
                                <a:gd name="T47" fmla="*/ 10550 h 706"/>
                                <a:gd name="T48" fmla="+- 0 3736 3394"/>
                                <a:gd name="T49" fmla="*/ T48 w 361"/>
                                <a:gd name="T50" fmla="+- 0 10487 10104"/>
                                <a:gd name="T51" fmla="*/ 10487 h 706"/>
                                <a:gd name="T52" fmla="+- 0 3751 3394"/>
                                <a:gd name="T53" fmla="*/ T52 w 361"/>
                                <a:gd name="T54" fmla="+- 0 10421 10104"/>
                                <a:gd name="T55" fmla="*/ 10421 h 706"/>
                                <a:gd name="T56" fmla="+- 0 3755 3394"/>
                                <a:gd name="T57" fmla="*/ T56 w 361"/>
                                <a:gd name="T58" fmla="+- 0 10354 10104"/>
                                <a:gd name="T59" fmla="*/ 10354 h 706"/>
                                <a:gd name="T60" fmla="+- 0 3747 3394"/>
                                <a:gd name="T61" fmla="*/ T60 w 361"/>
                                <a:gd name="T62" fmla="+- 0 10287 10104"/>
                                <a:gd name="T63" fmla="*/ 10287 h 706"/>
                                <a:gd name="T64" fmla="+- 0 3728 3394"/>
                                <a:gd name="T65" fmla="*/ T64 w 361"/>
                                <a:gd name="T66" fmla="+- 0 10222 10104"/>
                                <a:gd name="T67" fmla="*/ 10222 h 706"/>
                                <a:gd name="T68" fmla="+- 0 3699 3394"/>
                                <a:gd name="T69" fmla="*/ T68 w 361"/>
                                <a:gd name="T70" fmla="+- 0 10161 10104"/>
                                <a:gd name="T71" fmla="*/ 10161 h 706"/>
                                <a:gd name="T72" fmla="+- 0 3658 3394"/>
                                <a:gd name="T73" fmla="*/ T72 w 361"/>
                                <a:gd name="T74" fmla="+- 0 10104 10104"/>
                                <a:gd name="T75" fmla="*/ 10104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61" h="706">
                                  <a:moveTo>
                                    <a:pt x="264" y="0"/>
                                  </a:moveTo>
                                  <a:lnTo>
                                    <a:pt x="193" y="34"/>
                                  </a:lnTo>
                                  <a:lnTo>
                                    <a:pt x="129" y="81"/>
                                  </a:lnTo>
                                  <a:lnTo>
                                    <a:pt x="76" y="140"/>
                                  </a:lnTo>
                                  <a:lnTo>
                                    <a:pt x="36" y="210"/>
                                  </a:lnTo>
                                  <a:lnTo>
                                    <a:pt x="9" y="288"/>
                                  </a:lnTo>
                                  <a:lnTo>
                                    <a:pt x="0" y="375"/>
                                  </a:lnTo>
                                  <a:lnTo>
                                    <a:pt x="0" y="706"/>
                                  </a:lnTo>
                                  <a:lnTo>
                                    <a:pt x="172" y="600"/>
                                  </a:lnTo>
                                  <a:lnTo>
                                    <a:pt x="231" y="556"/>
                                  </a:lnTo>
                                  <a:lnTo>
                                    <a:pt x="279" y="504"/>
                                  </a:lnTo>
                                  <a:lnTo>
                                    <a:pt x="316" y="446"/>
                                  </a:lnTo>
                                  <a:lnTo>
                                    <a:pt x="342" y="383"/>
                                  </a:lnTo>
                                  <a:lnTo>
                                    <a:pt x="357" y="317"/>
                                  </a:lnTo>
                                  <a:lnTo>
                                    <a:pt x="361" y="250"/>
                                  </a:lnTo>
                                  <a:lnTo>
                                    <a:pt x="353" y="183"/>
                                  </a:lnTo>
                                  <a:lnTo>
                                    <a:pt x="334" y="118"/>
                                  </a:lnTo>
                                  <a:lnTo>
                                    <a:pt x="305" y="57"/>
                                  </a:lnTo>
                                  <a:lnTo>
                                    <a:pt x="264" y="0"/>
                                  </a:lnTo>
                                  <a:close/>
                                </a:path>
                              </a:pathLst>
                            </a:custGeom>
                            <a:solidFill>
                              <a:srgbClr val="0065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3047110" name="Freeform 7"/>
                          <wps:cNvSpPr>
                            <a:spLocks/>
                          </wps:cNvSpPr>
                          <wps:spPr bwMode="auto">
                            <a:xfrm>
                              <a:off x="1717481" y="2576223"/>
                              <a:ext cx="532130" cy="287020"/>
                            </a:xfrm>
                            <a:custGeom>
                              <a:avLst/>
                              <a:gdLst>
                                <a:gd name="T0" fmla="+- 0 3781 3433"/>
                                <a:gd name="T1" fmla="*/ T0 w 838"/>
                                <a:gd name="T2" fmla="+- 0 10081 10081"/>
                                <a:gd name="T3" fmla="*/ 10081 h 452"/>
                                <a:gd name="T4" fmla="+- 0 3709 3433"/>
                                <a:gd name="T5" fmla="*/ T4 w 838"/>
                                <a:gd name="T6" fmla="+- 0 10090 10081"/>
                                <a:gd name="T7" fmla="*/ 10090 h 452"/>
                                <a:gd name="T8" fmla="+- 0 3640 3433"/>
                                <a:gd name="T9" fmla="*/ T8 w 838"/>
                                <a:gd name="T10" fmla="+- 0 10111 10081"/>
                                <a:gd name="T11" fmla="*/ 10111 h 452"/>
                                <a:gd name="T12" fmla="+- 0 3576 3433"/>
                                <a:gd name="T13" fmla="*/ T12 w 838"/>
                                <a:gd name="T14" fmla="+- 0 10145 10081"/>
                                <a:gd name="T15" fmla="*/ 10145 h 452"/>
                                <a:gd name="T16" fmla="+- 0 3520 3433"/>
                                <a:gd name="T17" fmla="*/ T16 w 838"/>
                                <a:gd name="T18" fmla="+- 0 10189 10081"/>
                                <a:gd name="T19" fmla="*/ 10189 h 452"/>
                                <a:gd name="T20" fmla="+- 0 3471 3433"/>
                                <a:gd name="T21" fmla="*/ T20 w 838"/>
                                <a:gd name="T22" fmla="+- 0 10243 10081"/>
                                <a:gd name="T23" fmla="*/ 10243 h 452"/>
                                <a:gd name="T24" fmla="+- 0 3433 3433"/>
                                <a:gd name="T25" fmla="*/ T24 w 838"/>
                                <a:gd name="T26" fmla="+- 0 10306 10081"/>
                                <a:gd name="T27" fmla="*/ 10306 h 452"/>
                                <a:gd name="T28" fmla="+- 0 3471 3433"/>
                                <a:gd name="T29" fmla="*/ T28 w 838"/>
                                <a:gd name="T30" fmla="+- 0 10369 10081"/>
                                <a:gd name="T31" fmla="*/ 10369 h 452"/>
                                <a:gd name="T32" fmla="+- 0 3520 3433"/>
                                <a:gd name="T33" fmla="*/ T32 w 838"/>
                                <a:gd name="T34" fmla="+- 0 10423 10081"/>
                                <a:gd name="T35" fmla="*/ 10423 h 452"/>
                                <a:gd name="T36" fmla="+- 0 3576 3433"/>
                                <a:gd name="T37" fmla="*/ T36 w 838"/>
                                <a:gd name="T38" fmla="+- 0 10468 10081"/>
                                <a:gd name="T39" fmla="*/ 10468 h 452"/>
                                <a:gd name="T40" fmla="+- 0 3640 3433"/>
                                <a:gd name="T41" fmla="*/ T40 w 838"/>
                                <a:gd name="T42" fmla="+- 0 10501 10081"/>
                                <a:gd name="T43" fmla="*/ 10501 h 452"/>
                                <a:gd name="T44" fmla="+- 0 3709 3433"/>
                                <a:gd name="T45" fmla="*/ T44 w 838"/>
                                <a:gd name="T46" fmla="+- 0 10523 10081"/>
                                <a:gd name="T47" fmla="*/ 10523 h 452"/>
                                <a:gd name="T48" fmla="+- 0 3781 3433"/>
                                <a:gd name="T49" fmla="*/ T48 w 838"/>
                                <a:gd name="T50" fmla="+- 0 10532 10081"/>
                                <a:gd name="T51" fmla="*/ 10532 h 452"/>
                                <a:gd name="T52" fmla="+- 0 3855 3433"/>
                                <a:gd name="T53" fmla="*/ T52 w 838"/>
                                <a:gd name="T54" fmla="+- 0 10527 10081"/>
                                <a:gd name="T55" fmla="*/ 10527 h 452"/>
                                <a:gd name="T56" fmla="+- 0 3929 3433"/>
                                <a:gd name="T57" fmla="*/ T56 w 838"/>
                                <a:gd name="T58" fmla="+- 0 10508 10081"/>
                                <a:gd name="T59" fmla="*/ 10508 h 452"/>
                                <a:gd name="T60" fmla="+- 0 4001 3433"/>
                                <a:gd name="T61" fmla="*/ T60 w 838"/>
                                <a:gd name="T62" fmla="+- 0 10472 10081"/>
                                <a:gd name="T63" fmla="*/ 10472 h 452"/>
                                <a:gd name="T64" fmla="+- 0 4271 3433"/>
                                <a:gd name="T65" fmla="*/ T64 w 838"/>
                                <a:gd name="T66" fmla="+- 0 10306 10081"/>
                                <a:gd name="T67" fmla="*/ 10306 h 452"/>
                                <a:gd name="T68" fmla="+- 0 4001 3433"/>
                                <a:gd name="T69" fmla="*/ T68 w 838"/>
                                <a:gd name="T70" fmla="+- 0 10140 10081"/>
                                <a:gd name="T71" fmla="*/ 10140 h 452"/>
                                <a:gd name="T72" fmla="+- 0 3929 3433"/>
                                <a:gd name="T73" fmla="*/ T72 w 838"/>
                                <a:gd name="T74" fmla="+- 0 10105 10081"/>
                                <a:gd name="T75" fmla="*/ 10105 h 452"/>
                                <a:gd name="T76" fmla="+- 0 3855 3433"/>
                                <a:gd name="T77" fmla="*/ T76 w 838"/>
                                <a:gd name="T78" fmla="+- 0 10085 10081"/>
                                <a:gd name="T79" fmla="*/ 10085 h 452"/>
                                <a:gd name="T80" fmla="+- 0 3781 3433"/>
                                <a:gd name="T81" fmla="*/ T80 w 838"/>
                                <a:gd name="T82" fmla="+- 0 10081 10081"/>
                                <a:gd name="T83" fmla="*/ 10081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38" h="452">
                                  <a:moveTo>
                                    <a:pt x="348" y="0"/>
                                  </a:moveTo>
                                  <a:lnTo>
                                    <a:pt x="276" y="9"/>
                                  </a:lnTo>
                                  <a:lnTo>
                                    <a:pt x="207" y="30"/>
                                  </a:lnTo>
                                  <a:lnTo>
                                    <a:pt x="143" y="64"/>
                                  </a:lnTo>
                                  <a:lnTo>
                                    <a:pt x="87" y="108"/>
                                  </a:lnTo>
                                  <a:lnTo>
                                    <a:pt x="38" y="162"/>
                                  </a:lnTo>
                                  <a:lnTo>
                                    <a:pt x="0" y="225"/>
                                  </a:lnTo>
                                  <a:lnTo>
                                    <a:pt x="38" y="288"/>
                                  </a:lnTo>
                                  <a:lnTo>
                                    <a:pt x="87" y="342"/>
                                  </a:lnTo>
                                  <a:lnTo>
                                    <a:pt x="143" y="387"/>
                                  </a:lnTo>
                                  <a:lnTo>
                                    <a:pt x="207" y="420"/>
                                  </a:lnTo>
                                  <a:lnTo>
                                    <a:pt x="276" y="442"/>
                                  </a:lnTo>
                                  <a:lnTo>
                                    <a:pt x="348" y="451"/>
                                  </a:lnTo>
                                  <a:lnTo>
                                    <a:pt x="422" y="446"/>
                                  </a:lnTo>
                                  <a:lnTo>
                                    <a:pt x="496" y="427"/>
                                  </a:lnTo>
                                  <a:lnTo>
                                    <a:pt x="568" y="391"/>
                                  </a:lnTo>
                                  <a:lnTo>
                                    <a:pt x="838" y="225"/>
                                  </a:lnTo>
                                  <a:lnTo>
                                    <a:pt x="568" y="59"/>
                                  </a:lnTo>
                                  <a:lnTo>
                                    <a:pt x="496" y="24"/>
                                  </a:lnTo>
                                  <a:lnTo>
                                    <a:pt x="422" y="4"/>
                                  </a:lnTo>
                                  <a:lnTo>
                                    <a:pt x="348" y="0"/>
                                  </a:lnTo>
                                  <a:close/>
                                </a:path>
                              </a:pathLst>
                            </a:custGeom>
                            <a:solidFill>
                              <a:srgbClr val="4737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9314353" name="Freeform 5"/>
                          <wps:cNvSpPr>
                            <a:spLocks/>
                          </wps:cNvSpPr>
                          <wps:spPr bwMode="auto">
                            <a:xfrm>
                              <a:off x="1693628" y="4118776"/>
                              <a:ext cx="229235" cy="553085"/>
                            </a:xfrm>
                            <a:custGeom>
                              <a:avLst/>
                              <a:gdLst>
                                <a:gd name="T0" fmla="+- 0 3394 3394"/>
                                <a:gd name="T1" fmla="*/ T0 w 361"/>
                                <a:gd name="T2" fmla="+- 0 12499 12499"/>
                                <a:gd name="T3" fmla="*/ 12499 h 871"/>
                                <a:gd name="T4" fmla="+- 0 3394 3394"/>
                                <a:gd name="T5" fmla="*/ T4 w 361"/>
                                <a:gd name="T6" fmla="+- 0 13219 12499"/>
                                <a:gd name="T7" fmla="*/ 13219 h 871"/>
                                <a:gd name="T8" fmla="+- 0 3396 3394"/>
                                <a:gd name="T9" fmla="*/ T8 w 361"/>
                                <a:gd name="T10" fmla="+- 0 13259 12499"/>
                                <a:gd name="T11" fmla="*/ 13259 h 871"/>
                                <a:gd name="T12" fmla="+- 0 3402 3394"/>
                                <a:gd name="T13" fmla="*/ T12 w 361"/>
                                <a:gd name="T14" fmla="+- 0 13298 12499"/>
                                <a:gd name="T15" fmla="*/ 13298 h 871"/>
                                <a:gd name="T16" fmla="+- 0 3411 3394"/>
                                <a:gd name="T17" fmla="*/ T16 w 361"/>
                                <a:gd name="T18" fmla="+- 0 13334 12499"/>
                                <a:gd name="T19" fmla="*/ 13334 h 871"/>
                                <a:gd name="T20" fmla="+- 0 3423 3394"/>
                                <a:gd name="T21" fmla="*/ T20 w 361"/>
                                <a:gd name="T22" fmla="+- 0 13370 12499"/>
                                <a:gd name="T23" fmla="*/ 13370 h 871"/>
                                <a:gd name="T24" fmla="+- 0 3566 3394"/>
                                <a:gd name="T25" fmla="*/ T24 w 361"/>
                                <a:gd name="T26" fmla="+- 0 13282 12499"/>
                                <a:gd name="T27" fmla="*/ 13282 h 871"/>
                                <a:gd name="T28" fmla="+- 0 3623 3394"/>
                                <a:gd name="T29" fmla="*/ T28 w 361"/>
                                <a:gd name="T30" fmla="+- 0 13239 12499"/>
                                <a:gd name="T31" fmla="*/ 13239 h 871"/>
                                <a:gd name="T32" fmla="+- 0 3671 3394"/>
                                <a:gd name="T33" fmla="*/ T32 w 361"/>
                                <a:gd name="T34" fmla="+- 0 13189 12499"/>
                                <a:gd name="T35" fmla="*/ 13189 h 871"/>
                                <a:gd name="T36" fmla="+- 0 3708 3394"/>
                                <a:gd name="T37" fmla="*/ T36 w 361"/>
                                <a:gd name="T38" fmla="+- 0 13132 12499"/>
                                <a:gd name="T39" fmla="*/ 13132 h 871"/>
                                <a:gd name="T40" fmla="+- 0 3734 3394"/>
                                <a:gd name="T41" fmla="*/ T40 w 361"/>
                                <a:gd name="T42" fmla="+- 0 13072 12499"/>
                                <a:gd name="T43" fmla="*/ 13072 h 871"/>
                                <a:gd name="T44" fmla="+- 0 3750 3394"/>
                                <a:gd name="T45" fmla="*/ T44 w 361"/>
                                <a:gd name="T46" fmla="+- 0 13008 12499"/>
                                <a:gd name="T47" fmla="*/ 13008 h 871"/>
                                <a:gd name="T48" fmla="+- 0 3755 3394"/>
                                <a:gd name="T49" fmla="*/ T48 w 361"/>
                                <a:gd name="T50" fmla="+- 0 12943 12499"/>
                                <a:gd name="T51" fmla="*/ 12943 h 871"/>
                                <a:gd name="T52" fmla="+- 0 3750 3394"/>
                                <a:gd name="T53" fmla="*/ T52 w 361"/>
                                <a:gd name="T54" fmla="+- 0 12878 12499"/>
                                <a:gd name="T55" fmla="*/ 12878 h 871"/>
                                <a:gd name="T56" fmla="+- 0 3734 3394"/>
                                <a:gd name="T57" fmla="*/ T56 w 361"/>
                                <a:gd name="T58" fmla="+- 0 12814 12499"/>
                                <a:gd name="T59" fmla="*/ 12814 h 871"/>
                                <a:gd name="T60" fmla="+- 0 3708 3394"/>
                                <a:gd name="T61" fmla="*/ T60 w 361"/>
                                <a:gd name="T62" fmla="+- 0 12754 12499"/>
                                <a:gd name="T63" fmla="*/ 12754 h 871"/>
                                <a:gd name="T64" fmla="+- 0 3671 3394"/>
                                <a:gd name="T65" fmla="*/ T64 w 361"/>
                                <a:gd name="T66" fmla="+- 0 12698 12499"/>
                                <a:gd name="T67" fmla="*/ 12698 h 871"/>
                                <a:gd name="T68" fmla="+- 0 3623 3394"/>
                                <a:gd name="T69" fmla="*/ T68 w 361"/>
                                <a:gd name="T70" fmla="+- 0 12647 12499"/>
                                <a:gd name="T71" fmla="*/ 12647 h 871"/>
                                <a:gd name="T72" fmla="+- 0 3566 3394"/>
                                <a:gd name="T73" fmla="*/ T72 w 361"/>
                                <a:gd name="T74" fmla="+- 0 12604 12499"/>
                                <a:gd name="T75" fmla="*/ 12604 h 871"/>
                                <a:gd name="T76" fmla="+- 0 3394 3394"/>
                                <a:gd name="T77" fmla="*/ T76 w 361"/>
                                <a:gd name="T78" fmla="+- 0 12499 12499"/>
                                <a:gd name="T79" fmla="*/ 12499 h 8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61" h="871">
                                  <a:moveTo>
                                    <a:pt x="0" y="0"/>
                                  </a:moveTo>
                                  <a:lnTo>
                                    <a:pt x="0" y="720"/>
                                  </a:lnTo>
                                  <a:lnTo>
                                    <a:pt x="2" y="760"/>
                                  </a:lnTo>
                                  <a:lnTo>
                                    <a:pt x="8" y="799"/>
                                  </a:lnTo>
                                  <a:lnTo>
                                    <a:pt x="17" y="835"/>
                                  </a:lnTo>
                                  <a:lnTo>
                                    <a:pt x="29" y="871"/>
                                  </a:lnTo>
                                  <a:lnTo>
                                    <a:pt x="172" y="783"/>
                                  </a:lnTo>
                                  <a:lnTo>
                                    <a:pt x="229" y="740"/>
                                  </a:lnTo>
                                  <a:lnTo>
                                    <a:pt x="277" y="690"/>
                                  </a:lnTo>
                                  <a:lnTo>
                                    <a:pt x="314" y="633"/>
                                  </a:lnTo>
                                  <a:lnTo>
                                    <a:pt x="340" y="573"/>
                                  </a:lnTo>
                                  <a:lnTo>
                                    <a:pt x="356" y="509"/>
                                  </a:lnTo>
                                  <a:lnTo>
                                    <a:pt x="361" y="444"/>
                                  </a:lnTo>
                                  <a:lnTo>
                                    <a:pt x="356" y="379"/>
                                  </a:lnTo>
                                  <a:lnTo>
                                    <a:pt x="340" y="315"/>
                                  </a:lnTo>
                                  <a:lnTo>
                                    <a:pt x="314" y="255"/>
                                  </a:lnTo>
                                  <a:lnTo>
                                    <a:pt x="277" y="199"/>
                                  </a:lnTo>
                                  <a:lnTo>
                                    <a:pt x="229" y="148"/>
                                  </a:lnTo>
                                  <a:lnTo>
                                    <a:pt x="172" y="105"/>
                                  </a:lnTo>
                                  <a:lnTo>
                                    <a:pt x="0" y="0"/>
                                  </a:lnTo>
                                  <a:close/>
                                </a:path>
                              </a:pathLst>
                            </a:custGeom>
                            <a:solidFill>
                              <a:srgbClr val="8BA0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7FB3A7C" id="Group 1863919334" o:spid="_x0000_s1026" style="position:absolute;left:0;text-align:left;margin-left:-29.95pt;margin-top:-93.15pt;width:632.4pt;height:868pt;z-index:-251658239;mso-position-horizontal-relative:page;mso-width-relative:margin;mso-height-relative:margin" coordorigin="67"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Background pattern&#10;&#10;Description automatically generated with medium confidence" style="position:absolute;left:67;width:75603;height:106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">
                  <v:imagedata r:id="rId12" o:title="Background pattern&#10;&#10;Description automatically generated with medium confidence"/>
                  <v:path arrowok="t"/>
                </v:shape>
                <v:shape id="_x0000_s1028" style="position:absolute;left:13345;top:20817;width:55531;height:41929;visibility:visible;mso-wrap-style:square;v-text-anchor:top" coordsize="11477,153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" adj="-11796480,,5400" path="m5569,l,,,15373,9486,9534r63,-40l9611,9454r60,-41l9731,9372r59,-43l9847,9286r57,-44l9960,9197r54,-46l10068,9105r53,-47l10172,9010r51,-48l10272,8913r49,-50l10369,8813r46,-51l10461,8711r45,-53l10549,8606r43,-54l10633,8499r41,-55l10714,8389r38,-55l10790,8278r36,-57l10862,8164r35,-57l10930,8049r33,-58l10994,7932r31,-59l11054,7813r29,-60l11111,7693r26,-61l11163,7571r24,-61l11211,7448r22,-62l11255,7324r21,-62l11295,7199r19,-63l11331,7072r17,-63l11363,6945r15,-64l11391,6817r13,-64l11415,6688r11,-64l11436,6559r8,-65l11452,6429r6,-65l11464,6299r4,-65l11472,6168r2,-65l11476,6038r,-66l11476,5907r-2,-65l11472,5776r-4,-65l11464,5646r-6,-65l11452,5516r-8,-65l11436,5386r-10,-65l11415,5256r-11,-64l11391,5128r-13,-65l11363,4999r-15,-63l11331,4872r-17,-63l11295,4746r-19,-63l11255,4620r-22,-62l11211,4496r-24,-61l11163,4373r-26,-61l11111,4252r-28,-61l11054,4131r-29,-59l10994,4013r-31,-59l10930,3896r-33,-58l10862,3780r-36,-57l10790,3667r-38,-56l10714,3555r-40,-55l10633,3446r-41,-54l10549,3339r-43,-53l10461,3234r-46,-52l10369,3132r-48,-51l10272,3032r-49,-49l10172,2934r-51,-47l10068,2840r-54,-47l9960,2748r-56,-45l9847,2659r-57,-43l9731,2573r-60,-42l9611,2490r-62,-40l9486,2411,5569,xe" fillcolor="#36404b" stroked="f">
                  <v:stroke joinstyle="round"/>
                  <v:formulas/>
                  <v:path arrowok="t" o:connecttype="custom" o:connectlocs="0,4192854;4650222,2578497;4736830,2544405;4819083,2508403;4896982,2470492;4970042,2430944;5039232,2389760;5104067,2347213;5164548,2303029;5220673,2257754;5272445,2211115;5319377,2163385;5362440,2114564;5401147,2064925;5435016,2014468;5465014,1963466;5490658,1911645;5511463,1859278;5528398,1806639;5540978,1753455;5548719,1700270;5552590,1646813;5551622,1593355;5546784,1539898;5537107,1486714;5523076,1433529;5505173,1380890;5482433,1328796;5455821,1277248;5424372,1226245;5388567,1176061;5348408,1126695;5304378,1078420;5255510,1030963;5202287,984869;5144710,939867;5083262,896228;5016975,854226;4946334,813588;4871338,774586;4791988,737220;4708283,701764;4620223,668217" o:connectangles="0,0,0,0,0,0,0,0,0,0,0,0,0,0,0,0,0,0,0,0,0,0,0,0,0,0,0,0,0,0,0,0,0,0,0,0,0,0,0,0,0,0,0" textboxrect="0,0,11477,15373"/>
                  <v:textbox>
                    <w:txbxContent>
                      <w:p w14:paraId="7430C88A" w14:textId="77777777" w:rsidR="00FD4DD9" w:rsidRPr="0009454A" w:rsidRDefault="00FD4DD9" w:rsidP="0086531A">
                        <w:pPr>
                          <w:jc w:val="center"/>
                          <w:rPr>
                            <w:rFonts w:ascii="Century Gothic" w:hAnsi="Century Gothic"/>
                            <w:b/>
                            <w:color w:val="FFFFFF" w:themeColor="background1"/>
                            <w:spacing w:val="40"/>
                            <w:sz w:val="44"/>
                            <w:szCs w:val="44"/>
                          </w:rPr>
                        </w:pPr>
                      </w:p>
                      <w:p w14:paraId="672B47C2" w14:textId="2B8EB9B2" w:rsidR="0009454A" w:rsidRDefault="0009454A" w:rsidP="0086531A">
                        <w:pPr>
                          <w:jc w:val="center"/>
                          <w:rPr>
                            <w:rFonts w:ascii="Century Gothic" w:hAnsi="Century Gothic"/>
                            <w:b/>
                            <w:color w:val="FFFFFF" w:themeColor="background1"/>
                            <w:spacing w:val="40"/>
                            <w:sz w:val="44"/>
                            <w:szCs w:val="44"/>
                          </w:rPr>
                        </w:pPr>
                        <w:r w:rsidRPr="0009454A">
                          <w:rPr>
                            <w:rFonts w:ascii="Century Gothic" w:hAnsi="Century Gothic"/>
                            <w:b/>
                            <w:color w:val="FFFFFF" w:themeColor="background1"/>
                            <w:spacing w:val="40"/>
                            <w:sz w:val="44"/>
                            <w:szCs w:val="44"/>
                          </w:rPr>
                          <w:t>MEDIUM TERM FINANCIAL STRATEGY</w:t>
                        </w:r>
                      </w:p>
                      <w:p w14:paraId="05FFF550" w14:textId="77777777" w:rsidR="0009454A" w:rsidRDefault="0009454A" w:rsidP="0086531A">
                        <w:pPr>
                          <w:jc w:val="center"/>
                          <w:rPr>
                            <w:rFonts w:ascii="Century Gothic" w:hAnsi="Century Gothic"/>
                            <w:b/>
                            <w:color w:val="FFFFFF" w:themeColor="background1"/>
                            <w:spacing w:val="40"/>
                            <w:sz w:val="44"/>
                            <w:szCs w:val="44"/>
                          </w:rPr>
                        </w:pPr>
                      </w:p>
                      <w:p w14:paraId="029C9B95" w14:textId="7DE6157B" w:rsidR="00FD4DD9" w:rsidRPr="00AA7E3F" w:rsidRDefault="0042655D" w:rsidP="0086531A">
                        <w:pPr>
                          <w:jc w:val="center"/>
                          <w:rPr>
                            <w:rFonts w:ascii="Century Gothic" w:hAnsi="Century Gothic"/>
                            <w:b/>
                            <w:color w:val="FFFFFF" w:themeColor="background1"/>
                            <w:spacing w:val="40"/>
                            <w:sz w:val="44"/>
                            <w:szCs w:val="44"/>
                          </w:rPr>
                        </w:pPr>
                        <w:r>
                          <w:rPr>
                            <w:rFonts w:ascii="Century Gothic" w:hAnsi="Century Gothic"/>
                            <w:b/>
                            <w:color w:val="FFFFFF" w:themeColor="background1"/>
                            <w:spacing w:val="40"/>
                            <w:sz w:val="44"/>
                            <w:szCs w:val="44"/>
                          </w:rPr>
                          <w:t>202</w:t>
                        </w:r>
                        <w:r w:rsidR="007362EF">
                          <w:rPr>
                            <w:rFonts w:ascii="Century Gothic" w:hAnsi="Century Gothic"/>
                            <w:b/>
                            <w:color w:val="FFFFFF" w:themeColor="background1"/>
                            <w:spacing w:val="40"/>
                            <w:sz w:val="44"/>
                            <w:szCs w:val="44"/>
                          </w:rPr>
                          <w:t>6</w:t>
                        </w:r>
                        <w:r w:rsidR="00FD4DD9">
                          <w:rPr>
                            <w:rFonts w:ascii="Century Gothic" w:hAnsi="Century Gothic"/>
                            <w:b/>
                            <w:color w:val="FFFFFF" w:themeColor="background1"/>
                            <w:spacing w:val="40"/>
                            <w:sz w:val="44"/>
                            <w:szCs w:val="44"/>
                          </w:rPr>
                          <w:t>-203</w:t>
                        </w:r>
                        <w:r w:rsidR="007362EF">
                          <w:rPr>
                            <w:rFonts w:ascii="Century Gothic" w:hAnsi="Century Gothic"/>
                            <w:b/>
                            <w:color w:val="FFFFFF" w:themeColor="background1"/>
                            <w:spacing w:val="40"/>
                            <w:sz w:val="44"/>
                            <w:szCs w:val="44"/>
                          </w:rPr>
                          <w:t>1</w:t>
                        </w:r>
                      </w:p>
                    </w:txbxContent>
                  </v:textbox>
                </v:shape>
                <v:group id="Group 4" o:spid="_x0000_s1029" style="position:absolute;left:10477;top:34099;width:52743;height:55213" coordsize="52744,55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">
                  <v:shape id="Freeform 21" o:spid="_x0000_s1030" style="position:absolute;width:19189;height:22459;visibility:visible;mso-wrap-style:square;v-text-anchor:top" coordsize="3022,3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" path="m416,l352,3,291,15,232,37,177,67r-49,39l85,152,49,205,23,264,6,329,,399,,3139r6,69l23,3273r26,59l85,3385r43,46l177,3470r55,30l291,3522r61,12l416,3537r64,-8l544,3509r63,-31l2833,2108r57,-43l2938,2014r37,-56l3001,1897r16,-63l3022,1769r-5,-65l3001,1640r-26,-61l2938,1523r-48,-50l2833,1430,607,60,544,28,480,9,416,xe" fillcolor="#00a89b" stroked="f">
                    <v:path arrowok="t" o:connecttype="custom" o:connectlocs="264160,3820795;223520,3822700;184785,3830320;147320,3844290;112395,3863340;81280,3888105;53975,3917315;31115,3950970;14605,3988435;3810,4029710;0,4074160;0,5814060;3810,5857875;14605,5899150;31115,5936615;53975,5970270;81280,5999480;112395,6024245;147320,6043295;184785,6057265;223520,6064885;264160,6066790;304800,6061710;345440,6049010;385445,6029325;1798955,5159375;1835150,5132070;1865630,5099685;1889125,5064125;1905635,5025390;1915795,4985385;1918970,4944110;1915795,4902835;1905635,4862195;1889125,4823460;1865630,4787900;1835150,4756150;1798955,4728845;385445,3858895;345440,3838575;304800,3826510;264160,3820795" o:connectangles="0,0,0,0,0,0,0,0,0,0,0,0,0,0,0,0,0,0,0,0,0,0,0,0,0,0,0,0,0,0,0,0,0,0,0,0,0,0,0,0,0,0"/>
                  </v:shape>
                  <v:shape id="Freeform 20" o:spid="_x0000_s1031" style="position:absolute;top:32759;width:19189;height:22460;visibility:visible;mso-wrap-style:square;v-text-anchor:top" coordsize="3022,3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" path="m416,l352,2,291,15,232,36,177,67r-49,39l85,152,49,205,23,264,6,328,,398,,3138r6,70l23,3272r26,60l85,3385r43,46l177,3469r55,31l291,3522r61,12l416,3536r64,-8l544,3509r63,-32l2833,2107r57,-43l2938,2014r37,-57l3001,1897r16,-64l3022,1768r-5,-65l3001,1639r-26,-60l2938,1523r-48,-51l2833,1429,607,59,544,28,480,8,416,xe" fillcolor="#f59a00" stroked="f">
                    <v:path arrowok="t" o:connecttype="custom" o:connectlocs="264160,7096125;223520,7097395;184785,7105650;147320,7118985;112395,7138670;81280,7163435;53975,7192645;31115,7226300;14605,7263765;3810,7304405;0,7348855;0,9088755;3810,9133205;14605,9173845;31115,9211945;53975,9245600;81280,9274810;112395,9298940;147320,9318625;184785,9332595;223520,9340215;264160,9341485;304800,9336405;345440,9324340;385445,9304020;1798955,8434070;1835150,8406765;1865630,8375015;1889125,8338820;1905635,8300720;1915795,8260080;1918970,8218805;1915795,8177530;1905635,8136890;1889125,8098790;1865630,8063230;1835150,8030845;1798955,8003540;385445,7133590;345440,7113905;304800,7101205;264160,7096125" o:connectangles="0,0,0,0,0,0,0,0,0,0,0,0,0,0,0,0,0,0,0,0,0,0,0,0,0,0,0,0,0,0,0,0,0,0,0,0,0,0,0,0,0,0"/>
                  </v:shape>
                  <v:shape id="Freeform 19" o:spid="_x0000_s1032" style="position:absolute;top:16379;width:19189;height:22460;visibility:visible;mso-wrap-style:square;v-text-anchor:top" coordsize="3022,3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" path="m416,l352,2,291,15,232,37,177,67r-49,39l85,152,49,205,23,264,6,329,,398,,3138r6,70l23,3273r26,59l85,3385r43,46l177,3470r55,30l291,3522r61,12l416,3537r64,-9l544,3509r63,-32l2833,2107r57,-43l2938,2014r37,-56l3001,1897r16,-64l3022,1768r-5,-65l3001,1640r-26,-61l2938,1523r-48,-51l2833,1429,607,59,544,28,480,8,416,xe" fillcolor="#ea4b71" stroked="f">
                    <v:path arrowok="t" o:connecttype="custom" o:connectlocs="264160,5459095;223520,5460365;184785,5468620;147320,5482590;112395,5501640;81280,5526405;53975,5555615;31115,5589270;14605,5626735;3810,5668010;0,5711825;0,7451725;3810,7496175;14605,7537450;31115,7574915;53975,7608570;81280,7637780;112395,7662545;147320,7681595;184785,7695565;223520,7703185;264160,7705090;304800,7699375;345440,7687310;385445,7666990;1798955,6797040;1835150,6769735;1865630,6737985;1889125,6702425;1905635,6663690;1915795,6623050;1918970,6581775;1915795,6540500;1905635,6500495;1889125,6461760;1865630,6426200;1835150,6393815;1798955,6366510;385445,5496560;345440,5476875;304800,5464175;264160,5459095" o:connectangles="0,0,0,0,0,0,0,0,0,0,0,0,0,0,0,0,0,0,0,0,0,0,0,0,0,0,0,0,0,0,0,0,0,0,0,0,0,0,0,0,0,0"/>
                  </v:shape>
                  <v:shape id="Freeform 18" o:spid="_x0000_s1033" style="position:absolute;top:32759;width:8191;height:6090;visibility:visible;mso-wrap-style:square;v-text-anchor:top" coordsize="129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" path="m416,l352,2,291,15,232,36,177,67r-49,39l85,152,49,205,23,264,6,328,,398,,560r6,70l23,695r26,59l85,807r43,46l177,892r55,30l291,944r61,12l416,959r64,-9l544,931r63,-32l1289,479,607,59,544,28,480,8,416,xe" fillcolor="#e63e24" stroked="f">
                    <v:path arrowok="t" o:connecttype="custom" o:connectlocs="264160,7096125;223520,7097395;184785,7105650;147320,7118985;112395,7138670;81280,7163435;53975,7192645;31115,7226300;14605,7263765;3810,7304405;0,7348855;0,7451725;3810,7496175;14605,7537450;31115,7574915;53975,7608570;81280,7637780;112395,7662545;147320,7681595;184785,7695565;223520,7703185;264160,7705090;304800,7699375;345440,7687310;385445,7666990;818515,7400290;385445,7133590;345440,7113905;304800,7101205;264160,7096125" o:connectangles="0,0,0,0,0,0,0,0,0,0,0,0,0,0,0,0,0,0,0,0,0,0,0,0,0,0,0,0,0,0"/>
                  </v:shape>
                  <v:shape id="Freeform 17" o:spid="_x0000_s1034" style="position:absolute;top:16379;width:8178;height:6077;visibility:visible;mso-wrap-style:square;v-text-anchor:top" coordsize="128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" path="m416,l352,2,291,15,232,37,177,67r-49,39l85,152,49,205,23,264,6,329,,398,,559r6,69l23,693r26,59l85,805r43,46l177,890r55,30l291,942r61,12l416,957r64,-8l544,929r63,-31l1288,478,607,59,544,28,480,8,416,xe" fillcolor="#009083" stroked="f">
                    <v:path arrowok="t" o:connecttype="custom" o:connectlocs="264160,5459095;223520,5460365;184785,5468620;147320,5482590;112395,5501640;81280,5526405;53975,5555615;31115,5589270;14605,5626735;3810,5668010;0,5711825;0,5814060;3810,5857875;14605,5899150;31115,5936615;53975,5970270;81280,5999480;112395,6024245;147320,6043295;184785,6057265;223520,6064885;264160,6066790;304800,6061710;345440,6049010;385445,6029325;817880,5762625;385445,5496560;345440,5476875;304800,5464175;264160,5459095" o:connectangles="0,0,0,0,0,0,0,0,0,0,0,0,0,0,0,0,0,0,0,0,0,0,0,0,0,0,0,0,0,0"/>
                  </v:shape>
                  <v:shape id="Freeform 16" o:spid="_x0000_s1035" style="position:absolute;left:16936;top:6122;width:18967;height:22460;visibility:visible;mso-wrap-style:square;v-text-anchor:top" coordsize="2987,3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" path="m416,l353,3,291,15,232,37,177,67r-49,39l85,152,50,205,23,264,6,329,,398,,3138r6,70l23,3273r27,59l85,3385r43,46l177,3470r55,30l291,3522r62,12l416,3537r65,-9l544,3509r63,-32l2621,2238r,-238l2629,1921r22,-73l2685,1782r46,-57l2786,1678r62,-37l2915,1616r72,-13l2960,1553r-77,-87l2833,1429,607,59,544,28,481,8,416,xe" fillcolor="#603d91" stroked="f">
                    <v:path arrowok="t" o:connecttype="custom" o:connectlocs="264160,4441825;224155,4443730;184785,4451350;147320,4465320;112395,4484370;81280,4509135;53975,4538345;31750,4572000;14605,4609465;3810,4650740;0,4694555;0,6434455;3810,6478905;14605,6520180;31750,6557645;53975,6591300;81280,6620510;112395,6645275;147320,6664325;184785,6678295;224155,6685915;264160,6687820;305435,6682105;345440,6670040;385445,6649720;1664335,5862955;1664335,5711825;1669415,5661660;1683385,5615305;1704975,5573395;1734185,5537200;1769110,5507355;1808480,5483860;1851025,5467985;1896745,5459730;1879600,5427980;1830705,5372735;1798955,5349240;385445,4479290;345440,4459605;305435,4446905;264160,4441825" o:connectangles="0,0,0,0,0,0,0,0,0,0,0,0,0,0,0,0,0,0,0,0,0,0,0,0,0,0,0,0,0,0,0,0,0,0,0,0,0,0,0,0,0,0"/>
                  </v:shape>
                  <v:shape id="Freeform 15" o:spid="_x0000_s1036" style="position:absolute;left:33554;top:16379;width:2546;height:4032;visibility:visible;mso-wrap-style:square;v-text-anchor:top" coordsize="40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" path="m366,l294,13,227,38,165,75r-55,47l64,179,30,245,8,318,,397,,635,212,504r61,-46l323,403r38,-61l386,275r13,-69l400,136,389,67,366,xe" fillcolor="#951b81" stroked="f">
                    <v:path arrowok="t" o:connecttype="custom" o:connectlocs="232410,5459730;186690,5467985;144145,5483860;104775,5507355;69850,5537200;40640,5573395;19050,5615305;5080,5661660;0,5711825;0,5862955;134620,5779770;173355,5750560;205105,5715635;229235,5676900;245110,5634355;253365,5590540;254000,5546090;247015,5502275;232410,5459730" o:connectangles="0,0,0,0,0,0,0,0,0,0,0,0,0,0,0,0,0,0,0"/>
                  </v:shape>
                  <v:shape id="Freeform 13" o:spid="_x0000_s1037" style="position:absolute;left:16936;top:8428;width:2292;height:5632;visibility:visible;mso-wrap-style:square;v-text-anchor:top" coordsize="36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" path="m3,l1,25,,38,,50,,887,172,782r57,-43l277,688r37,-56l340,571r16,-63l361,443r-5,-65l340,314,314,253,277,197,229,147,172,104,3,xe" fillcolor="#43b8b9" stroked="f">
                    <v:path arrowok="t" o:connecttype="custom" o:connectlocs="1905,4662805;635,4678680;0,4686935;0,4694555;0,5226050;109220,5159375;145415,5132070;175895,5099685;199390,5064125;215900,5025390;226060,4985385;229235,4944110;226060,4902835;215900,4862195;199390,4823460;175895,4787900;145415,4756150;109220,4728845;1905,4662805" o:connectangles="0,0,0,0,0,0,0,0,0,0,0,0,0,0,0,0,0,0,0"/>
                  </v:shape>
                  <v:shape id="Freeform 12" o:spid="_x0000_s1038" style="position:absolute;left:16936;top:24808;width:2286;height:3841;visibility:visible;mso-wrap-style:square;v-text-anchor:top" coordsize="3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" path="m,l,212r7,75l26,356r31,62l97,473r49,47l201,558r61,29l328,604r22,-66l360,469r-2,-69l345,332,319,266,282,206,233,151,172,105,,xe" fillcolor="#662383" stroked="f">
                    <v:path arrowok="t" o:connecttype="custom" o:connectlocs="0,6299835;0,6434455;4445,6482080;16510,6525895;36195,6565265;61595,6600190;92710,6630035;127635,6654165;166370,6672580;208280,6683375;222250,6641465;228600,6597650;227330,6553835;219075,6510655;202565,6468745;179070,6430645;147955,6395720;109220,6366510;0,6299835" o:connectangles="0,0,0,0,0,0,0,0,0,0,0,0,0,0,0,0,0,0,0"/>
                  </v:shape>
                  <v:shape id="Freeform 11" o:spid="_x0000_s1039" style="position:absolute;left:33554;top:16379;width:19190;height:22454;visibility:visible;mso-wrap-style:square;v-text-anchor:top" coordsize="3022,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" path="m426,l366,r23,67l400,136r-1,70l386,275r-25,67l323,403r-50,55l212,504,,635,,2782r212,130l272,2957r49,54l358,3070r26,65l398,3202r3,68l392,3338r-21,66l339,3466r-44,56l372,3535r79,-2l530,3513r77,-37l2832,2106r58,-43l2938,2013r36,-56l3001,1896r16,-64l3022,1767r-5,-65l3001,1639r-27,-61l2938,1522r-48,-51l2832,1428,607,58,548,28,487,9,426,xe" fillcolor="#eb5c39" stroked="f">
                    <v:path arrowok="t" o:connecttype="custom" o:connectlocs="270510,5459730;232410,5459730;247015,5502275;254000,5546090;253365,5590540;245110,5634355;229235,5676900;205105,5715635;173355,5750560;134620,5779770;0,5862955;0,7226300;134620,7308850;172720,7337425;203835,7371715;227330,7409180;243840,7450455;252730,7493000;254635,7536180;248920,7579360;235585,7621270;215265,7660640;187325,7696200;236220,7704455;286385,7703185;336550,7690485;385445,7666990;1798320,6797040;1835150,6769735;1865630,6737985;1888490,6702425;1905635,6663690;1915795,6623050;1918970,6581775;1915795,6540500;1905635,6500495;1888490,6461760;1865630,6426200;1835150,6393815;1798320,6366510;385445,5496560;347980,5477510;309245,5465445;270510,5459730" o:connectangles="0,0,0,0,0,0,0,0,0,0,0,0,0,0,0,0,0,0,0,0,0,0,0,0,0,0,0,0,0,0,0,0,0,0,0,0,0,0,0,0,0,0,0,0"/>
                  </v:shape>
                  <v:shape id="Freeform 10" o:spid="_x0000_s1040" style="position:absolute;left:16936;top:25762;width:18516;height:22460;visibility:visible;mso-wrap-style:square;v-text-anchor:top" coordsize="2916,3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" path="m416,l353,2,291,15,232,36,177,67r-49,39l85,152,50,205,23,264,6,328,,398,,3138r6,70l23,3272r27,60l85,3384r43,47l177,3469r55,31l291,3522r62,12l416,3536r65,-8l545,3509r62,-32l2833,2107r64,-49l2916,2039r-68,-25l2786,1977r-55,-47l2686,1873r-35,-66l2629,1734r-8,-80l2621,1299,607,59,545,28,481,8,416,xe" fillcolor="#64b445" stroked="f">
                    <v:path arrowok="t" o:connecttype="custom" o:connectlocs="264160,6401435;224155,6402705;184785,6410960;147320,6424295;112395,6443980;81280,6468745;53975,6497955;31750,6531610;14605,6569075;3810,6609715;0,6654165;0,8394065;3810,8438515;14605,8479155;31750,8517255;53975,8550275;81280,8580120;112395,8604250;147320,8623935;184785,8637905;224155,8645525;264160,8646795;305435,8641715;346075,8629650;385445,8609330;1798955,7739380;1839595,7708265;1851660,7696200;1808480,7680325;1769110,7656830;1734185,7626985;1705610,7590790;1683385,7548880;1669415,7502525;1664335,7451725;1664335,7226300;385445,6438900;346075,6419215;305435,6406515;264160,6401435" o:connectangles="0,0,0,0,0,0,0,0,0,0,0,0,0,0,0,0,0,0,0,0,0,0,0,0,0,0,0,0,0,0,0,0,0,0,0,0,0,0,0,0"/>
                  </v:shape>
                  <v:shape id="Freeform 9" o:spid="_x0000_s1041" style="position:absolute;left:33554;top:33952;width:2546;height:4705;visibility:visible;mso-wrap-style:square;v-text-anchor:top" coordsize="40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" path="m,l,355r8,80l30,508r35,66l110,631r55,47l227,715r68,25l339,684r32,-62l392,556r9,-68l398,420,384,353,358,288,321,229,272,175,212,130,,xe" fillcolor="#95c11f" stroked="f">
                    <v:path arrowok="t" o:connecttype="custom" o:connectlocs="0,7226300;0,7451725;5080,7502525;19050,7548880;41275,7590790;69850,7626985;104775,7656830;144145,7680325;187325,7696200;215265,7660640;235585,7621270;248920,7579360;254635,7536180;252730,7493000;243840,7450455;227330,7409180;203835,7371715;172720,7337425;134620,7308850;0,7226300" o:connectangles="0,0,0,0,0,0,0,0,0,0,0,0,0,0,0,0,0,0,0,0"/>
                  </v:shape>
                  <v:shape id="Freeform 8" o:spid="_x0000_s1042" style="position:absolute;left:16936;top:25921;width:2292;height:4483;visibility:visible;mso-wrap-style:square;v-text-anchor:top" coordsize="36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" path="m264,l193,34,129,81,76,140,36,210,9,288,,375,,706,172,600r59,-44l279,504r37,-58l342,383r15,-66l361,250r-8,-67l334,118,305,57,264,xe" fillcolor="#006533" stroked="f">
                    <v:path arrowok="t" o:connecttype="custom" o:connectlocs="167640,6416040;122555,6437630;81915,6467475;48260,6504940;22860,6549390;5715,6598920;0,6654165;0,6864350;109220,6797040;146685,6769100;177165,6736080;200660,6699250;217170,6659245;226695,6617335;229235,6574790;224155,6532245;212090,6490970;193675,6452235;167640,6416040" o:connectangles="0,0,0,0,0,0,0,0,0,0,0,0,0,0,0,0,0,0,0"/>
                  </v:shape>
                  <v:shape id="Freeform 7" o:spid="_x0000_s1043" style="position:absolute;left:17174;top:25762;width:5322;height:2870;visibility:visible;mso-wrap-style:square;v-text-anchor:top" coordsize="83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" path="m348,l276,9,207,30,143,64,87,108,38,162,,225r38,63l87,342r56,45l207,420r69,22l348,451r74,-5l496,427r72,-36l838,225,568,59,496,24,422,4,348,xe" fillcolor="#473781" stroked="f">
                    <v:path arrowok="t" o:connecttype="custom" o:connectlocs="220980,6401435;175260,6407150;131445,6420485;90805,6442075;55245,6470015;24130,6504305;0,6544310;24130,6584315;55245,6618605;90805,6647180;131445,6668135;175260,6682105;220980,6687820;267970,6684645;314960,6672580;360680,6649720;532130,6544310;360680,6438900;314960,6416675;267970,6403975;220980,6401435" o:connectangles="0,0,0,0,0,0,0,0,0,0,0,0,0,0,0,0,0,0,0,0,0"/>
                  </v:shape>
                  <v:shape id="Freeform 5" o:spid="_x0000_s1044" style="position:absolute;left:16936;top:41187;width:2292;height:5531;visibility:visible;mso-wrap-style:square;v-text-anchor:top" coordsize="36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" path="m,l,720r2,40l8,799r9,36l29,871,172,783r57,-43l277,690r37,-57l340,573r16,-64l361,444r-5,-65l340,315,314,255,277,199,229,148,172,105,,xe" fillcolor="#8ba02b" stroked="f">
                    <v:path arrowok="t" o:connecttype="custom" o:connectlocs="0,7936865;0,8394065;1270,8419465;5080,8444230;10795,8467090;18415,8489950;109220,8434070;145415,8406765;175895,8375015;199390,8338820;215900,8300720;226060,8260080;229235,8218805;226060,8177530;215900,8136890;199390,8098790;175895,8063230;145415,8030845;109220,8003540;0,7936865" o:connectangles="0,0,0,0,0,0,0,0,0,0,0,0,0,0,0,0,0,0,0,0"/>
                  </v:shape>
                </v:group>
                <w10:wrap anchorx="page"/>
              </v:group>
            </w:pict>
          </mc:Fallback>
        </mc:AlternateContent>
      </w:r>
      <w:r>
        <w:tab/>
      </w:r>
      <w:r>
        <w:tab/>
      </w:r>
      <w:r w:rsidR="003E1696">
        <w:rPr>
          <w:noProof/>
        </w:rPr>
        <mc:AlternateContent>
          <mc:Choice Requires="wps">
            <w:drawing>
              <wp:anchor distT="0" distB="0" distL="114300" distR="114300" simplePos="0" relativeHeight="251658240" behindDoc="0" locked="0" layoutInCell="1" allowOverlap="1" wp14:anchorId="573DBF2F" wp14:editId="3BB1A185">
                <wp:simplePos x="0" y="0"/>
                <wp:positionH relativeFrom="column">
                  <wp:posOffset>3522968</wp:posOffset>
                </wp:positionH>
                <wp:positionV relativeFrom="paragraph">
                  <wp:posOffset>-717550</wp:posOffset>
                </wp:positionV>
                <wp:extent cx="2743200" cy="374650"/>
                <wp:effectExtent l="0" t="0" r="0" b="6350"/>
                <wp:wrapNone/>
                <wp:docPr id="749232429"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374650"/>
                        </a:xfrm>
                        <a:custGeom>
                          <a:avLst/>
                          <a:gdLst>
                            <a:gd name="T0" fmla="*/ 0 w 11477"/>
                            <a:gd name="T1" fmla="*/ 15373 h 15373"/>
                            <a:gd name="T2" fmla="*/ 9611 w 11477"/>
                            <a:gd name="T3" fmla="*/ 9454 h 15373"/>
                            <a:gd name="T4" fmla="*/ 9790 w 11477"/>
                            <a:gd name="T5" fmla="*/ 9329 h 15373"/>
                            <a:gd name="T6" fmla="*/ 9960 w 11477"/>
                            <a:gd name="T7" fmla="*/ 9197 h 15373"/>
                            <a:gd name="T8" fmla="*/ 10121 w 11477"/>
                            <a:gd name="T9" fmla="*/ 9058 h 15373"/>
                            <a:gd name="T10" fmla="*/ 10272 w 11477"/>
                            <a:gd name="T11" fmla="*/ 8913 h 15373"/>
                            <a:gd name="T12" fmla="*/ 10415 w 11477"/>
                            <a:gd name="T13" fmla="*/ 8762 h 15373"/>
                            <a:gd name="T14" fmla="*/ 10549 w 11477"/>
                            <a:gd name="T15" fmla="*/ 8606 h 15373"/>
                            <a:gd name="T16" fmla="*/ 10674 w 11477"/>
                            <a:gd name="T17" fmla="*/ 8444 h 15373"/>
                            <a:gd name="T18" fmla="*/ 10790 w 11477"/>
                            <a:gd name="T19" fmla="*/ 8278 h 15373"/>
                            <a:gd name="T20" fmla="*/ 10897 w 11477"/>
                            <a:gd name="T21" fmla="*/ 8107 h 15373"/>
                            <a:gd name="T22" fmla="*/ 10994 w 11477"/>
                            <a:gd name="T23" fmla="*/ 7932 h 15373"/>
                            <a:gd name="T24" fmla="*/ 11083 w 11477"/>
                            <a:gd name="T25" fmla="*/ 7753 h 15373"/>
                            <a:gd name="T26" fmla="*/ 11163 w 11477"/>
                            <a:gd name="T27" fmla="*/ 7571 h 15373"/>
                            <a:gd name="T28" fmla="*/ 11233 w 11477"/>
                            <a:gd name="T29" fmla="*/ 7386 h 15373"/>
                            <a:gd name="T30" fmla="*/ 11295 w 11477"/>
                            <a:gd name="T31" fmla="*/ 7199 h 15373"/>
                            <a:gd name="T32" fmla="*/ 11348 w 11477"/>
                            <a:gd name="T33" fmla="*/ 7009 h 15373"/>
                            <a:gd name="T34" fmla="*/ 11391 w 11477"/>
                            <a:gd name="T35" fmla="*/ 6817 h 15373"/>
                            <a:gd name="T36" fmla="*/ 11426 w 11477"/>
                            <a:gd name="T37" fmla="*/ 6624 h 15373"/>
                            <a:gd name="T38" fmla="*/ 11452 w 11477"/>
                            <a:gd name="T39" fmla="*/ 6429 h 15373"/>
                            <a:gd name="T40" fmla="*/ 11468 w 11477"/>
                            <a:gd name="T41" fmla="*/ 6234 h 15373"/>
                            <a:gd name="T42" fmla="*/ 11476 w 11477"/>
                            <a:gd name="T43" fmla="*/ 6038 h 15373"/>
                            <a:gd name="T44" fmla="*/ 11474 w 11477"/>
                            <a:gd name="T45" fmla="*/ 5842 h 15373"/>
                            <a:gd name="T46" fmla="*/ 11464 w 11477"/>
                            <a:gd name="T47" fmla="*/ 5646 h 15373"/>
                            <a:gd name="T48" fmla="*/ 11444 w 11477"/>
                            <a:gd name="T49" fmla="*/ 5451 h 15373"/>
                            <a:gd name="T50" fmla="*/ 11415 w 11477"/>
                            <a:gd name="T51" fmla="*/ 5256 h 15373"/>
                            <a:gd name="T52" fmla="*/ 11378 w 11477"/>
                            <a:gd name="T53" fmla="*/ 5063 h 15373"/>
                            <a:gd name="T54" fmla="*/ 11331 w 11477"/>
                            <a:gd name="T55" fmla="*/ 4872 h 15373"/>
                            <a:gd name="T56" fmla="*/ 11276 w 11477"/>
                            <a:gd name="T57" fmla="*/ 4683 h 15373"/>
                            <a:gd name="T58" fmla="*/ 11211 w 11477"/>
                            <a:gd name="T59" fmla="*/ 4496 h 15373"/>
                            <a:gd name="T60" fmla="*/ 11137 w 11477"/>
                            <a:gd name="T61" fmla="*/ 4312 h 15373"/>
                            <a:gd name="T62" fmla="*/ 11054 w 11477"/>
                            <a:gd name="T63" fmla="*/ 4131 h 15373"/>
                            <a:gd name="T64" fmla="*/ 10963 w 11477"/>
                            <a:gd name="T65" fmla="*/ 3954 h 15373"/>
                            <a:gd name="T66" fmla="*/ 10862 w 11477"/>
                            <a:gd name="T67" fmla="*/ 3780 h 15373"/>
                            <a:gd name="T68" fmla="*/ 10752 w 11477"/>
                            <a:gd name="T69" fmla="*/ 3611 h 15373"/>
                            <a:gd name="T70" fmla="*/ 10633 w 11477"/>
                            <a:gd name="T71" fmla="*/ 3446 h 15373"/>
                            <a:gd name="T72" fmla="*/ 10506 w 11477"/>
                            <a:gd name="T73" fmla="*/ 3286 h 15373"/>
                            <a:gd name="T74" fmla="*/ 10369 w 11477"/>
                            <a:gd name="T75" fmla="*/ 3132 h 15373"/>
                            <a:gd name="T76" fmla="*/ 10223 w 11477"/>
                            <a:gd name="T77" fmla="*/ 2983 h 15373"/>
                            <a:gd name="T78" fmla="*/ 10068 w 11477"/>
                            <a:gd name="T79" fmla="*/ 2840 h 15373"/>
                            <a:gd name="T80" fmla="*/ 9904 w 11477"/>
                            <a:gd name="T81" fmla="*/ 2703 h 15373"/>
                            <a:gd name="T82" fmla="*/ 9731 w 11477"/>
                            <a:gd name="T83" fmla="*/ 2573 h 15373"/>
                            <a:gd name="T84" fmla="*/ 9549 w 11477"/>
                            <a:gd name="T85" fmla="*/ 2450 h 15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477" h="15373">
                              <a:moveTo>
                                <a:pt x="5569" y="0"/>
                              </a:moveTo>
                              <a:lnTo>
                                <a:pt x="0" y="0"/>
                              </a:lnTo>
                              <a:lnTo>
                                <a:pt x="0" y="15373"/>
                              </a:lnTo>
                              <a:lnTo>
                                <a:pt x="9486" y="9534"/>
                              </a:lnTo>
                              <a:lnTo>
                                <a:pt x="9549" y="9494"/>
                              </a:lnTo>
                              <a:lnTo>
                                <a:pt x="9611" y="9454"/>
                              </a:lnTo>
                              <a:lnTo>
                                <a:pt x="9671" y="9413"/>
                              </a:lnTo>
                              <a:lnTo>
                                <a:pt x="9731" y="9372"/>
                              </a:lnTo>
                              <a:lnTo>
                                <a:pt x="9790" y="9329"/>
                              </a:lnTo>
                              <a:lnTo>
                                <a:pt x="9847" y="9286"/>
                              </a:lnTo>
                              <a:lnTo>
                                <a:pt x="9904" y="9242"/>
                              </a:lnTo>
                              <a:lnTo>
                                <a:pt x="9960" y="9197"/>
                              </a:lnTo>
                              <a:lnTo>
                                <a:pt x="10014" y="9151"/>
                              </a:lnTo>
                              <a:lnTo>
                                <a:pt x="10068" y="9105"/>
                              </a:lnTo>
                              <a:lnTo>
                                <a:pt x="10121" y="9058"/>
                              </a:lnTo>
                              <a:lnTo>
                                <a:pt x="10172" y="9010"/>
                              </a:lnTo>
                              <a:lnTo>
                                <a:pt x="10223" y="8962"/>
                              </a:lnTo>
                              <a:lnTo>
                                <a:pt x="10272" y="8913"/>
                              </a:lnTo>
                              <a:lnTo>
                                <a:pt x="10321" y="8863"/>
                              </a:lnTo>
                              <a:lnTo>
                                <a:pt x="10369" y="8813"/>
                              </a:lnTo>
                              <a:lnTo>
                                <a:pt x="10415" y="8762"/>
                              </a:lnTo>
                              <a:lnTo>
                                <a:pt x="10461" y="8711"/>
                              </a:lnTo>
                              <a:lnTo>
                                <a:pt x="10506" y="8658"/>
                              </a:lnTo>
                              <a:lnTo>
                                <a:pt x="10549" y="8606"/>
                              </a:lnTo>
                              <a:lnTo>
                                <a:pt x="10592" y="8552"/>
                              </a:lnTo>
                              <a:lnTo>
                                <a:pt x="10633" y="8499"/>
                              </a:lnTo>
                              <a:lnTo>
                                <a:pt x="10674" y="8444"/>
                              </a:lnTo>
                              <a:lnTo>
                                <a:pt x="10714" y="8389"/>
                              </a:lnTo>
                              <a:lnTo>
                                <a:pt x="10752" y="8334"/>
                              </a:lnTo>
                              <a:lnTo>
                                <a:pt x="10790" y="8278"/>
                              </a:lnTo>
                              <a:lnTo>
                                <a:pt x="10826" y="8221"/>
                              </a:lnTo>
                              <a:lnTo>
                                <a:pt x="10862" y="8164"/>
                              </a:lnTo>
                              <a:lnTo>
                                <a:pt x="10897" y="8107"/>
                              </a:lnTo>
                              <a:lnTo>
                                <a:pt x="10930" y="8049"/>
                              </a:lnTo>
                              <a:lnTo>
                                <a:pt x="10963" y="7991"/>
                              </a:lnTo>
                              <a:lnTo>
                                <a:pt x="10994" y="7932"/>
                              </a:lnTo>
                              <a:lnTo>
                                <a:pt x="11025" y="7873"/>
                              </a:lnTo>
                              <a:lnTo>
                                <a:pt x="11054" y="7813"/>
                              </a:lnTo>
                              <a:lnTo>
                                <a:pt x="11083" y="7753"/>
                              </a:lnTo>
                              <a:lnTo>
                                <a:pt x="11111" y="7693"/>
                              </a:lnTo>
                              <a:lnTo>
                                <a:pt x="11137" y="7632"/>
                              </a:lnTo>
                              <a:lnTo>
                                <a:pt x="11163" y="7571"/>
                              </a:lnTo>
                              <a:lnTo>
                                <a:pt x="11187" y="7510"/>
                              </a:lnTo>
                              <a:lnTo>
                                <a:pt x="11211" y="7448"/>
                              </a:lnTo>
                              <a:lnTo>
                                <a:pt x="11233" y="7386"/>
                              </a:lnTo>
                              <a:lnTo>
                                <a:pt x="11255" y="7324"/>
                              </a:lnTo>
                              <a:lnTo>
                                <a:pt x="11276" y="7262"/>
                              </a:lnTo>
                              <a:lnTo>
                                <a:pt x="11295" y="7199"/>
                              </a:lnTo>
                              <a:lnTo>
                                <a:pt x="11314" y="7136"/>
                              </a:lnTo>
                              <a:lnTo>
                                <a:pt x="11331" y="7072"/>
                              </a:lnTo>
                              <a:lnTo>
                                <a:pt x="11348" y="7009"/>
                              </a:lnTo>
                              <a:lnTo>
                                <a:pt x="11363" y="6945"/>
                              </a:lnTo>
                              <a:lnTo>
                                <a:pt x="11378" y="6881"/>
                              </a:lnTo>
                              <a:lnTo>
                                <a:pt x="11391" y="6817"/>
                              </a:lnTo>
                              <a:lnTo>
                                <a:pt x="11404" y="6753"/>
                              </a:lnTo>
                              <a:lnTo>
                                <a:pt x="11415" y="6688"/>
                              </a:lnTo>
                              <a:lnTo>
                                <a:pt x="11426" y="6624"/>
                              </a:lnTo>
                              <a:lnTo>
                                <a:pt x="11436" y="6559"/>
                              </a:lnTo>
                              <a:lnTo>
                                <a:pt x="11444" y="6494"/>
                              </a:lnTo>
                              <a:lnTo>
                                <a:pt x="11452" y="6429"/>
                              </a:lnTo>
                              <a:lnTo>
                                <a:pt x="11458" y="6364"/>
                              </a:lnTo>
                              <a:lnTo>
                                <a:pt x="11464" y="6299"/>
                              </a:lnTo>
                              <a:lnTo>
                                <a:pt x="11468" y="6234"/>
                              </a:lnTo>
                              <a:lnTo>
                                <a:pt x="11472" y="6168"/>
                              </a:lnTo>
                              <a:lnTo>
                                <a:pt x="11474" y="6103"/>
                              </a:lnTo>
                              <a:lnTo>
                                <a:pt x="11476" y="6038"/>
                              </a:lnTo>
                              <a:lnTo>
                                <a:pt x="11476" y="5972"/>
                              </a:lnTo>
                              <a:lnTo>
                                <a:pt x="11476" y="5907"/>
                              </a:lnTo>
                              <a:lnTo>
                                <a:pt x="11474" y="5842"/>
                              </a:lnTo>
                              <a:lnTo>
                                <a:pt x="11472" y="5776"/>
                              </a:lnTo>
                              <a:lnTo>
                                <a:pt x="11468" y="5711"/>
                              </a:lnTo>
                              <a:lnTo>
                                <a:pt x="11464" y="5646"/>
                              </a:lnTo>
                              <a:lnTo>
                                <a:pt x="11458" y="5581"/>
                              </a:lnTo>
                              <a:lnTo>
                                <a:pt x="11452" y="5516"/>
                              </a:lnTo>
                              <a:lnTo>
                                <a:pt x="11444" y="5451"/>
                              </a:lnTo>
                              <a:lnTo>
                                <a:pt x="11436" y="5386"/>
                              </a:lnTo>
                              <a:lnTo>
                                <a:pt x="11426" y="5321"/>
                              </a:lnTo>
                              <a:lnTo>
                                <a:pt x="11415" y="5256"/>
                              </a:lnTo>
                              <a:lnTo>
                                <a:pt x="11404" y="5192"/>
                              </a:lnTo>
                              <a:lnTo>
                                <a:pt x="11391" y="5128"/>
                              </a:lnTo>
                              <a:lnTo>
                                <a:pt x="11378" y="5063"/>
                              </a:lnTo>
                              <a:lnTo>
                                <a:pt x="11363" y="4999"/>
                              </a:lnTo>
                              <a:lnTo>
                                <a:pt x="11348" y="4936"/>
                              </a:lnTo>
                              <a:lnTo>
                                <a:pt x="11331" y="4872"/>
                              </a:lnTo>
                              <a:lnTo>
                                <a:pt x="11314" y="4809"/>
                              </a:lnTo>
                              <a:lnTo>
                                <a:pt x="11295" y="4746"/>
                              </a:lnTo>
                              <a:lnTo>
                                <a:pt x="11276" y="4683"/>
                              </a:lnTo>
                              <a:lnTo>
                                <a:pt x="11255" y="4620"/>
                              </a:lnTo>
                              <a:lnTo>
                                <a:pt x="11233" y="4558"/>
                              </a:lnTo>
                              <a:lnTo>
                                <a:pt x="11211" y="4496"/>
                              </a:lnTo>
                              <a:lnTo>
                                <a:pt x="11187" y="4435"/>
                              </a:lnTo>
                              <a:lnTo>
                                <a:pt x="11163" y="4373"/>
                              </a:lnTo>
                              <a:lnTo>
                                <a:pt x="11137" y="4312"/>
                              </a:lnTo>
                              <a:lnTo>
                                <a:pt x="11111" y="4252"/>
                              </a:lnTo>
                              <a:lnTo>
                                <a:pt x="11083" y="4191"/>
                              </a:lnTo>
                              <a:lnTo>
                                <a:pt x="11054" y="4131"/>
                              </a:lnTo>
                              <a:lnTo>
                                <a:pt x="11025" y="4072"/>
                              </a:lnTo>
                              <a:lnTo>
                                <a:pt x="10994" y="4013"/>
                              </a:lnTo>
                              <a:lnTo>
                                <a:pt x="10963" y="3954"/>
                              </a:lnTo>
                              <a:lnTo>
                                <a:pt x="10930" y="3896"/>
                              </a:lnTo>
                              <a:lnTo>
                                <a:pt x="10897" y="3838"/>
                              </a:lnTo>
                              <a:lnTo>
                                <a:pt x="10862" y="3780"/>
                              </a:lnTo>
                              <a:lnTo>
                                <a:pt x="10826" y="3723"/>
                              </a:lnTo>
                              <a:lnTo>
                                <a:pt x="10790" y="3667"/>
                              </a:lnTo>
                              <a:lnTo>
                                <a:pt x="10752" y="3611"/>
                              </a:lnTo>
                              <a:lnTo>
                                <a:pt x="10714" y="3555"/>
                              </a:lnTo>
                              <a:lnTo>
                                <a:pt x="10674" y="3500"/>
                              </a:lnTo>
                              <a:lnTo>
                                <a:pt x="10633" y="3446"/>
                              </a:lnTo>
                              <a:lnTo>
                                <a:pt x="10592" y="3392"/>
                              </a:lnTo>
                              <a:lnTo>
                                <a:pt x="10549" y="3339"/>
                              </a:lnTo>
                              <a:lnTo>
                                <a:pt x="10506" y="3286"/>
                              </a:lnTo>
                              <a:lnTo>
                                <a:pt x="10461" y="3234"/>
                              </a:lnTo>
                              <a:lnTo>
                                <a:pt x="10415" y="3182"/>
                              </a:lnTo>
                              <a:lnTo>
                                <a:pt x="10369" y="3132"/>
                              </a:lnTo>
                              <a:lnTo>
                                <a:pt x="10321" y="3081"/>
                              </a:lnTo>
                              <a:lnTo>
                                <a:pt x="10272" y="3032"/>
                              </a:lnTo>
                              <a:lnTo>
                                <a:pt x="10223" y="2983"/>
                              </a:lnTo>
                              <a:lnTo>
                                <a:pt x="10172" y="2934"/>
                              </a:lnTo>
                              <a:lnTo>
                                <a:pt x="10121" y="2887"/>
                              </a:lnTo>
                              <a:lnTo>
                                <a:pt x="10068" y="2840"/>
                              </a:lnTo>
                              <a:lnTo>
                                <a:pt x="10014" y="2793"/>
                              </a:lnTo>
                              <a:lnTo>
                                <a:pt x="9960" y="2748"/>
                              </a:lnTo>
                              <a:lnTo>
                                <a:pt x="9904" y="2703"/>
                              </a:lnTo>
                              <a:lnTo>
                                <a:pt x="9847" y="2659"/>
                              </a:lnTo>
                              <a:lnTo>
                                <a:pt x="9790" y="2616"/>
                              </a:lnTo>
                              <a:lnTo>
                                <a:pt x="9731" y="2573"/>
                              </a:lnTo>
                              <a:lnTo>
                                <a:pt x="9671" y="2531"/>
                              </a:lnTo>
                              <a:lnTo>
                                <a:pt x="9611" y="2490"/>
                              </a:lnTo>
                              <a:lnTo>
                                <a:pt x="9549" y="2450"/>
                              </a:lnTo>
                              <a:lnTo>
                                <a:pt x="9486" y="2411"/>
                              </a:lnTo>
                              <a:lnTo>
                                <a:pt x="5569" y="0"/>
                              </a:lnTo>
                              <a:close/>
                            </a:path>
                          </a:pathLst>
                        </a:custGeom>
                        <a:solidFill>
                          <a:srgbClr val="36404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ADE32A" w14:textId="4D924D89" w:rsidR="003E1696" w:rsidRPr="003E1696" w:rsidRDefault="003E1696" w:rsidP="003E1696">
                            <w:pPr>
                              <w:jc w:val="center"/>
                              <w:rPr>
                                <w:rFonts w:ascii="Arial" w:hAnsi="Arial" w:cs="Arial"/>
                                <w:b/>
                                <w:color w:val="FFFFFF" w:themeColor="background1"/>
                                <w:spacing w:val="40"/>
                              </w:rPr>
                            </w:pPr>
                            <w:r w:rsidRPr="003E1696">
                              <w:rPr>
                                <w:rFonts w:ascii="Arial" w:hAnsi="Arial" w:cs="Arial"/>
                                <w:b/>
                                <w:color w:val="FFFFFF" w:themeColor="background1"/>
                                <w:spacing w:val="40"/>
                              </w:rPr>
                              <w:t>APPENDIX 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DBF2F" id="Freeform 23" o:spid="_x0000_s1045" style="position:absolute;left:0;text-align:left;margin-left:277.4pt;margin-top:-56.5pt;width:3in;height: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477,153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" adj="-11796480,,5400" path="m5569,l,,,15373,9486,9534r63,-40l9611,9454r60,-41l9731,9372r59,-43l9847,9286r57,-44l9960,9197r54,-46l10068,9105r53,-47l10172,9010r51,-48l10272,8913r49,-50l10369,8813r46,-51l10461,8711r45,-53l10549,8606r43,-54l10633,8499r41,-55l10714,8389r38,-55l10790,8278r36,-57l10862,8164r35,-57l10930,8049r33,-58l10994,7932r31,-59l11054,7813r29,-60l11111,7693r26,-61l11163,7571r24,-61l11211,7448r22,-62l11255,7324r21,-62l11295,7199r19,-63l11331,7072r17,-63l11363,6945r15,-64l11391,6817r13,-64l11415,6688r11,-64l11436,6559r8,-65l11452,6429r6,-65l11464,6299r4,-65l11472,6168r2,-65l11476,6038r,-66l11476,5907r-2,-65l11472,5776r-4,-65l11464,5646r-6,-65l11452,5516r-8,-65l11436,5386r-10,-65l11415,5256r-11,-64l11391,5128r-13,-65l11363,4999r-15,-63l11331,4872r-17,-63l11295,4746r-19,-63l11255,4620r-22,-62l11211,4496r-24,-61l11163,4373r-26,-61l11111,4252r-28,-61l11054,4131r-29,-59l10994,4013r-31,-59l10930,3896r-33,-58l10862,3780r-36,-57l10790,3667r-38,-56l10714,3555r-40,-55l10633,3446r-41,-54l10549,3339r-43,-53l10461,3234r-46,-52l10369,3132r-48,-51l10272,3032r-49,-49l10172,2934r-51,-47l10068,2840r-54,-47l9960,2748r-56,-45l9847,2659r-57,-43l9731,2573r-60,-42l9611,2490r-62,-40l9486,2411,5569,xe" fillcolor="#36404b" stroked="f">
                <v:stroke joinstyle="round"/>
                <v:formulas/>
                <v:path arrowok="t" o:connecttype="custom" o:connectlocs="0,374650;2297194,230400;2339978,227354;2380611,224137;2419093,220749;2455184,217216;2489364,213536;2521392,209734;2551269,205786;2578995,201740;2604570,197573;2627755,193308;2649027,188946;2668149,184510;2684880,180002;2699699,175444;2712367,170814;2722645,166135;2731010,161431;2737225,156679;2741049,151927;2742961,147150;2742483,142373;2740093,137597;2735312,132844;2728381,128092;2719537,123389;2708303,118734;2695158,114128;2679621,109570;2661934,105086;2642096,100675;2620345,96362;2596204,92121;2569913,88002;2541470,83981;2511114,80082;2478369,76329;2443472,72698;2406425,69213;2367226,65874;2325876,62706;2282375,59708" o:connectangles="0,0,0,0,0,0,0,0,0,0,0,0,0,0,0,0,0,0,0,0,0,0,0,0,0,0,0,0,0,0,0,0,0,0,0,0,0,0,0,0,0,0,0" textboxrect="0,0,11477,15373"/>
                <v:textbox>
                  <w:txbxContent>
                    <w:p w14:paraId="76ADE32A" w14:textId="4D924D89" w:rsidR="003E1696" w:rsidRPr="003E1696" w:rsidRDefault="003E1696" w:rsidP="003E1696">
                      <w:pPr>
                        <w:jc w:val="center"/>
                        <w:rPr>
                          <w:rFonts w:ascii="Arial" w:hAnsi="Arial" w:cs="Arial"/>
                          <w:b/>
                          <w:color w:val="FFFFFF" w:themeColor="background1"/>
                          <w:spacing w:val="40"/>
                        </w:rPr>
                      </w:pPr>
                      <w:r w:rsidRPr="003E1696">
                        <w:rPr>
                          <w:rFonts w:ascii="Arial" w:hAnsi="Arial" w:cs="Arial"/>
                          <w:b/>
                          <w:color w:val="FFFFFF" w:themeColor="background1"/>
                          <w:spacing w:val="40"/>
                        </w:rPr>
                        <w:t>APPENDIX A</w:t>
                      </w:r>
                    </w:p>
                  </w:txbxContent>
                </v:textbox>
              </v:shape>
            </w:pict>
          </mc:Fallback>
        </mc:AlternateContent>
      </w:r>
      <w:r w:rsidR="00A53714">
        <w:rPr>
          <w:noProof/>
        </w:rPr>
        <w:drawing>
          <wp:inline distT="0" distB="0" distL="0" distR="0" wp14:anchorId="79FE3FA1" wp14:editId="035DAE4E">
            <wp:extent cx="1807845" cy="632460"/>
            <wp:effectExtent l="0" t="0" r="1905" b="0"/>
            <wp:docPr id="12459985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07511" name="Picture 1303307511">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7845" cy="632460"/>
                    </a:xfrm>
                    <a:prstGeom prst="rect">
                      <a:avLst/>
                    </a:prstGeom>
                  </pic:spPr>
                </pic:pic>
              </a:graphicData>
            </a:graphic>
          </wp:inline>
        </w:drawing>
      </w:r>
    </w:p>
    <w:p w14:paraId="339FA7BB" w14:textId="12A2031D" w:rsidR="00A753EB" w:rsidRPr="00A753EB" w:rsidRDefault="00A753EB" w:rsidP="00A753EB"/>
    <w:p w14:paraId="00E82BD3" w14:textId="77777777" w:rsidR="008C47B0" w:rsidRDefault="008C47B0" w:rsidP="008C47B0"/>
    <w:p w14:paraId="2FB8A4FF" w14:textId="77777777" w:rsidR="004C2861" w:rsidRDefault="004C2861" w:rsidP="008C47B0">
      <w:pPr>
        <w:sectPr w:rsidR="004C2861" w:rsidSect="006612D6">
          <w:headerReference w:type="default" r:id="rId14"/>
          <w:type w:val="continuous"/>
          <w:pgSz w:w="11900" w:h="16840"/>
          <w:pgMar w:top="1440" w:right="1440" w:bottom="1440" w:left="1800" w:header="708" w:footer="708" w:gutter="0"/>
          <w:pgBorders w:offsetFrom="page">
            <w:bottom w:val="single" w:sz="4" w:space="24" w:color="auto"/>
          </w:pgBorders>
          <w:cols w:space="708"/>
          <w:docGrid w:linePitch="326"/>
        </w:sectPr>
      </w:pPr>
    </w:p>
    <w:p w14:paraId="599EA9B8" w14:textId="77777777" w:rsidR="00384776" w:rsidRDefault="00384776" w:rsidP="008C47B0">
      <w:pPr>
        <w:pStyle w:val="Heading1"/>
        <w:ind w:left="-1560"/>
      </w:pPr>
    </w:p>
    <w:tbl>
      <w:tblPr>
        <w:tblpPr w:leftFromText="180" w:rightFromText="180" w:horzAnchor="margin" w:tblpX="74" w:tblpY="-435"/>
        <w:tblW w:w="9286" w:type="dxa"/>
        <w:tblLayout w:type="fixed"/>
        <w:tblLook w:val="0000" w:firstRow="0" w:lastRow="0" w:firstColumn="0" w:lastColumn="0" w:noHBand="0" w:noVBand="0"/>
      </w:tblPr>
      <w:tblGrid>
        <w:gridCol w:w="1114"/>
        <w:gridCol w:w="108"/>
        <w:gridCol w:w="5966"/>
        <w:gridCol w:w="42"/>
        <w:gridCol w:w="1984"/>
        <w:gridCol w:w="72"/>
      </w:tblGrid>
      <w:tr w:rsidR="00D03AB2" w:rsidRPr="00DF7EB8" w14:paraId="33223408" w14:textId="77777777" w:rsidTr="00DF7EB8">
        <w:trPr>
          <w:cantSplit/>
        </w:trPr>
        <w:tc>
          <w:tcPr>
            <w:tcW w:w="7188" w:type="dxa"/>
            <w:gridSpan w:val="3"/>
          </w:tcPr>
          <w:p w14:paraId="3A4F34EC" w14:textId="24FAE00F" w:rsidR="00D03AB2" w:rsidRPr="00DF7EB8" w:rsidRDefault="00D03AB2" w:rsidP="00687276">
            <w:pPr>
              <w:keepNext/>
              <w:outlineLvl w:val="0"/>
              <w:rPr>
                <w:rFonts w:ascii="Arial" w:hAnsi="Arial" w:cs="Arial"/>
                <w:b/>
                <w:sz w:val="23"/>
                <w:szCs w:val="23"/>
              </w:rPr>
            </w:pPr>
            <w:r w:rsidRPr="00DF7EB8">
              <w:rPr>
                <w:rFonts w:ascii="Arial" w:hAnsi="Arial" w:cs="Arial"/>
                <w:b/>
                <w:sz w:val="23"/>
                <w:szCs w:val="23"/>
              </w:rPr>
              <w:t>Contents</w:t>
            </w:r>
          </w:p>
        </w:tc>
        <w:tc>
          <w:tcPr>
            <w:tcW w:w="2098" w:type="dxa"/>
            <w:gridSpan w:val="3"/>
          </w:tcPr>
          <w:p w14:paraId="0BAE2731" w14:textId="75376905" w:rsidR="00D03AB2" w:rsidRPr="00DF7EB8" w:rsidRDefault="00D03AB2" w:rsidP="00094710">
            <w:pPr>
              <w:rPr>
                <w:rFonts w:ascii="Arial" w:hAnsi="Arial" w:cs="Arial"/>
                <w:b/>
                <w:sz w:val="23"/>
                <w:szCs w:val="23"/>
              </w:rPr>
            </w:pPr>
            <w:r w:rsidRPr="00DF7EB8">
              <w:rPr>
                <w:rFonts w:ascii="Arial" w:hAnsi="Arial" w:cs="Arial"/>
                <w:b/>
                <w:sz w:val="23"/>
                <w:szCs w:val="23"/>
              </w:rPr>
              <w:t>No</w:t>
            </w:r>
          </w:p>
        </w:tc>
      </w:tr>
      <w:tr w:rsidR="00D03AB2" w:rsidRPr="00DF7EB8" w14:paraId="3DD35CE8" w14:textId="77777777" w:rsidTr="00DF7EB8">
        <w:tc>
          <w:tcPr>
            <w:tcW w:w="7188" w:type="dxa"/>
            <w:gridSpan w:val="3"/>
          </w:tcPr>
          <w:p w14:paraId="4232D758"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Foreword</w:t>
            </w:r>
          </w:p>
        </w:tc>
        <w:tc>
          <w:tcPr>
            <w:tcW w:w="2098" w:type="dxa"/>
            <w:gridSpan w:val="3"/>
          </w:tcPr>
          <w:p w14:paraId="337C2CE7" w14:textId="77777777" w:rsidR="00D03AB2" w:rsidRPr="007E19E3" w:rsidRDefault="00D03AB2" w:rsidP="00D03AB2">
            <w:pPr>
              <w:keepNext/>
              <w:jc w:val="center"/>
              <w:outlineLvl w:val="0"/>
              <w:rPr>
                <w:rFonts w:ascii="Arial" w:hAnsi="Arial" w:cs="Arial"/>
                <w:sz w:val="23"/>
                <w:szCs w:val="23"/>
              </w:rPr>
            </w:pPr>
            <w:r w:rsidRPr="007E19E3">
              <w:rPr>
                <w:rFonts w:ascii="Arial" w:hAnsi="Arial" w:cs="Arial"/>
                <w:sz w:val="23"/>
                <w:szCs w:val="23"/>
              </w:rPr>
              <w:t>1</w:t>
            </w:r>
          </w:p>
        </w:tc>
      </w:tr>
      <w:tr w:rsidR="00D03AB2" w:rsidRPr="00DF7EB8" w14:paraId="50B8808B" w14:textId="77777777" w:rsidTr="00DF7EB8">
        <w:trPr>
          <w:cantSplit/>
        </w:trPr>
        <w:tc>
          <w:tcPr>
            <w:tcW w:w="7188" w:type="dxa"/>
            <w:gridSpan w:val="3"/>
          </w:tcPr>
          <w:p w14:paraId="709FF297"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Introduction</w:t>
            </w:r>
          </w:p>
        </w:tc>
        <w:tc>
          <w:tcPr>
            <w:tcW w:w="2098" w:type="dxa"/>
            <w:gridSpan w:val="3"/>
          </w:tcPr>
          <w:p w14:paraId="432A818B" w14:textId="7EEB4907" w:rsidR="00D03AB2" w:rsidRPr="007E19E3" w:rsidRDefault="00514EBA" w:rsidP="00D03AB2">
            <w:pPr>
              <w:keepNext/>
              <w:jc w:val="center"/>
              <w:outlineLvl w:val="0"/>
              <w:rPr>
                <w:rFonts w:ascii="Arial" w:hAnsi="Arial" w:cs="Arial"/>
                <w:sz w:val="23"/>
                <w:szCs w:val="23"/>
              </w:rPr>
            </w:pPr>
            <w:r w:rsidRPr="007E19E3">
              <w:rPr>
                <w:rFonts w:ascii="Arial" w:hAnsi="Arial" w:cs="Arial"/>
                <w:sz w:val="23"/>
                <w:szCs w:val="23"/>
              </w:rPr>
              <w:t>4</w:t>
            </w:r>
          </w:p>
        </w:tc>
      </w:tr>
      <w:tr w:rsidR="00D03AB2" w:rsidRPr="00DF7EB8" w14:paraId="325484C6" w14:textId="77777777" w:rsidTr="00DF7EB8">
        <w:trPr>
          <w:cantSplit/>
        </w:trPr>
        <w:tc>
          <w:tcPr>
            <w:tcW w:w="1114" w:type="dxa"/>
          </w:tcPr>
          <w:p w14:paraId="51284689" w14:textId="77777777" w:rsidR="00D03AB2" w:rsidRPr="00DF7EB8" w:rsidRDefault="00D03AB2" w:rsidP="00D03AB2">
            <w:pPr>
              <w:keepNext/>
              <w:outlineLvl w:val="0"/>
              <w:rPr>
                <w:rFonts w:ascii="Arial" w:hAnsi="Arial" w:cs="Arial"/>
                <w:sz w:val="23"/>
                <w:szCs w:val="23"/>
              </w:rPr>
            </w:pPr>
          </w:p>
        </w:tc>
        <w:tc>
          <w:tcPr>
            <w:tcW w:w="6074" w:type="dxa"/>
            <w:gridSpan w:val="2"/>
          </w:tcPr>
          <w:p w14:paraId="1126E125"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Objectives</w:t>
            </w:r>
          </w:p>
        </w:tc>
        <w:tc>
          <w:tcPr>
            <w:tcW w:w="2098" w:type="dxa"/>
            <w:gridSpan w:val="3"/>
          </w:tcPr>
          <w:p w14:paraId="1B980716" w14:textId="2FC3CDCB" w:rsidR="00D03AB2" w:rsidRPr="007E19E3" w:rsidRDefault="00FB3FBD" w:rsidP="00D03AB2">
            <w:pPr>
              <w:keepNext/>
              <w:jc w:val="center"/>
              <w:outlineLvl w:val="0"/>
              <w:rPr>
                <w:rFonts w:ascii="Arial" w:hAnsi="Arial" w:cs="Arial"/>
                <w:sz w:val="23"/>
                <w:szCs w:val="23"/>
              </w:rPr>
            </w:pPr>
            <w:r w:rsidRPr="007E19E3">
              <w:rPr>
                <w:rFonts w:ascii="Arial" w:hAnsi="Arial" w:cs="Arial"/>
                <w:sz w:val="23"/>
                <w:szCs w:val="23"/>
              </w:rPr>
              <w:t>4</w:t>
            </w:r>
          </w:p>
        </w:tc>
      </w:tr>
      <w:tr w:rsidR="00D03AB2" w:rsidRPr="00DF7EB8" w14:paraId="0E52927F" w14:textId="77777777" w:rsidTr="00DF7EB8">
        <w:trPr>
          <w:cantSplit/>
        </w:trPr>
        <w:tc>
          <w:tcPr>
            <w:tcW w:w="1114" w:type="dxa"/>
          </w:tcPr>
          <w:p w14:paraId="6F767917" w14:textId="77777777" w:rsidR="00D03AB2" w:rsidRPr="00DF7EB8" w:rsidRDefault="00D03AB2" w:rsidP="00D03AB2">
            <w:pPr>
              <w:keepNext/>
              <w:outlineLvl w:val="0"/>
              <w:rPr>
                <w:rFonts w:ascii="Arial" w:hAnsi="Arial" w:cs="Arial"/>
                <w:sz w:val="23"/>
                <w:szCs w:val="23"/>
              </w:rPr>
            </w:pPr>
          </w:p>
        </w:tc>
        <w:tc>
          <w:tcPr>
            <w:tcW w:w="6074" w:type="dxa"/>
            <w:gridSpan w:val="2"/>
          </w:tcPr>
          <w:p w14:paraId="2F106D67"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Policy &amp; Financial Planning Framework</w:t>
            </w:r>
          </w:p>
        </w:tc>
        <w:tc>
          <w:tcPr>
            <w:tcW w:w="2098" w:type="dxa"/>
            <w:gridSpan w:val="3"/>
          </w:tcPr>
          <w:p w14:paraId="2441E09C" w14:textId="6850D09C" w:rsidR="00D03AB2" w:rsidRPr="007E19E3" w:rsidRDefault="00FB3FBD" w:rsidP="00D03AB2">
            <w:pPr>
              <w:keepNext/>
              <w:jc w:val="center"/>
              <w:outlineLvl w:val="0"/>
              <w:rPr>
                <w:rFonts w:ascii="Arial" w:hAnsi="Arial" w:cs="Arial"/>
                <w:sz w:val="23"/>
                <w:szCs w:val="23"/>
              </w:rPr>
            </w:pPr>
            <w:r w:rsidRPr="007E19E3">
              <w:rPr>
                <w:rFonts w:ascii="Arial" w:hAnsi="Arial" w:cs="Arial"/>
                <w:sz w:val="23"/>
                <w:szCs w:val="23"/>
              </w:rPr>
              <w:t>5</w:t>
            </w:r>
          </w:p>
        </w:tc>
      </w:tr>
      <w:tr w:rsidR="00D03AB2" w:rsidRPr="00DF7EB8" w14:paraId="2295242B" w14:textId="77777777" w:rsidTr="00DF7EB8">
        <w:trPr>
          <w:cantSplit/>
        </w:trPr>
        <w:tc>
          <w:tcPr>
            <w:tcW w:w="1114" w:type="dxa"/>
          </w:tcPr>
          <w:p w14:paraId="10CAD31A"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Context</w:t>
            </w:r>
          </w:p>
        </w:tc>
        <w:tc>
          <w:tcPr>
            <w:tcW w:w="6074" w:type="dxa"/>
            <w:gridSpan w:val="2"/>
          </w:tcPr>
          <w:p w14:paraId="5011526D" w14:textId="77777777" w:rsidR="00D03AB2" w:rsidRPr="00DF7EB8" w:rsidRDefault="00D03AB2" w:rsidP="00D03AB2">
            <w:pPr>
              <w:keepNext/>
              <w:outlineLvl w:val="0"/>
              <w:rPr>
                <w:rFonts w:ascii="Arial" w:hAnsi="Arial" w:cs="Arial"/>
                <w:sz w:val="23"/>
                <w:szCs w:val="23"/>
              </w:rPr>
            </w:pPr>
          </w:p>
        </w:tc>
        <w:tc>
          <w:tcPr>
            <w:tcW w:w="2098" w:type="dxa"/>
            <w:gridSpan w:val="3"/>
          </w:tcPr>
          <w:p w14:paraId="43941276" w14:textId="1CEDE6F7" w:rsidR="00D03AB2" w:rsidRPr="000954D6" w:rsidRDefault="00FB3FBD" w:rsidP="00D03AB2">
            <w:pPr>
              <w:keepNext/>
              <w:jc w:val="center"/>
              <w:outlineLvl w:val="0"/>
              <w:rPr>
                <w:rFonts w:ascii="Arial" w:hAnsi="Arial" w:cs="Arial"/>
                <w:sz w:val="23"/>
                <w:szCs w:val="23"/>
              </w:rPr>
            </w:pPr>
            <w:r w:rsidRPr="000954D6">
              <w:rPr>
                <w:rFonts w:ascii="Arial" w:hAnsi="Arial" w:cs="Arial"/>
                <w:sz w:val="23"/>
                <w:szCs w:val="23"/>
              </w:rPr>
              <w:t>6</w:t>
            </w:r>
          </w:p>
        </w:tc>
      </w:tr>
      <w:tr w:rsidR="00D03AB2" w:rsidRPr="00DF7EB8" w14:paraId="08136C72" w14:textId="77777777" w:rsidTr="00DF7EB8">
        <w:trPr>
          <w:cantSplit/>
          <w:trHeight w:val="80"/>
        </w:trPr>
        <w:tc>
          <w:tcPr>
            <w:tcW w:w="1114" w:type="dxa"/>
          </w:tcPr>
          <w:p w14:paraId="4E993D4B" w14:textId="77777777" w:rsidR="00D03AB2" w:rsidRPr="00DF7EB8" w:rsidRDefault="00D03AB2" w:rsidP="00D03AB2">
            <w:pPr>
              <w:keepNext/>
              <w:outlineLvl w:val="0"/>
              <w:rPr>
                <w:rFonts w:ascii="Arial" w:hAnsi="Arial" w:cs="Arial"/>
                <w:sz w:val="23"/>
                <w:szCs w:val="23"/>
              </w:rPr>
            </w:pPr>
          </w:p>
        </w:tc>
        <w:tc>
          <w:tcPr>
            <w:tcW w:w="6074" w:type="dxa"/>
            <w:gridSpan w:val="2"/>
          </w:tcPr>
          <w:p w14:paraId="67D13E82"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Economic Climate</w:t>
            </w:r>
          </w:p>
        </w:tc>
        <w:tc>
          <w:tcPr>
            <w:tcW w:w="2098" w:type="dxa"/>
            <w:gridSpan w:val="3"/>
          </w:tcPr>
          <w:p w14:paraId="61580061" w14:textId="3B1E059D" w:rsidR="00D03AB2" w:rsidRPr="000954D6" w:rsidRDefault="00FB3FBD" w:rsidP="00D03AB2">
            <w:pPr>
              <w:keepNext/>
              <w:jc w:val="center"/>
              <w:outlineLvl w:val="0"/>
              <w:rPr>
                <w:rFonts w:ascii="Arial" w:hAnsi="Arial" w:cs="Arial"/>
                <w:sz w:val="23"/>
                <w:szCs w:val="23"/>
              </w:rPr>
            </w:pPr>
            <w:r w:rsidRPr="000954D6">
              <w:rPr>
                <w:rFonts w:ascii="Arial" w:hAnsi="Arial" w:cs="Arial"/>
                <w:sz w:val="23"/>
                <w:szCs w:val="23"/>
              </w:rPr>
              <w:t>6</w:t>
            </w:r>
          </w:p>
        </w:tc>
      </w:tr>
      <w:tr w:rsidR="003C1167" w:rsidRPr="00DF7EB8" w14:paraId="796667D8" w14:textId="77777777" w:rsidTr="003C1167">
        <w:trPr>
          <w:cantSplit/>
        </w:trPr>
        <w:tc>
          <w:tcPr>
            <w:tcW w:w="1114" w:type="dxa"/>
          </w:tcPr>
          <w:p w14:paraId="5745A6A8" w14:textId="77777777" w:rsidR="003C1167" w:rsidRPr="00DF7EB8" w:rsidRDefault="003C1167" w:rsidP="003C1167">
            <w:pPr>
              <w:keepNext/>
              <w:outlineLvl w:val="0"/>
              <w:rPr>
                <w:rFonts w:ascii="Arial" w:hAnsi="Arial" w:cs="Arial"/>
                <w:sz w:val="23"/>
                <w:szCs w:val="23"/>
              </w:rPr>
            </w:pPr>
          </w:p>
        </w:tc>
        <w:tc>
          <w:tcPr>
            <w:tcW w:w="6074" w:type="dxa"/>
            <w:gridSpan w:val="2"/>
          </w:tcPr>
          <w:p w14:paraId="26176774" w14:textId="77777777" w:rsidR="003C1167" w:rsidRPr="00DF7EB8" w:rsidRDefault="003C1167" w:rsidP="003C1167">
            <w:pPr>
              <w:keepNext/>
              <w:outlineLvl w:val="0"/>
              <w:rPr>
                <w:rFonts w:ascii="Arial" w:hAnsi="Arial" w:cs="Arial"/>
                <w:sz w:val="23"/>
                <w:szCs w:val="23"/>
              </w:rPr>
            </w:pPr>
            <w:r w:rsidRPr="00DF7EB8">
              <w:rPr>
                <w:rFonts w:ascii="Arial" w:hAnsi="Arial" w:cs="Arial"/>
                <w:sz w:val="23"/>
                <w:szCs w:val="23"/>
              </w:rPr>
              <w:t>National Priorities</w:t>
            </w:r>
          </w:p>
        </w:tc>
        <w:tc>
          <w:tcPr>
            <w:tcW w:w="2098" w:type="dxa"/>
            <w:gridSpan w:val="3"/>
          </w:tcPr>
          <w:p w14:paraId="6AE8A09C" w14:textId="77777777" w:rsidR="003C1167" w:rsidRPr="000954D6" w:rsidRDefault="003C1167" w:rsidP="003C1167">
            <w:pPr>
              <w:keepNext/>
              <w:jc w:val="center"/>
              <w:outlineLvl w:val="0"/>
              <w:rPr>
                <w:rFonts w:ascii="Arial" w:hAnsi="Arial" w:cs="Arial"/>
                <w:sz w:val="23"/>
                <w:szCs w:val="23"/>
              </w:rPr>
            </w:pPr>
            <w:r w:rsidRPr="000954D6">
              <w:rPr>
                <w:rFonts w:ascii="Arial" w:hAnsi="Arial" w:cs="Arial"/>
                <w:sz w:val="23"/>
                <w:szCs w:val="23"/>
              </w:rPr>
              <w:t>7</w:t>
            </w:r>
          </w:p>
        </w:tc>
      </w:tr>
      <w:tr w:rsidR="00D03AB2" w:rsidRPr="00DF7EB8" w14:paraId="0E1426E5" w14:textId="77777777" w:rsidTr="00DF7EB8">
        <w:trPr>
          <w:cantSplit/>
        </w:trPr>
        <w:tc>
          <w:tcPr>
            <w:tcW w:w="1114" w:type="dxa"/>
          </w:tcPr>
          <w:p w14:paraId="6C3417C5" w14:textId="77777777" w:rsidR="00D03AB2" w:rsidRPr="00DF7EB8" w:rsidRDefault="00D03AB2" w:rsidP="00D03AB2">
            <w:pPr>
              <w:keepNext/>
              <w:outlineLvl w:val="0"/>
              <w:rPr>
                <w:rFonts w:ascii="Arial" w:hAnsi="Arial" w:cs="Arial"/>
                <w:sz w:val="23"/>
                <w:szCs w:val="23"/>
              </w:rPr>
            </w:pPr>
          </w:p>
        </w:tc>
        <w:tc>
          <w:tcPr>
            <w:tcW w:w="6074" w:type="dxa"/>
            <w:gridSpan w:val="2"/>
          </w:tcPr>
          <w:p w14:paraId="2580CFE9" w14:textId="5297626C" w:rsidR="00D03AB2" w:rsidRPr="00DF7EB8" w:rsidRDefault="003C1167" w:rsidP="00D03AB2">
            <w:pPr>
              <w:keepNext/>
              <w:outlineLvl w:val="0"/>
              <w:rPr>
                <w:rFonts w:ascii="Arial" w:hAnsi="Arial" w:cs="Arial"/>
                <w:sz w:val="23"/>
                <w:szCs w:val="23"/>
              </w:rPr>
            </w:pPr>
            <w:r w:rsidRPr="00DF7EB8">
              <w:rPr>
                <w:rFonts w:ascii="Arial" w:hAnsi="Arial" w:cs="Arial"/>
                <w:sz w:val="23"/>
                <w:szCs w:val="23"/>
              </w:rPr>
              <w:t>Local Government Reorganisation</w:t>
            </w:r>
          </w:p>
        </w:tc>
        <w:tc>
          <w:tcPr>
            <w:tcW w:w="2098" w:type="dxa"/>
            <w:gridSpan w:val="3"/>
          </w:tcPr>
          <w:p w14:paraId="59B4F47C" w14:textId="16254687" w:rsidR="00D03AB2" w:rsidRPr="000954D6" w:rsidRDefault="003C1167" w:rsidP="00D03AB2">
            <w:pPr>
              <w:keepNext/>
              <w:jc w:val="center"/>
              <w:outlineLvl w:val="0"/>
              <w:rPr>
                <w:rFonts w:ascii="Arial" w:hAnsi="Arial" w:cs="Arial"/>
                <w:sz w:val="23"/>
                <w:szCs w:val="23"/>
              </w:rPr>
            </w:pPr>
            <w:r>
              <w:rPr>
                <w:rFonts w:ascii="Arial" w:hAnsi="Arial" w:cs="Arial"/>
                <w:sz w:val="23"/>
                <w:szCs w:val="23"/>
              </w:rPr>
              <w:t>17</w:t>
            </w:r>
          </w:p>
        </w:tc>
      </w:tr>
      <w:tr w:rsidR="00D03AB2" w:rsidRPr="00DF7EB8" w14:paraId="31F1AE8C" w14:textId="77777777" w:rsidTr="00DF7EB8">
        <w:trPr>
          <w:cantSplit/>
          <w:trHeight w:val="383"/>
        </w:trPr>
        <w:tc>
          <w:tcPr>
            <w:tcW w:w="1114" w:type="dxa"/>
          </w:tcPr>
          <w:p w14:paraId="3624DD9C" w14:textId="77777777" w:rsidR="00D03AB2" w:rsidRPr="00DF7EB8" w:rsidRDefault="00D03AB2" w:rsidP="00D03AB2">
            <w:pPr>
              <w:keepNext/>
              <w:outlineLvl w:val="0"/>
              <w:rPr>
                <w:rFonts w:ascii="Arial" w:hAnsi="Arial" w:cs="Arial"/>
                <w:sz w:val="23"/>
                <w:szCs w:val="23"/>
              </w:rPr>
            </w:pPr>
          </w:p>
        </w:tc>
        <w:tc>
          <w:tcPr>
            <w:tcW w:w="6074" w:type="dxa"/>
            <w:gridSpan w:val="2"/>
          </w:tcPr>
          <w:p w14:paraId="3F5668E9"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Local Priorities</w:t>
            </w:r>
          </w:p>
        </w:tc>
        <w:tc>
          <w:tcPr>
            <w:tcW w:w="2098" w:type="dxa"/>
            <w:gridSpan w:val="3"/>
          </w:tcPr>
          <w:p w14:paraId="7103982B" w14:textId="5F5B364A" w:rsidR="00D03AB2" w:rsidRPr="000954D6" w:rsidRDefault="0091649D" w:rsidP="00D03AB2">
            <w:pPr>
              <w:keepNext/>
              <w:jc w:val="center"/>
              <w:outlineLvl w:val="0"/>
              <w:rPr>
                <w:rFonts w:ascii="Arial" w:hAnsi="Arial" w:cs="Arial"/>
                <w:sz w:val="23"/>
                <w:szCs w:val="23"/>
              </w:rPr>
            </w:pPr>
            <w:r w:rsidRPr="000954D6">
              <w:rPr>
                <w:rFonts w:ascii="Arial" w:hAnsi="Arial" w:cs="Arial"/>
                <w:sz w:val="23"/>
                <w:szCs w:val="23"/>
              </w:rPr>
              <w:t>18</w:t>
            </w:r>
          </w:p>
        </w:tc>
      </w:tr>
      <w:tr w:rsidR="00D03AB2" w:rsidRPr="00DF7EB8" w14:paraId="25CFF547" w14:textId="77777777" w:rsidTr="00DF7EB8">
        <w:tc>
          <w:tcPr>
            <w:tcW w:w="7188" w:type="dxa"/>
            <w:gridSpan w:val="3"/>
          </w:tcPr>
          <w:p w14:paraId="1FC1ED54"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Revenue (General Fund)</w:t>
            </w:r>
          </w:p>
        </w:tc>
        <w:tc>
          <w:tcPr>
            <w:tcW w:w="2098" w:type="dxa"/>
            <w:gridSpan w:val="3"/>
          </w:tcPr>
          <w:p w14:paraId="6DBA7964" w14:textId="21F69AE8" w:rsidR="00D03AB2" w:rsidRPr="00183B40" w:rsidRDefault="0097043D" w:rsidP="00D03AB2">
            <w:pPr>
              <w:keepNext/>
              <w:jc w:val="center"/>
              <w:outlineLvl w:val="0"/>
              <w:rPr>
                <w:rFonts w:ascii="Arial" w:hAnsi="Arial" w:cs="Arial"/>
                <w:sz w:val="23"/>
                <w:szCs w:val="23"/>
              </w:rPr>
            </w:pPr>
            <w:r w:rsidRPr="00183B40">
              <w:rPr>
                <w:rFonts w:ascii="Arial" w:hAnsi="Arial" w:cs="Arial"/>
                <w:sz w:val="23"/>
                <w:szCs w:val="23"/>
              </w:rPr>
              <w:t>2</w:t>
            </w:r>
            <w:r w:rsidR="00CB42D2" w:rsidRPr="00183B40">
              <w:rPr>
                <w:rFonts w:ascii="Arial" w:hAnsi="Arial" w:cs="Arial"/>
                <w:sz w:val="23"/>
                <w:szCs w:val="23"/>
              </w:rPr>
              <w:t>2</w:t>
            </w:r>
          </w:p>
        </w:tc>
      </w:tr>
      <w:tr w:rsidR="00D03AB2" w:rsidRPr="00DF7EB8" w14:paraId="2CFC9775" w14:textId="77777777" w:rsidTr="00DF7EB8">
        <w:trPr>
          <w:cantSplit/>
        </w:trPr>
        <w:tc>
          <w:tcPr>
            <w:tcW w:w="1114" w:type="dxa"/>
          </w:tcPr>
          <w:p w14:paraId="360179B0" w14:textId="77777777" w:rsidR="00D03AB2" w:rsidRPr="00DF7EB8" w:rsidRDefault="00D03AB2" w:rsidP="00D03AB2">
            <w:pPr>
              <w:keepNext/>
              <w:outlineLvl w:val="0"/>
              <w:rPr>
                <w:rFonts w:ascii="Arial" w:hAnsi="Arial" w:cs="Arial"/>
                <w:sz w:val="23"/>
                <w:szCs w:val="23"/>
              </w:rPr>
            </w:pPr>
          </w:p>
        </w:tc>
        <w:tc>
          <w:tcPr>
            <w:tcW w:w="6074" w:type="dxa"/>
            <w:gridSpan w:val="2"/>
          </w:tcPr>
          <w:p w14:paraId="71A6270E" w14:textId="7738F210" w:rsidR="00D03AB2" w:rsidRPr="00DF7EB8" w:rsidRDefault="0097043D" w:rsidP="00D03AB2">
            <w:pPr>
              <w:keepNext/>
              <w:outlineLvl w:val="0"/>
              <w:rPr>
                <w:rFonts w:ascii="Arial" w:hAnsi="Arial" w:cs="Arial"/>
                <w:sz w:val="23"/>
                <w:szCs w:val="23"/>
              </w:rPr>
            </w:pPr>
            <w:r w:rsidRPr="00DF7EB8">
              <w:rPr>
                <w:rFonts w:ascii="Arial" w:hAnsi="Arial" w:cs="Arial"/>
                <w:sz w:val="23"/>
                <w:szCs w:val="23"/>
              </w:rPr>
              <w:t>Spending Pressures</w:t>
            </w:r>
          </w:p>
        </w:tc>
        <w:tc>
          <w:tcPr>
            <w:tcW w:w="2098" w:type="dxa"/>
            <w:gridSpan w:val="3"/>
          </w:tcPr>
          <w:p w14:paraId="0E35474A" w14:textId="27E18376" w:rsidR="00D03AB2" w:rsidRPr="00183B40" w:rsidRDefault="0097043D" w:rsidP="00D03AB2">
            <w:pPr>
              <w:keepNext/>
              <w:jc w:val="center"/>
              <w:outlineLvl w:val="0"/>
              <w:rPr>
                <w:rFonts w:ascii="Arial" w:hAnsi="Arial" w:cs="Arial"/>
                <w:sz w:val="23"/>
                <w:szCs w:val="23"/>
              </w:rPr>
            </w:pPr>
            <w:r w:rsidRPr="00183B40">
              <w:rPr>
                <w:rFonts w:ascii="Arial" w:hAnsi="Arial" w:cs="Arial"/>
                <w:sz w:val="23"/>
                <w:szCs w:val="23"/>
              </w:rPr>
              <w:t>2</w:t>
            </w:r>
            <w:r w:rsidR="00CB42D2" w:rsidRPr="00183B40">
              <w:rPr>
                <w:rFonts w:ascii="Arial" w:hAnsi="Arial" w:cs="Arial"/>
                <w:sz w:val="23"/>
                <w:szCs w:val="23"/>
              </w:rPr>
              <w:t>2</w:t>
            </w:r>
          </w:p>
        </w:tc>
      </w:tr>
      <w:tr w:rsidR="00D03AB2" w:rsidRPr="00DF7EB8" w14:paraId="2DBCB116" w14:textId="77777777" w:rsidTr="00DF7EB8">
        <w:trPr>
          <w:cantSplit/>
        </w:trPr>
        <w:tc>
          <w:tcPr>
            <w:tcW w:w="1114" w:type="dxa"/>
          </w:tcPr>
          <w:p w14:paraId="714B3878" w14:textId="77777777" w:rsidR="00D03AB2" w:rsidRPr="00DF7EB8" w:rsidRDefault="00D03AB2" w:rsidP="00D03AB2">
            <w:pPr>
              <w:keepNext/>
              <w:outlineLvl w:val="0"/>
              <w:rPr>
                <w:rFonts w:ascii="Arial" w:hAnsi="Arial" w:cs="Arial"/>
                <w:sz w:val="23"/>
                <w:szCs w:val="23"/>
              </w:rPr>
            </w:pPr>
          </w:p>
        </w:tc>
        <w:tc>
          <w:tcPr>
            <w:tcW w:w="6074" w:type="dxa"/>
            <w:gridSpan w:val="2"/>
          </w:tcPr>
          <w:p w14:paraId="6DC2530B"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Spending Plans</w:t>
            </w:r>
          </w:p>
        </w:tc>
        <w:tc>
          <w:tcPr>
            <w:tcW w:w="2098" w:type="dxa"/>
            <w:gridSpan w:val="3"/>
          </w:tcPr>
          <w:p w14:paraId="52F8CC26" w14:textId="5CF175EB" w:rsidR="00D03AB2" w:rsidRPr="00183B40" w:rsidRDefault="0097043D" w:rsidP="00D03AB2">
            <w:pPr>
              <w:keepNext/>
              <w:jc w:val="center"/>
              <w:outlineLvl w:val="0"/>
              <w:rPr>
                <w:rFonts w:ascii="Arial" w:hAnsi="Arial" w:cs="Arial"/>
                <w:sz w:val="23"/>
                <w:szCs w:val="23"/>
              </w:rPr>
            </w:pPr>
            <w:r w:rsidRPr="00183B40">
              <w:rPr>
                <w:rFonts w:ascii="Arial" w:hAnsi="Arial" w:cs="Arial"/>
                <w:sz w:val="23"/>
                <w:szCs w:val="23"/>
              </w:rPr>
              <w:t>2</w:t>
            </w:r>
            <w:r w:rsidR="00235E0D" w:rsidRPr="00183B40">
              <w:rPr>
                <w:rFonts w:ascii="Arial" w:hAnsi="Arial" w:cs="Arial"/>
                <w:sz w:val="23"/>
                <w:szCs w:val="23"/>
              </w:rPr>
              <w:t>4</w:t>
            </w:r>
          </w:p>
        </w:tc>
      </w:tr>
      <w:tr w:rsidR="00D03AB2" w:rsidRPr="00DF7EB8" w14:paraId="61168FE6" w14:textId="77777777" w:rsidTr="00DF7EB8">
        <w:trPr>
          <w:cantSplit/>
        </w:trPr>
        <w:tc>
          <w:tcPr>
            <w:tcW w:w="1114" w:type="dxa"/>
          </w:tcPr>
          <w:p w14:paraId="3AE26652" w14:textId="77777777" w:rsidR="00D03AB2" w:rsidRPr="00DF7EB8" w:rsidRDefault="00D03AB2" w:rsidP="00D03AB2">
            <w:pPr>
              <w:keepNext/>
              <w:outlineLvl w:val="0"/>
              <w:rPr>
                <w:rFonts w:ascii="Arial" w:hAnsi="Arial" w:cs="Arial"/>
                <w:sz w:val="23"/>
                <w:szCs w:val="23"/>
              </w:rPr>
            </w:pPr>
          </w:p>
        </w:tc>
        <w:tc>
          <w:tcPr>
            <w:tcW w:w="6074" w:type="dxa"/>
            <w:gridSpan w:val="2"/>
          </w:tcPr>
          <w:p w14:paraId="1A7C1CA7"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Spending Assumptions</w:t>
            </w:r>
          </w:p>
        </w:tc>
        <w:tc>
          <w:tcPr>
            <w:tcW w:w="2098" w:type="dxa"/>
            <w:gridSpan w:val="3"/>
          </w:tcPr>
          <w:p w14:paraId="2663E360" w14:textId="0AA2FD53" w:rsidR="00D03AB2" w:rsidRPr="00742CCB" w:rsidRDefault="00183B40" w:rsidP="00D03AB2">
            <w:pPr>
              <w:keepNext/>
              <w:jc w:val="center"/>
              <w:outlineLvl w:val="0"/>
              <w:rPr>
                <w:rFonts w:ascii="Arial" w:hAnsi="Arial" w:cs="Arial"/>
                <w:sz w:val="23"/>
                <w:szCs w:val="23"/>
              </w:rPr>
            </w:pPr>
            <w:r w:rsidRPr="00742CCB">
              <w:rPr>
                <w:rFonts w:ascii="Arial" w:hAnsi="Arial" w:cs="Arial"/>
                <w:sz w:val="23"/>
                <w:szCs w:val="23"/>
              </w:rPr>
              <w:t>25</w:t>
            </w:r>
          </w:p>
        </w:tc>
      </w:tr>
      <w:tr w:rsidR="00D03AB2" w:rsidRPr="00DF7EB8" w14:paraId="203985B9" w14:textId="77777777" w:rsidTr="00DF7EB8">
        <w:trPr>
          <w:cantSplit/>
        </w:trPr>
        <w:tc>
          <w:tcPr>
            <w:tcW w:w="1114" w:type="dxa"/>
          </w:tcPr>
          <w:p w14:paraId="399B42F9" w14:textId="77777777" w:rsidR="00D03AB2" w:rsidRPr="00DF7EB8" w:rsidRDefault="00D03AB2" w:rsidP="00D03AB2">
            <w:pPr>
              <w:keepNext/>
              <w:outlineLvl w:val="0"/>
              <w:rPr>
                <w:rFonts w:ascii="Arial" w:hAnsi="Arial" w:cs="Arial"/>
                <w:sz w:val="23"/>
                <w:szCs w:val="23"/>
              </w:rPr>
            </w:pPr>
          </w:p>
        </w:tc>
        <w:tc>
          <w:tcPr>
            <w:tcW w:w="6074" w:type="dxa"/>
            <w:gridSpan w:val="2"/>
          </w:tcPr>
          <w:p w14:paraId="14650AD3"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Resource Assumptions</w:t>
            </w:r>
          </w:p>
        </w:tc>
        <w:tc>
          <w:tcPr>
            <w:tcW w:w="2098" w:type="dxa"/>
            <w:gridSpan w:val="3"/>
          </w:tcPr>
          <w:p w14:paraId="035CF542" w14:textId="21AF323A" w:rsidR="00D03AB2" w:rsidRPr="00742CCB" w:rsidRDefault="00D03AB2" w:rsidP="00D03AB2">
            <w:pPr>
              <w:keepNext/>
              <w:jc w:val="center"/>
              <w:outlineLvl w:val="0"/>
              <w:rPr>
                <w:rFonts w:ascii="Arial" w:hAnsi="Arial" w:cs="Arial"/>
                <w:sz w:val="23"/>
                <w:szCs w:val="23"/>
              </w:rPr>
            </w:pPr>
            <w:r w:rsidRPr="00742CCB">
              <w:rPr>
                <w:rFonts w:ascii="Arial" w:hAnsi="Arial" w:cs="Arial"/>
                <w:sz w:val="23"/>
                <w:szCs w:val="23"/>
              </w:rPr>
              <w:t>2</w:t>
            </w:r>
            <w:r w:rsidR="001A5600" w:rsidRPr="00742CCB">
              <w:rPr>
                <w:rFonts w:ascii="Arial" w:hAnsi="Arial" w:cs="Arial"/>
                <w:sz w:val="23"/>
                <w:szCs w:val="23"/>
              </w:rPr>
              <w:t>8</w:t>
            </w:r>
          </w:p>
        </w:tc>
      </w:tr>
      <w:tr w:rsidR="006231DB" w:rsidRPr="00DF7EB8" w14:paraId="0126C7AF" w14:textId="77777777" w:rsidTr="00DF7EB8">
        <w:trPr>
          <w:cantSplit/>
        </w:trPr>
        <w:tc>
          <w:tcPr>
            <w:tcW w:w="1114" w:type="dxa"/>
          </w:tcPr>
          <w:p w14:paraId="4481D798" w14:textId="77777777" w:rsidR="006231DB" w:rsidRPr="00DF7EB8" w:rsidRDefault="006231DB" w:rsidP="00D03AB2">
            <w:pPr>
              <w:keepNext/>
              <w:outlineLvl w:val="0"/>
              <w:rPr>
                <w:rFonts w:ascii="Arial" w:hAnsi="Arial" w:cs="Arial"/>
                <w:sz w:val="23"/>
                <w:szCs w:val="23"/>
              </w:rPr>
            </w:pPr>
          </w:p>
        </w:tc>
        <w:tc>
          <w:tcPr>
            <w:tcW w:w="6074" w:type="dxa"/>
            <w:gridSpan w:val="2"/>
          </w:tcPr>
          <w:p w14:paraId="4438B3D1" w14:textId="29D45308" w:rsidR="006231DB" w:rsidRPr="00DF7EB8" w:rsidRDefault="006231DB" w:rsidP="00D03AB2">
            <w:pPr>
              <w:keepNext/>
              <w:outlineLvl w:val="0"/>
              <w:rPr>
                <w:rFonts w:ascii="Arial" w:hAnsi="Arial" w:cs="Arial"/>
                <w:sz w:val="23"/>
                <w:szCs w:val="23"/>
              </w:rPr>
            </w:pPr>
            <w:r w:rsidRPr="00DF7EB8">
              <w:rPr>
                <w:rFonts w:ascii="Arial" w:hAnsi="Arial" w:cs="Arial"/>
                <w:sz w:val="23"/>
                <w:szCs w:val="23"/>
              </w:rPr>
              <w:t>Releasing Resources</w:t>
            </w:r>
          </w:p>
        </w:tc>
        <w:tc>
          <w:tcPr>
            <w:tcW w:w="2098" w:type="dxa"/>
            <w:gridSpan w:val="3"/>
          </w:tcPr>
          <w:p w14:paraId="4E572B59" w14:textId="29029F59" w:rsidR="006231DB" w:rsidRPr="00742CCB" w:rsidRDefault="002875ED" w:rsidP="00D03AB2">
            <w:pPr>
              <w:keepNext/>
              <w:jc w:val="center"/>
              <w:outlineLvl w:val="0"/>
              <w:rPr>
                <w:rFonts w:ascii="Arial" w:hAnsi="Arial" w:cs="Arial"/>
                <w:sz w:val="23"/>
                <w:szCs w:val="23"/>
              </w:rPr>
            </w:pPr>
            <w:r w:rsidRPr="00742CCB">
              <w:rPr>
                <w:rFonts w:ascii="Arial" w:hAnsi="Arial" w:cs="Arial"/>
                <w:sz w:val="23"/>
                <w:szCs w:val="23"/>
              </w:rPr>
              <w:t>35</w:t>
            </w:r>
          </w:p>
        </w:tc>
      </w:tr>
      <w:tr w:rsidR="00D03AB2" w:rsidRPr="00DF7EB8" w14:paraId="19C2CAA9" w14:textId="77777777" w:rsidTr="00DF7EB8">
        <w:trPr>
          <w:cantSplit/>
        </w:trPr>
        <w:tc>
          <w:tcPr>
            <w:tcW w:w="1114" w:type="dxa"/>
          </w:tcPr>
          <w:p w14:paraId="5DA3B186" w14:textId="77777777" w:rsidR="00D03AB2" w:rsidRPr="00DF7EB8" w:rsidRDefault="00D03AB2" w:rsidP="00D03AB2">
            <w:pPr>
              <w:keepNext/>
              <w:outlineLvl w:val="0"/>
              <w:rPr>
                <w:rFonts w:ascii="Arial" w:hAnsi="Arial" w:cs="Arial"/>
                <w:sz w:val="23"/>
                <w:szCs w:val="23"/>
              </w:rPr>
            </w:pPr>
          </w:p>
        </w:tc>
        <w:tc>
          <w:tcPr>
            <w:tcW w:w="6074" w:type="dxa"/>
            <w:gridSpan w:val="2"/>
          </w:tcPr>
          <w:p w14:paraId="6BDE58BD"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Revenue Forecast</w:t>
            </w:r>
          </w:p>
        </w:tc>
        <w:tc>
          <w:tcPr>
            <w:tcW w:w="2098" w:type="dxa"/>
            <w:gridSpan w:val="3"/>
          </w:tcPr>
          <w:p w14:paraId="4BFF3C8D" w14:textId="59A744B3" w:rsidR="00D03AB2" w:rsidRPr="00742CCB" w:rsidRDefault="0037018A" w:rsidP="00D03AB2">
            <w:pPr>
              <w:keepNext/>
              <w:jc w:val="center"/>
              <w:outlineLvl w:val="0"/>
              <w:rPr>
                <w:rFonts w:ascii="Arial" w:hAnsi="Arial" w:cs="Arial"/>
                <w:sz w:val="23"/>
                <w:szCs w:val="23"/>
              </w:rPr>
            </w:pPr>
            <w:r w:rsidRPr="00742CCB">
              <w:rPr>
                <w:rFonts w:ascii="Arial" w:hAnsi="Arial" w:cs="Arial"/>
                <w:sz w:val="23"/>
                <w:szCs w:val="23"/>
              </w:rPr>
              <w:t>3</w:t>
            </w:r>
            <w:r w:rsidR="00984D50" w:rsidRPr="00742CCB">
              <w:rPr>
                <w:rFonts w:ascii="Arial" w:hAnsi="Arial" w:cs="Arial"/>
                <w:sz w:val="23"/>
                <w:szCs w:val="23"/>
              </w:rPr>
              <w:t>5</w:t>
            </w:r>
          </w:p>
        </w:tc>
      </w:tr>
      <w:tr w:rsidR="00D03AB2" w:rsidRPr="00DF7EB8" w14:paraId="2E98A479" w14:textId="77777777" w:rsidTr="00DF7EB8">
        <w:trPr>
          <w:cantSplit/>
        </w:trPr>
        <w:tc>
          <w:tcPr>
            <w:tcW w:w="1114" w:type="dxa"/>
          </w:tcPr>
          <w:p w14:paraId="60E57C46" w14:textId="77777777" w:rsidR="00D03AB2" w:rsidRPr="00DF7EB8" w:rsidRDefault="00D03AB2" w:rsidP="00D03AB2">
            <w:pPr>
              <w:keepNext/>
              <w:outlineLvl w:val="0"/>
              <w:rPr>
                <w:rFonts w:ascii="Arial" w:hAnsi="Arial" w:cs="Arial"/>
                <w:sz w:val="23"/>
                <w:szCs w:val="23"/>
              </w:rPr>
            </w:pPr>
          </w:p>
        </w:tc>
        <w:tc>
          <w:tcPr>
            <w:tcW w:w="6074" w:type="dxa"/>
            <w:gridSpan w:val="2"/>
          </w:tcPr>
          <w:p w14:paraId="5EDD8330"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Risks to the Revenue Budget</w:t>
            </w:r>
          </w:p>
        </w:tc>
        <w:tc>
          <w:tcPr>
            <w:tcW w:w="2098" w:type="dxa"/>
            <w:gridSpan w:val="3"/>
          </w:tcPr>
          <w:p w14:paraId="72FEA8A5" w14:textId="2075BBE1" w:rsidR="00D03AB2" w:rsidRPr="00742CCB" w:rsidRDefault="0037018A" w:rsidP="00D03AB2">
            <w:pPr>
              <w:keepNext/>
              <w:jc w:val="center"/>
              <w:outlineLvl w:val="0"/>
              <w:rPr>
                <w:rFonts w:ascii="Arial" w:hAnsi="Arial" w:cs="Arial"/>
                <w:sz w:val="23"/>
                <w:szCs w:val="23"/>
              </w:rPr>
            </w:pPr>
            <w:r w:rsidRPr="00742CCB">
              <w:rPr>
                <w:rFonts w:ascii="Arial" w:hAnsi="Arial" w:cs="Arial"/>
                <w:sz w:val="23"/>
                <w:szCs w:val="23"/>
              </w:rPr>
              <w:t>3</w:t>
            </w:r>
            <w:r w:rsidR="002A1214">
              <w:rPr>
                <w:rFonts w:ascii="Arial" w:hAnsi="Arial" w:cs="Arial"/>
                <w:sz w:val="23"/>
                <w:szCs w:val="23"/>
              </w:rPr>
              <w:t>6</w:t>
            </w:r>
          </w:p>
        </w:tc>
      </w:tr>
      <w:tr w:rsidR="00D03AB2" w:rsidRPr="00DF7EB8" w14:paraId="2B8F47EB" w14:textId="77777777" w:rsidTr="00DF7EB8">
        <w:tc>
          <w:tcPr>
            <w:tcW w:w="7188" w:type="dxa"/>
            <w:gridSpan w:val="3"/>
          </w:tcPr>
          <w:p w14:paraId="30EA8A67"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General Investment Programme</w:t>
            </w:r>
          </w:p>
        </w:tc>
        <w:tc>
          <w:tcPr>
            <w:tcW w:w="2098" w:type="dxa"/>
            <w:gridSpan w:val="3"/>
          </w:tcPr>
          <w:p w14:paraId="30CC6018" w14:textId="16C6D84A" w:rsidR="00D03AB2" w:rsidRPr="00A44AE4" w:rsidRDefault="00D03AB2" w:rsidP="00D03AB2">
            <w:pPr>
              <w:keepNext/>
              <w:jc w:val="center"/>
              <w:outlineLvl w:val="0"/>
              <w:rPr>
                <w:rFonts w:ascii="Arial" w:hAnsi="Arial" w:cs="Arial"/>
                <w:sz w:val="23"/>
                <w:szCs w:val="23"/>
              </w:rPr>
            </w:pPr>
            <w:r w:rsidRPr="00A44AE4">
              <w:rPr>
                <w:rFonts w:ascii="Arial" w:hAnsi="Arial" w:cs="Arial"/>
                <w:sz w:val="23"/>
                <w:szCs w:val="23"/>
              </w:rPr>
              <w:t>3</w:t>
            </w:r>
            <w:r w:rsidR="00984D50" w:rsidRPr="00A44AE4">
              <w:rPr>
                <w:rFonts w:ascii="Arial" w:hAnsi="Arial" w:cs="Arial"/>
                <w:sz w:val="23"/>
                <w:szCs w:val="23"/>
              </w:rPr>
              <w:t>7</w:t>
            </w:r>
          </w:p>
        </w:tc>
      </w:tr>
      <w:tr w:rsidR="00D03AB2" w:rsidRPr="00DF7EB8" w14:paraId="2EB6C80C" w14:textId="77777777" w:rsidTr="00DF7EB8">
        <w:trPr>
          <w:cantSplit/>
        </w:trPr>
        <w:tc>
          <w:tcPr>
            <w:tcW w:w="1114" w:type="dxa"/>
          </w:tcPr>
          <w:p w14:paraId="32C6DBFD" w14:textId="77777777" w:rsidR="00D03AB2" w:rsidRPr="00DF7EB8" w:rsidRDefault="00D03AB2" w:rsidP="00D03AB2">
            <w:pPr>
              <w:keepNext/>
              <w:outlineLvl w:val="0"/>
              <w:rPr>
                <w:rFonts w:ascii="Arial" w:hAnsi="Arial" w:cs="Arial"/>
                <w:sz w:val="23"/>
                <w:szCs w:val="23"/>
              </w:rPr>
            </w:pPr>
          </w:p>
        </w:tc>
        <w:tc>
          <w:tcPr>
            <w:tcW w:w="6074" w:type="dxa"/>
            <w:gridSpan w:val="2"/>
          </w:tcPr>
          <w:p w14:paraId="11F235AE"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Capital Spending Plans</w:t>
            </w:r>
          </w:p>
        </w:tc>
        <w:tc>
          <w:tcPr>
            <w:tcW w:w="2098" w:type="dxa"/>
            <w:gridSpan w:val="3"/>
          </w:tcPr>
          <w:p w14:paraId="1402139A" w14:textId="5429FFE2" w:rsidR="00D03AB2" w:rsidRPr="00A44AE4" w:rsidRDefault="00D03AB2" w:rsidP="00D03AB2">
            <w:pPr>
              <w:keepNext/>
              <w:jc w:val="center"/>
              <w:outlineLvl w:val="0"/>
              <w:rPr>
                <w:rFonts w:ascii="Arial" w:hAnsi="Arial" w:cs="Arial"/>
                <w:sz w:val="23"/>
                <w:szCs w:val="23"/>
              </w:rPr>
            </w:pPr>
            <w:r w:rsidRPr="00A44AE4">
              <w:rPr>
                <w:rFonts w:ascii="Arial" w:hAnsi="Arial" w:cs="Arial"/>
                <w:sz w:val="23"/>
                <w:szCs w:val="23"/>
              </w:rPr>
              <w:t>3</w:t>
            </w:r>
            <w:r w:rsidR="00984D50" w:rsidRPr="00A44AE4">
              <w:rPr>
                <w:rFonts w:ascii="Arial" w:hAnsi="Arial" w:cs="Arial"/>
                <w:sz w:val="23"/>
                <w:szCs w:val="23"/>
              </w:rPr>
              <w:t>7</w:t>
            </w:r>
          </w:p>
        </w:tc>
      </w:tr>
      <w:tr w:rsidR="00D03AB2" w:rsidRPr="00DF7EB8" w14:paraId="4205E137" w14:textId="77777777" w:rsidTr="00DF7EB8">
        <w:trPr>
          <w:cantSplit/>
        </w:trPr>
        <w:tc>
          <w:tcPr>
            <w:tcW w:w="1114" w:type="dxa"/>
          </w:tcPr>
          <w:p w14:paraId="35254AAE" w14:textId="77777777" w:rsidR="00D03AB2" w:rsidRPr="00DF7EB8" w:rsidRDefault="00D03AB2" w:rsidP="00D03AB2">
            <w:pPr>
              <w:keepNext/>
              <w:outlineLvl w:val="0"/>
              <w:rPr>
                <w:rFonts w:ascii="Arial" w:hAnsi="Arial" w:cs="Arial"/>
                <w:sz w:val="23"/>
                <w:szCs w:val="23"/>
              </w:rPr>
            </w:pPr>
          </w:p>
        </w:tc>
        <w:tc>
          <w:tcPr>
            <w:tcW w:w="6074" w:type="dxa"/>
            <w:gridSpan w:val="2"/>
          </w:tcPr>
          <w:p w14:paraId="72AEB246"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Spending Pressures</w:t>
            </w:r>
          </w:p>
        </w:tc>
        <w:tc>
          <w:tcPr>
            <w:tcW w:w="2098" w:type="dxa"/>
            <w:gridSpan w:val="3"/>
          </w:tcPr>
          <w:p w14:paraId="32FA290F" w14:textId="43B1C8A7" w:rsidR="00D03AB2" w:rsidRPr="00A44AE4" w:rsidRDefault="00D03AB2" w:rsidP="00D03AB2">
            <w:pPr>
              <w:keepNext/>
              <w:jc w:val="center"/>
              <w:outlineLvl w:val="0"/>
              <w:rPr>
                <w:rFonts w:ascii="Arial" w:hAnsi="Arial" w:cs="Arial"/>
                <w:sz w:val="23"/>
                <w:szCs w:val="23"/>
              </w:rPr>
            </w:pPr>
            <w:r w:rsidRPr="00A44AE4">
              <w:rPr>
                <w:rFonts w:ascii="Arial" w:hAnsi="Arial" w:cs="Arial"/>
                <w:sz w:val="23"/>
                <w:szCs w:val="23"/>
              </w:rPr>
              <w:t>3</w:t>
            </w:r>
            <w:r w:rsidR="00984D50" w:rsidRPr="00A44AE4">
              <w:rPr>
                <w:rFonts w:ascii="Arial" w:hAnsi="Arial" w:cs="Arial"/>
                <w:sz w:val="23"/>
                <w:szCs w:val="23"/>
              </w:rPr>
              <w:t>7</w:t>
            </w:r>
          </w:p>
        </w:tc>
      </w:tr>
      <w:tr w:rsidR="00D03AB2" w:rsidRPr="00DF7EB8" w14:paraId="430523D0" w14:textId="77777777" w:rsidTr="00DF7EB8">
        <w:trPr>
          <w:cantSplit/>
        </w:trPr>
        <w:tc>
          <w:tcPr>
            <w:tcW w:w="1114" w:type="dxa"/>
          </w:tcPr>
          <w:p w14:paraId="769DE0BB" w14:textId="77777777" w:rsidR="00D03AB2" w:rsidRPr="00DF7EB8" w:rsidRDefault="00D03AB2" w:rsidP="00D03AB2">
            <w:pPr>
              <w:keepNext/>
              <w:outlineLvl w:val="0"/>
              <w:rPr>
                <w:rFonts w:ascii="Arial" w:hAnsi="Arial" w:cs="Arial"/>
                <w:sz w:val="23"/>
                <w:szCs w:val="23"/>
              </w:rPr>
            </w:pPr>
          </w:p>
        </w:tc>
        <w:tc>
          <w:tcPr>
            <w:tcW w:w="6074" w:type="dxa"/>
            <w:gridSpan w:val="2"/>
          </w:tcPr>
          <w:p w14:paraId="21C35966"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Resources</w:t>
            </w:r>
          </w:p>
        </w:tc>
        <w:tc>
          <w:tcPr>
            <w:tcW w:w="2098" w:type="dxa"/>
            <w:gridSpan w:val="3"/>
          </w:tcPr>
          <w:p w14:paraId="5E497472" w14:textId="33F3D0D5" w:rsidR="00D03AB2" w:rsidRPr="00A44AE4" w:rsidRDefault="0022407C" w:rsidP="00D03AB2">
            <w:pPr>
              <w:keepNext/>
              <w:jc w:val="center"/>
              <w:outlineLvl w:val="0"/>
              <w:rPr>
                <w:rFonts w:ascii="Arial" w:hAnsi="Arial" w:cs="Arial"/>
                <w:sz w:val="23"/>
                <w:szCs w:val="23"/>
              </w:rPr>
            </w:pPr>
            <w:r w:rsidRPr="00A44AE4">
              <w:rPr>
                <w:rFonts w:ascii="Arial" w:hAnsi="Arial" w:cs="Arial"/>
                <w:sz w:val="23"/>
                <w:szCs w:val="23"/>
              </w:rPr>
              <w:t>3</w:t>
            </w:r>
            <w:r w:rsidR="00984D50" w:rsidRPr="00A44AE4">
              <w:rPr>
                <w:rFonts w:ascii="Arial" w:hAnsi="Arial" w:cs="Arial"/>
                <w:sz w:val="23"/>
                <w:szCs w:val="23"/>
              </w:rPr>
              <w:t>8</w:t>
            </w:r>
          </w:p>
        </w:tc>
      </w:tr>
      <w:tr w:rsidR="00D03AB2" w:rsidRPr="00DF7EB8" w14:paraId="3BB21A50" w14:textId="77777777" w:rsidTr="00DF7EB8">
        <w:trPr>
          <w:cantSplit/>
        </w:trPr>
        <w:tc>
          <w:tcPr>
            <w:tcW w:w="1114" w:type="dxa"/>
          </w:tcPr>
          <w:p w14:paraId="373BB9B4" w14:textId="77777777" w:rsidR="00D03AB2" w:rsidRPr="00DF7EB8" w:rsidRDefault="00D03AB2" w:rsidP="00D03AB2">
            <w:pPr>
              <w:keepNext/>
              <w:outlineLvl w:val="0"/>
              <w:rPr>
                <w:rFonts w:ascii="Arial" w:hAnsi="Arial" w:cs="Arial"/>
                <w:sz w:val="23"/>
                <w:szCs w:val="23"/>
              </w:rPr>
            </w:pPr>
          </w:p>
        </w:tc>
        <w:tc>
          <w:tcPr>
            <w:tcW w:w="6074" w:type="dxa"/>
            <w:gridSpan w:val="2"/>
          </w:tcPr>
          <w:p w14:paraId="095011C0"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General Investment Programme Forecast</w:t>
            </w:r>
          </w:p>
        </w:tc>
        <w:tc>
          <w:tcPr>
            <w:tcW w:w="2098" w:type="dxa"/>
            <w:gridSpan w:val="3"/>
          </w:tcPr>
          <w:p w14:paraId="5FC5A0AE" w14:textId="149AF1A4" w:rsidR="00D03AB2" w:rsidRPr="00A44AE4" w:rsidRDefault="00090C08" w:rsidP="00D03AB2">
            <w:pPr>
              <w:keepNext/>
              <w:jc w:val="center"/>
              <w:outlineLvl w:val="0"/>
              <w:rPr>
                <w:rFonts w:ascii="Arial" w:hAnsi="Arial" w:cs="Arial"/>
                <w:sz w:val="23"/>
                <w:szCs w:val="23"/>
              </w:rPr>
            </w:pPr>
            <w:r w:rsidRPr="00A44AE4">
              <w:rPr>
                <w:rFonts w:ascii="Arial" w:hAnsi="Arial" w:cs="Arial"/>
                <w:sz w:val="23"/>
                <w:szCs w:val="23"/>
              </w:rPr>
              <w:t>41</w:t>
            </w:r>
          </w:p>
        </w:tc>
      </w:tr>
      <w:tr w:rsidR="00D03AB2" w:rsidRPr="00DF7EB8" w14:paraId="7546199F" w14:textId="77777777" w:rsidTr="00DF7EB8">
        <w:trPr>
          <w:cantSplit/>
        </w:trPr>
        <w:tc>
          <w:tcPr>
            <w:tcW w:w="1114" w:type="dxa"/>
          </w:tcPr>
          <w:p w14:paraId="3AA84681" w14:textId="77777777" w:rsidR="00D03AB2" w:rsidRPr="00DF7EB8" w:rsidRDefault="00D03AB2" w:rsidP="00D03AB2">
            <w:pPr>
              <w:keepNext/>
              <w:outlineLvl w:val="0"/>
              <w:rPr>
                <w:rFonts w:ascii="Arial" w:hAnsi="Arial" w:cs="Arial"/>
                <w:sz w:val="23"/>
                <w:szCs w:val="23"/>
              </w:rPr>
            </w:pPr>
          </w:p>
        </w:tc>
        <w:tc>
          <w:tcPr>
            <w:tcW w:w="6074" w:type="dxa"/>
            <w:gridSpan w:val="2"/>
          </w:tcPr>
          <w:p w14:paraId="64A59BBA"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Risks to the General Investment Programme</w:t>
            </w:r>
          </w:p>
        </w:tc>
        <w:tc>
          <w:tcPr>
            <w:tcW w:w="2098" w:type="dxa"/>
            <w:gridSpan w:val="3"/>
          </w:tcPr>
          <w:p w14:paraId="405418BE" w14:textId="53BECCAA" w:rsidR="00D03AB2" w:rsidRPr="00A44AE4" w:rsidRDefault="00090C08" w:rsidP="00D03AB2">
            <w:pPr>
              <w:keepNext/>
              <w:jc w:val="center"/>
              <w:outlineLvl w:val="0"/>
              <w:rPr>
                <w:rFonts w:ascii="Arial" w:hAnsi="Arial" w:cs="Arial"/>
                <w:sz w:val="23"/>
                <w:szCs w:val="23"/>
              </w:rPr>
            </w:pPr>
            <w:r w:rsidRPr="00A44AE4">
              <w:rPr>
                <w:rFonts w:ascii="Arial" w:hAnsi="Arial" w:cs="Arial"/>
                <w:sz w:val="23"/>
                <w:szCs w:val="23"/>
              </w:rPr>
              <w:t>41</w:t>
            </w:r>
          </w:p>
        </w:tc>
      </w:tr>
      <w:tr w:rsidR="00D03AB2" w:rsidRPr="00DF7EB8" w14:paraId="32EBB1BC" w14:textId="77777777" w:rsidTr="00DF7EB8">
        <w:trPr>
          <w:cantSplit/>
        </w:trPr>
        <w:tc>
          <w:tcPr>
            <w:tcW w:w="7188" w:type="dxa"/>
            <w:gridSpan w:val="3"/>
          </w:tcPr>
          <w:p w14:paraId="1D51D87B"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Housing Revenue Account</w:t>
            </w:r>
          </w:p>
        </w:tc>
        <w:tc>
          <w:tcPr>
            <w:tcW w:w="2098" w:type="dxa"/>
            <w:gridSpan w:val="3"/>
          </w:tcPr>
          <w:p w14:paraId="67EAB9ED" w14:textId="7D3BAAAD" w:rsidR="00D03AB2" w:rsidRPr="00A44AE4" w:rsidRDefault="00CF2421" w:rsidP="00D03AB2">
            <w:pPr>
              <w:keepNext/>
              <w:jc w:val="center"/>
              <w:outlineLvl w:val="0"/>
              <w:rPr>
                <w:rFonts w:ascii="Arial" w:hAnsi="Arial" w:cs="Arial"/>
                <w:sz w:val="23"/>
                <w:szCs w:val="23"/>
              </w:rPr>
            </w:pPr>
            <w:r w:rsidRPr="00A44AE4">
              <w:rPr>
                <w:rFonts w:ascii="Arial" w:hAnsi="Arial" w:cs="Arial"/>
                <w:sz w:val="23"/>
                <w:szCs w:val="23"/>
              </w:rPr>
              <w:t>4</w:t>
            </w:r>
            <w:r w:rsidR="00090C08" w:rsidRPr="00A44AE4">
              <w:rPr>
                <w:rFonts w:ascii="Arial" w:hAnsi="Arial" w:cs="Arial"/>
                <w:sz w:val="23"/>
                <w:szCs w:val="23"/>
              </w:rPr>
              <w:t>2</w:t>
            </w:r>
          </w:p>
        </w:tc>
      </w:tr>
      <w:tr w:rsidR="00D03AB2" w:rsidRPr="00DF7EB8" w14:paraId="74FF994A" w14:textId="77777777" w:rsidTr="00DF7EB8">
        <w:trPr>
          <w:cantSplit/>
        </w:trPr>
        <w:tc>
          <w:tcPr>
            <w:tcW w:w="1114" w:type="dxa"/>
          </w:tcPr>
          <w:p w14:paraId="170E3DB6" w14:textId="77777777" w:rsidR="00D03AB2" w:rsidRPr="00DF7EB8" w:rsidRDefault="00D03AB2" w:rsidP="00D03AB2">
            <w:pPr>
              <w:keepNext/>
              <w:outlineLvl w:val="0"/>
              <w:rPr>
                <w:rFonts w:ascii="Arial" w:hAnsi="Arial" w:cs="Arial"/>
                <w:sz w:val="23"/>
                <w:szCs w:val="23"/>
              </w:rPr>
            </w:pPr>
          </w:p>
        </w:tc>
        <w:tc>
          <w:tcPr>
            <w:tcW w:w="6074" w:type="dxa"/>
            <w:gridSpan w:val="2"/>
          </w:tcPr>
          <w:p w14:paraId="18621C60"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Housing Revenue Account Business Planning</w:t>
            </w:r>
          </w:p>
        </w:tc>
        <w:tc>
          <w:tcPr>
            <w:tcW w:w="2098" w:type="dxa"/>
            <w:gridSpan w:val="3"/>
          </w:tcPr>
          <w:p w14:paraId="06E75DA1" w14:textId="7667CFB5" w:rsidR="00D03AB2" w:rsidRPr="00A44AE4" w:rsidRDefault="00CF2421" w:rsidP="00D03AB2">
            <w:pPr>
              <w:keepNext/>
              <w:tabs>
                <w:tab w:val="left" w:pos="195"/>
                <w:tab w:val="center" w:pos="941"/>
              </w:tabs>
              <w:jc w:val="center"/>
              <w:outlineLvl w:val="0"/>
              <w:rPr>
                <w:rFonts w:ascii="Arial" w:hAnsi="Arial" w:cs="Arial"/>
                <w:sz w:val="23"/>
                <w:szCs w:val="23"/>
              </w:rPr>
            </w:pPr>
            <w:r w:rsidRPr="00A44AE4">
              <w:rPr>
                <w:rFonts w:ascii="Arial" w:hAnsi="Arial" w:cs="Arial"/>
                <w:sz w:val="23"/>
                <w:szCs w:val="23"/>
              </w:rPr>
              <w:t>4</w:t>
            </w:r>
            <w:r w:rsidR="00090C08" w:rsidRPr="00A44AE4">
              <w:rPr>
                <w:rFonts w:ascii="Arial" w:hAnsi="Arial" w:cs="Arial"/>
                <w:sz w:val="23"/>
                <w:szCs w:val="23"/>
              </w:rPr>
              <w:t>2</w:t>
            </w:r>
          </w:p>
        </w:tc>
      </w:tr>
      <w:tr w:rsidR="00D03AB2" w:rsidRPr="00DF7EB8" w14:paraId="69080628" w14:textId="77777777" w:rsidTr="00DF7EB8">
        <w:trPr>
          <w:cantSplit/>
        </w:trPr>
        <w:tc>
          <w:tcPr>
            <w:tcW w:w="1114" w:type="dxa"/>
          </w:tcPr>
          <w:p w14:paraId="0CA8A7BE" w14:textId="77777777" w:rsidR="00D03AB2" w:rsidRPr="00DF7EB8" w:rsidRDefault="00D03AB2" w:rsidP="00D03AB2">
            <w:pPr>
              <w:keepNext/>
              <w:outlineLvl w:val="0"/>
              <w:rPr>
                <w:rFonts w:ascii="Arial" w:hAnsi="Arial" w:cs="Arial"/>
                <w:sz w:val="23"/>
                <w:szCs w:val="23"/>
              </w:rPr>
            </w:pPr>
          </w:p>
        </w:tc>
        <w:tc>
          <w:tcPr>
            <w:tcW w:w="6074" w:type="dxa"/>
            <w:gridSpan w:val="2"/>
          </w:tcPr>
          <w:p w14:paraId="3D37E13E" w14:textId="6CD5BF5F" w:rsidR="00D03AB2" w:rsidRPr="00DF7EB8" w:rsidRDefault="0097043D" w:rsidP="00D03AB2">
            <w:pPr>
              <w:keepNext/>
              <w:outlineLvl w:val="0"/>
              <w:rPr>
                <w:rFonts w:ascii="Arial" w:hAnsi="Arial" w:cs="Arial"/>
                <w:sz w:val="23"/>
                <w:szCs w:val="23"/>
              </w:rPr>
            </w:pPr>
            <w:r w:rsidRPr="00DF7EB8">
              <w:rPr>
                <w:rFonts w:ascii="Arial" w:hAnsi="Arial" w:cs="Arial"/>
                <w:sz w:val="23"/>
                <w:szCs w:val="23"/>
              </w:rPr>
              <w:t>Spending Pressures</w:t>
            </w:r>
          </w:p>
        </w:tc>
        <w:tc>
          <w:tcPr>
            <w:tcW w:w="2098" w:type="dxa"/>
            <w:gridSpan w:val="3"/>
          </w:tcPr>
          <w:p w14:paraId="23C8CA5D" w14:textId="7820E4DA" w:rsidR="00D03AB2" w:rsidRPr="00A44AE4" w:rsidRDefault="00D03AB2" w:rsidP="00D03AB2">
            <w:pPr>
              <w:keepNext/>
              <w:tabs>
                <w:tab w:val="left" w:pos="195"/>
                <w:tab w:val="center" w:pos="941"/>
              </w:tabs>
              <w:outlineLvl w:val="0"/>
              <w:rPr>
                <w:rFonts w:ascii="Arial" w:hAnsi="Arial" w:cs="Arial"/>
                <w:sz w:val="23"/>
                <w:szCs w:val="23"/>
              </w:rPr>
            </w:pPr>
            <w:r w:rsidRPr="00A44AE4">
              <w:rPr>
                <w:rFonts w:ascii="Arial" w:hAnsi="Arial" w:cs="Arial"/>
                <w:sz w:val="23"/>
                <w:szCs w:val="23"/>
              </w:rPr>
              <w:tab/>
            </w:r>
            <w:r w:rsidRPr="00A44AE4">
              <w:rPr>
                <w:rFonts w:ascii="Arial" w:hAnsi="Arial" w:cs="Arial"/>
                <w:sz w:val="23"/>
                <w:szCs w:val="23"/>
              </w:rPr>
              <w:tab/>
            </w:r>
            <w:r w:rsidR="00CF2421" w:rsidRPr="00A44AE4">
              <w:rPr>
                <w:rFonts w:ascii="Arial" w:hAnsi="Arial" w:cs="Arial"/>
                <w:sz w:val="23"/>
                <w:szCs w:val="23"/>
              </w:rPr>
              <w:t>4</w:t>
            </w:r>
            <w:r w:rsidR="00090C08" w:rsidRPr="00A44AE4">
              <w:rPr>
                <w:rFonts w:ascii="Arial" w:hAnsi="Arial" w:cs="Arial"/>
                <w:sz w:val="23"/>
                <w:szCs w:val="23"/>
              </w:rPr>
              <w:t>2</w:t>
            </w:r>
          </w:p>
        </w:tc>
      </w:tr>
      <w:tr w:rsidR="00D03AB2" w:rsidRPr="00DF7EB8" w14:paraId="7B6B87B1" w14:textId="77777777" w:rsidTr="00DF7EB8">
        <w:trPr>
          <w:cantSplit/>
        </w:trPr>
        <w:tc>
          <w:tcPr>
            <w:tcW w:w="1114" w:type="dxa"/>
          </w:tcPr>
          <w:p w14:paraId="73E12B75" w14:textId="77777777" w:rsidR="00D03AB2" w:rsidRPr="00DF7EB8" w:rsidRDefault="00D03AB2" w:rsidP="00D03AB2">
            <w:pPr>
              <w:keepNext/>
              <w:outlineLvl w:val="0"/>
              <w:rPr>
                <w:rFonts w:ascii="Arial" w:hAnsi="Arial" w:cs="Arial"/>
                <w:sz w:val="23"/>
                <w:szCs w:val="23"/>
              </w:rPr>
            </w:pPr>
          </w:p>
        </w:tc>
        <w:tc>
          <w:tcPr>
            <w:tcW w:w="6074" w:type="dxa"/>
            <w:gridSpan w:val="2"/>
          </w:tcPr>
          <w:p w14:paraId="204D1C2B"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Spending Plans</w:t>
            </w:r>
          </w:p>
        </w:tc>
        <w:tc>
          <w:tcPr>
            <w:tcW w:w="2098" w:type="dxa"/>
            <w:gridSpan w:val="3"/>
          </w:tcPr>
          <w:p w14:paraId="493E706B" w14:textId="796FD009" w:rsidR="00D03AB2" w:rsidRPr="00A44AE4" w:rsidRDefault="00CF2421" w:rsidP="00D03AB2">
            <w:pPr>
              <w:keepNext/>
              <w:jc w:val="center"/>
              <w:outlineLvl w:val="0"/>
              <w:rPr>
                <w:rFonts w:ascii="Arial" w:hAnsi="Arial" w:cs="Arial"/>
                <w:sz w:val="23"/>
                <w:szCs w:val="23"/>
              </w:rPr>
            </w:pPr>
            <w:r w:rsidRPr="00A44AE4">
              <w:rPr>
                <w:rFonts w:ascii="Arial" w:hAnsi="Arial" w:cs="Arial"/>
                <w:sz w:val="23"/>
                <w:szCs w:val="23"/>
              </w:rPr>
              <w:t>4</w:t>
            </w:r>
            <w:r w:rsidR="00090C08" w:rsidRPr="00A44AE4">
              <w:rPr>
                <w:rFonts w:ascii="Arial" w:hAnsi="Arial" w:cs="Arial"/>
                <w:sz w:val="23"/>
                <w:szCs w:val="23"/>
              </w:rPr>
              <w:t>4</w:t>
            </w:r>
          </w:p>
        </w:tc>
      </w:tr>
      <w:tr w:rsidR="00D03AB2" w:rsidRPr="00DF7EB8" w14:paraId="0CD90DEF" w14:textId="77777777" w:rsidTr="00DF7EB8">
        <w:trPr>
          <w:cantSplit/>
        </w:trPr>
        <w:tc>
          <w:tcPr>
            <w:tcW w:w="1114" w:type="dxa"/>
          </w:tcPr>
          <w:p w14:paraId="674194CC" w14:textId="77777777" w:rsidR="00D03AB2" w:rsidRPr="00DF7EB8" w:rsidRDefault="00D03AB2" w:rsidP="00D03AB2">
            <w:pPr>
              <w:keepNext/>
              <w:outlineLvl w:val="0"/>
              <w:rPr>
                <w:rFonts w:ascii="Arial" w:hAnsi="Arial" w:cs="Arial"/>
                <w:sz w:val="23"/>
                <w:szCs w:val="23"/>
              </w:rPr>
            </w:pPr>
          </w:p>
        </w:tc>
        <w:tc>
          <w:tcPr>
            <w:tcW w:w="6074" w:type="dxa"/>
            <w:gridSpan w:val="2"/>
          </w:tcPr>
          <w:p w14:paraId="59F64DEB"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Spending Assumptions</w:t>
            </w:r>
          </w:p>
        </w:tc>
        <w:tc>
          <w:tcPr>
            <w:tcW w:w="2098" w:type="dxa"/>
            <w:gridSpan w:val="3"/>
          </w:tcPr>
          <w:p w14:paraId="59181B38" w14:textId="2513C239" w:rsidR="00D03AB2" w:rsidRPr="00A44AE4" w:rsidRDefault="00CF2421" w:rsidP="00D03AB2">
            <w:pPr>
              <w:keepNext/>
              <w:jc w:val="center"/>
              <w:outlineLvl w:val="0"/>
              <w:rPr>
                <w:rFonts w:ascii="Arial" w:hAnsi="Arial" w:cs="Arial"/>
                <w:sz w:val="23"/>
                <w:szCs w:val="23"/>
              </w:rPr>
            </w:pPr>
            <w:r w:rsidRPr="00A44AE4">
              <w:rPr>
                <w:rFonts w:ascii="Arial" w:hAnsi="Arial" w:cs="Arial"/>
                <w:sz w:val="23"/>
                <w:szCs w:val="23"/>
              </w:rPr>
              <w:t>4</w:t>
            </w:r>
            <w:r w:rsidR="00090C08" w:rsidRPr="00A44AE4">
              <w:rPr>
                <w:rFonts w:ascii="Arial" w:hAnsi="Arial" w:cs="Arial"/>
                <w:sz w:val="23"/>
                <w:szCs w:val="23"/>
              </w:rPr>
              <w:t>5</w:t>
            </w:r>
          </w:p>
        </w:tc>
      </w:tr>
      <w:tr w:rsidR="00D03AB2" w:rsidRPr="00DF7EB8" w14:paraId="598144A1" w14:textId="77777777" w:rsidTr="00DF7EB8">
        <w:trPr>
          <w:cantSplit/>
        </w:trPr>
        <w:tc>
          <w:tcPr>
            <w:tcW w:w="1114" w:type="dxa"/>
          </w:tcPr>
          <w:p w14:paraId="7DF85473" w14:textId="77777777" w:rsidR="00D03AB2" w:rsidRPr="00DF7EB8" w:rsidRDefault="00D03AB2" w:rsidP="00D03AB2">
            <w:pPr>
              <w:keepNext/>
              <w:outlineLvl w:val="0"/>
              <w:rPr>
                <w:rFonts w:ascii="Arial" w:hAnsi="Arial" w:cs="Arial"/>
                <w:sz w:val="23"/>
                <w:szCs w:val="23"/>
              </w:rPr>
            </w:pPr>
          </w:p>
        </w:tc>
        <w:tc>
          <w:tcPr>
            <w:tcW w:w="6074" w:type="dxa"/>
            <w:gridSpan w:val="2"/>
          </w:tcPr>
          <w:p w14:paraId="3ACCBCAF"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Resource Assumptions</w:t>
            </w:r>
          </w:p>
        </w:tc>
        <w:tc>
          <w:tcPr>
            <w:tcW w:w="2098" w:type="dxa"/>
            <w:gridSpan w:val="3"/>
          </w:tcPr>
          <w:p w14:paraId="5B6F579F" w14:textId="0AD947F2" w:rsidR="00D03AB2" w:rsidRPr="00A44AE4" w:rsidRDefault="009475E0" w:rsidP="00D03AB2">
            <w:pPr>
              <w:keepNext/>
              <w:jc w:val="center"/>
              <w:outlineLvl w:val="0"/>
              <w:rPr>
                <w:rFonts w:ascii="Arial" w:hAnsi="Arial" w:cs="Arial"/>
                <w:sz w:val="23"/>
                <w:szCs w:val="23"/>
              </w:rPr>
            </w:pPr>
            <w:r w:rsidRPr="00A44AE4">
              <w:rPr>
                <w:rFonts w:ascii="Arial" w:hAnsi="Arial" w:cs="Arial"/>
                <w:sz w:val="23"/>
                <w:szCs w:val="23"/>
              </w:rPr>
              <w:t>4</w:t>
            </w:r>
            <w:r w:rsidR="00090C08" w:rsidRPr="00A44AE4">
              <w:rPr>
                <w:rFonts w:ascii="Arial" w:hAnsi="Arial" w:cs="Arial"/>
                <w:sz w:val="23"/>
                <w:szCs w:val="23"/>
              </w:rPr>
              <w:t>6</w:t>
            </w:r>
          </w:p>
        </w:tc>
      </w:tr>
      <w:tr w:rsidR="00D03AB2" w:rsidRPr="00DF7EB8" w14:paraId="2809F3DF" w14:textId="77777777" w:rsidTr="00DF7EB8">
        <w:trPr>
          <w:cantSplit/>
        </w:trPr>
        <w:tc>
          <w:tcPr>
            <w:tcW w:w="1114" w:type="dxa"/>
          </w:tcPr>
          <w:p w14:paraId="4F32B479" w14:textId="77777777" w:rsidR="00D03AB2" w:rsidRPr="00DF7EB8" w:rsidRDefault="00D03AB2" w:rsidP="00D03AB2">
            <w:pPr>
              <w:keepNext/>
              <w:outlineLvl w:val="0"/>
              <w:rPr>
                <w:rFonts w:ascii="Arial" w:hAnsi="Arial" w:cs="Arial"/>
                <w:sz w:val="23"/>
                <w:szCs w:val="23"/>
              </w:rPr>
            </w:pPr>
          </w:p>
        </w:tc>
        <w:tc>
          <w:tcPr>
            <w:tcW w:w="6074" w:type="dxa"/>
            <w:gridSpan w:val="2"/>
          </w:tcPr>
          <w:p w14:paraId="67425395"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Releasing Resources</w:t>
            </w:r>
          </w:p>
        </w:tc>
        <w:tc>
          <w:tcPr>
            <w:tcW w:w="2098" w:type="dxa"/>
            <w:gridSpan w:val="3"/>
          </w:tcPr>
          <w:p w14:paraId="768D5BDC" w14:textId="299BA796" w:rsidR="00D03AB2" w:rsidRPr="00A44AE4" w:rsidRDefault="00261535" w:rsidP="00D03AB2">
            <w:pPr>
              <w:keepNext/>
              <w:jc w:val="center"/>
              <w:outlineLvl w:val="0"/>
              <w:rPr>
                <w:rFonts w:ascii="Arial" w:hAnsi="Arial" w:cs="Arial"/>
                <w:sz w:val="23"/>
                <w:szCs w:val="23"/>
              </w:rPr>
            </w:pPr>
            <w:r w:rsidRPr="00A44AE4">
              <w:rPr>
                <w:rFonts w:ascii="Arial" w:hAnsi="Arial" w:cs="Arial"/>
                <w:sz w:val="23"/>
                <w:szCs w:val="23"/>
              </w:rPr>
              <w:t>4</w:t>
            </w:r>
            <w:r w:rsidR="00090C08" w:rsidRPr="00A44AE4">
              <w:rPr>
                <w:rFonts w:ascii="Arial" w:hAnsi="Arial" w:cs="Arial"/>
                <w:sz w:val="23"/>
                <w:szCs w:val="23"/>
              </w:rPr>
              <w:t>8</w:t>
            </w:r>
          </w:p>
        </w:tc>
      </w:tr>
      <w:tr w:rsidR="00D03AB2" w:rsidRPr="00DF7EB8" w14:paraId="2C826A66" w14:textId="77777777" w:rsidTr="00DF7EB8">
        <w:trPr>
          <w:cantSplit/>
        </w:trPr>
        <w:tc>
          <w:tcPr>
            <w:tcW w:w="1114" w:type="dxa"/>
          </w:tcPr>
          <w:p w14:paraId="20DD69B0" w14:textId="77777777" w:rsidR="00D03AB2" w:rsidRPr="00DF7EB8" w:rsidRDefault="00D03AB2" w:rsidP="00D03AB2">
            <w:pPr>
              <w:keepNext/>
              <w:outlineLvl w:val="0"/>
              <w:rPr>
                <w:rFonts w:ascii="Arial" w:hAnsi="Arial" w:cs="Arial"/>
                <w:sz w:val="23"/>
                <w:szCs w:val="23"/>
              </w:rPr>
            </w:pPr>
          </w:p>
        </w:tc>
        <w:tc>
          <w:tcPr>
            <w:tcW w:w="6074" w:type="dxa"/>
            <w:gridSpan w:val="2"/>
          </w:tcPr>
          <w:p w14:paraId="692C36D6"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Housing Revenue Account Forecast</w:t>
            </w:r>
          </w:p>
        </w:tc>
        <w:tc>
          <w:tcPr>
            <w:tcW w:w="2098" w:type="dxa"/>
            <w:gridSpan w:val="3"/>
          </w:tcPr>
          <w:p w14:paraId="6040AEE5" w14:textId="6363F77F" w:rsidR="00D03AB2" w:rsidRPr="00A44AE4" w:rsidRDefault="00A52EC8" w:rsidP="00D03AB2">
            <w:pPr>
              <w:keepNext/>
              <w:jc w:val="center"/>
              <w:outlineLvl w:val="0"/>
              <w:rPr>
                <w:rFonts w:ascii="Arial" w:hAnsi="Arial" w:cs="Arial"/>
                <w:sz w:val="23"/>
                <w:szCs w:val="23"/>
              </w:rPr>
            </w:pPr>
            <w:r w:rsidRPr="00A44AE4">
              <w:rPr>
                <w:rFonts w:ascii="Arial" w:hAnsi="Arial" w:cs="Arial"/>
                <w:sz w:val="23"/>
                <w:szCs w:val="23"/>
              </w:rPr>
              <w:t>4</w:t>
            </w:r>
            <w:r w:rsidR="00090C08" w:rsidRPr="00A44AE4">
              <w:rPr>
                <w:rFonts w:ascii="Arial" w:hAnsi="Arial" w:cs="Arial"/>
                <w:sz w:val="23"/>
                <w:szCs w:val="23"/>
              </w:rPr>
              <w:t>8</w:t>
            </w:r>
          </w:p>
        </w:tc>
      </w:tr>
      <w:tr w:rsidR="00D03AB2" w:rsidRPr="00DF7EB8" w14:paraId="0D58E76F" w14:textId="77777777" w:rsidTr="00DF7EB8">
        <w:trPr>
          <w:cantSplit/>
        </w:trPr>
        <w:tc>
          <w:tcPr>
            <w:tcW w:w="1114" w:type="dxa"/>
          </w:tcPr>
          <w:p w14:paraId="2238916A" w14:textId="77777777" w:rsidR="00D03AB2" w:rsidRPr="00DF7EB8" w:rsidRDefault="00D03AB2" w:rsidP="00D03AB2">
            <w:pPr>
              <w:keepNext/>
              <w:outlineLvl w:val="0"/>
              <w:rPr>
                <w:rFonts w:ascii="Arial" w:hAnsi="Arial" w:cs="Arial"/>
                <w:sz w:val="23"/>
                <w:szCs w:val="23"/>
              </w:rPr>
            </w:pPr>
          </w:p>
        </w:tc>
        <w:tc>
          <w:tcPr>
            <w:tcW w:w="6074" w:type="dxa"/>
            <w:gridSpan w:val="2"/>
          </w:tcPr>
          <w:p w14:paraId="6F2F587C"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Risks to the Housing Revenue Account Budget</w:t>
            </w:r>
          </w:p>
        </w:tc>
        <w:tc>
          <w:tcPr>
            <w:tcW w:w="2098" w:type="dxa"/>
            <w:gridSpan w:val="3"/>
          </w:tcPr>
          <w:p w14:paraId="06628A1B" w14:textId="565D36EF" w:rsidR="00D03AB2" w:rsidRPr="00A44AE4" w:rsidRDefault="00A52EC8" w:rsidP="00D03AB2">
            <w:pPr>
              <w:keepNext/>
              <w:jc w:val="center"/>
              <w:outlineLvl w:val="0"/>
              <w:rPr>
                <w:rFonts w:ascii="Arial" w:hAnsi="Arial" w:cs="Arial"/>
                <w:sz w:val="23"/>
                <w:szCs w:val="23"/>
              </w:rPr>
            </w:pPr>
            <w:r w:rsidRPr="00A44AE4">
              <w:rPr>
                <w:rFonts w:ascii="Arial" w:hAnsi="Arial" w:cs="Arial"/>
                <w:sz w:val="23"/>
                <w:szCs w:val="23"/>
              </w:rPr>
              <w:t>4</w:t>
            </w:r>
            <w:r w:rsidR="00090C08" w:rsidRPr="00A44AE4">
              <w:rPr>
                <w:rFonts w:ascii="Arial" w:hAnsi="Arial" w:cs="Arial"/>
                <w:sz w:val="23"/>
                <w:szCs w:val="23"/>
              </w:rPr>
              <w:t>8</w:t>
            </w:r>
          </w:p>
        </w:tc>
      </w:tr>
      <w:tr w:rsidR="00D03AB2" w:rsidRPr="00DF7EB8" w14:paraId="32875AA7" w14:textId="77777777" w:rsidTr="00DF7EB8">
        <w:trPr>
          <w:cantSplit/>
        </w:trPr>
        <w:tc>
          <w:tcPr>
            <w:tcW w:w="7188" w:type="dxa"/>
            <w:gridSpan w:val="3"/>
          </w:tcPr>
          <w:p w14:paraId="26B33497"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Housing Investment Programme</w:t>
            </w:r>
          </w:p>
        </w:tc>
        <w:tc>
          <w:tcPr>
            <w:tcW w:w="2098" w:type="dxa"/>
            <w:gridSpan w:val="3"/>
          </w:tcPr>
          <w:p w14:paraId="43F53F3A" w14:textId="545747EA" w:rsidR="00D03AB2" w:rsidRPr="00A44AE4" w:rsidRDefault="00090C08" w:rsidP="00D03AB2">
            <w:pPr>
              <w:keepNext/>
              <w:jc w:val="center"/>
              <w:outlineLvl w:val="0"/>
              <w:rPr>
                <w:rFonts w:ascii="Arial" w:hAnsi="Arial" w:cs="Arial"/>
                <w:sz w:val="23"/>
                <w:szCs w:val="23"/>
              </w:rPr>
            </w:pPr>
            <w:r w:rsidRPr="00A44AE4">
              <w:rPr>
                <w:rFonts w:ascii="Arial" w:hAnsi="Arial" w:cs="Arial"/>
                <w:sz w:val="23"/>
                <w:szCs w:val="23"/>
              </w:rPr>
              <w:t>50</w:t>
            </w:r>
          </w:p>
        </w:tc>
      </w:tr>
      <w:tr w:rsidR="00D03AB2" w:rsidRPr="00DF7EB8" w14:paraId="40459317" w14:textId="77777777" w:rsidTr="00DF7EB8">
        <w:trPr>
          <w:cantSplit/>
        </w:trPr>
        <w:tc>
          <w:tcPr>
            <w:tcW w:w="1114" w:type="dxa"/>
          </w:tcPr>
          <w:p w14:paraId="0DAD968E" w14:textId="77777777" w:rsidR="00D03AB2" w:rsidRPr="00DF7EB8" w:rsidRDefault="00D03AB2" w:rsidP="00D03AB2">
            <w:pPr>
              <w:keepNext/>
              <w:outlineLvl w:val="0"/>
              <w:rPr>
                <w:rFonts w:ascii="Arial" w:hAnsi="Arial" w:cs="Arial"/>
                <w:sz w:val="23"/>
                <w:szCs w:val="23"/>
              </w:rPr>
            </w:pPr>
          </w:p>
        </w:tc>
        <w:tc>
          <w:tcPr>
            <w:tcW w:w="6074" w:type="dxa"/>
            <w:gridSpan w:val="2"/>
          </w:tcPr>
          <w:p w14:paraId="57758FEA"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Capital Spending Plans</w:t>
            </w:r>
          </w:p>
        </w:tc>
        <w:tc>
          <w:tcPr>
            <w:tcW w:w="2098" w:type="dxa"/>
            <w:gridSpan w:val="3"/>
          </w:tcPr>
          <w:p w14:paraId="541EE50A" w14:textId="769DE017" w:rsidR="00D03AB2" w:rsidRPr="004D1A4B" w:rsidRDefault="00A44AE4" w:rsidP="00D03AB2">
            <w:pPr>
              <w:keepNext/>
              <w:jc w:val="center"/>
              <w:outlineLvl w:val="0"/>
              <w:rPr>
                <w:rFonts w:ascii="Arial" w:hAnsi="Arial" w:cs="Arial"/>
                <w:sz w:val="23"/>
                <w:szCs w:val="23"/>
              </w:rPr>
            </w:pPr>
            <w:r w:rsidRPr="004D1A4B">
              <w:rPr>
                <w:rFonts w:ascii="Arial" w:hAnsi="Arial" w:cs="Arial"/>
                <w:sz w:val="23"/>
                <w:szCs w:val="23"/>
              </w:rPr>
              <w:t>5</w:t>
            </w:r>
            <w:r w:rsidR="00090C08" w:rsidRPr="004D1A4B">
              <w:rPr>
                <w:rFonts w:ascii="Arial" w:hAnsi="Arial" w:cs="Arial"/>
                <w:sz w:val="23"/>
                <w:szCs w:val="23"/>
              </w:rPr>
              <w:t>0</w:t>
            </w:r>
          </w:p>
        </w:tc>
      </w:tr>
      <w:tr w:rsidR="00D03AB2" w:rsidRPr="00DF7EB8" w14:paraId="71B1C9EA" w14:textId="77777777" w:rsidTr="00DF7EB8">
        <w:trPr>
          <w:cantSplit/>
          <w:trHeight w:val="229"/>
        </w:trPr>
        <w:tc>
          <w:tcPr>
            <w:tcW w:w="1114" w:type="dxa"/>
          </w:tcPr>
          <w:p w14:paraId="4828A6C2" w14:textId="77777777" w:rsidR="00D03AB2" w:rsidRPr="00DF7EB8" w:rsidRDefault="00D03AB2" w:rsidP="00D03AB2">
            <w:pPr>
              <w:keepNext/>
              <w:outlineLvl w:val="0"/>
              <w:rPr>
                <w:rFonts w:ascii="Arial" w:hAnsi="Arial" w:cs="Arial"/>
                <w:sz w:val="23"/>
                <w:szCs w:val="23"/>
              </w:rPr>
            </w:pPr>
          </w:p>
        </w:tc>
        <w:tc>
          <w:tcPr>
            <w:tcW w:w="6074" w:type="dxa"/>
            <w:gridSpan w:val="2"/>
          </w:tcPr>
          <w:p w14:paraId="4D80FAD9" w14:textId="77777777" w:rsidR="004A2F0D" w:rsidRPr="00DF7EB8" w:rsidRDefault="00FB4756" w:rsidP="00D03AB2">
            <w:pPr>
              <w:keepNext/>
              <w:outlineLvl w:val="0"/>
              <w:rPr>
                <w:rFonts w:ascii="Arial" w:hAnsi="Arial" w:cs="Arial"/>
                <w:sz w:val="23"/>
                <w:szCs w:val="23"/>
              </w:rPr>
            </w:pPr>
            <w:r w:rsidRPr="00DF7EB8">
              <w:rPr>
                <w:rFonts w:ascii="Arial" w:hAnsi="Arial" w:cs="Arial"/>
                <w:sz w:val="23"/>
                <w:szCs w:val="23"/>
              </w:rPr>
              <w:t>Spending Pressures</w:t>
            </w:r>
          </w:p>
          <w:p w14:paraId="5A922C4D" w14:textId="6E08C07F"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Resources</w:t>
            </w:r>
          </w:p>
        </w:tc>
        <w:tc>
          <w:tcPr>
            <w:tcW w:w="2098" w:type="dxa"/>
            <w:gridSpan w:val="3"/>
          </w:tcPr>
          <w:p w14:paraId="56E533B5" w14:textId="54FC5071" w:rsidR="00D03AB2" w:rsidRPr="004D1A4B" w:rsidRDefault="00090C08" w:rsidP="00D03AB2">
            <w:pPr>
              <w:keepNext/>
              <w:jc w:val="center"/>
              <w:outlineLvl w:val="0"/>
              <w:rPr>
                <w:rFonts w:ascii="Arial" w:hAnsi="Arial" w:cs="Arial"/>
                <w:sz w:val="23"/>
                <w:szCs w:val="23"/>
              </w:rPr>
            </w:pPr>
            <w:r w:rsidRPr="004D1A4B">
              <w:rPr>
                <w:rFonts w:ascii="Arial" w:hAnsi="Arial" w:cs="Arial"/>
                <w:sz w:val="23"/>
                <w:szCs w:val="23"/>
              </w:rPr>
              <w:t>50</w:t>
            </w:r>
          </w:p>
          <w:p w14:paraId="34BA7F48" w14:textId="14651746" w:rsidR="00D03AB2" w:rsidRPr="004D1A4B" w:rsidRDefault="00FE76C2" w:rsidP="00D03AB2">
            <w:pPr>
              <w:keepNext/>
              <w:jc w:val="center"/>
              <w:outlineLvl w:val="0"/>
              <w:rPr>
                <w:rFonts w:ascii="Arial" w:hAnsi="Arial" w:cs="Arial"/>
                <w:sz w:val="23"/>
                <w:szCs w:val="23"/>
              </w:rPr>
            </w:pPr>
            <w:r w:rsidRPr="004D1A4B">
              <w:rPr>
                <w:rFonts w:ascii="Arial" w:hAnsi="Arial" w:cs="Arial"/>
                <w:sz w:val="23"/>
                <w:szCs w:val="23"/>
              </w:rPr>
              <w:t>5</w:t>
            </w:r>
            <w:r w:rsidR="00090C08" w:rsidRPr="004D1A4B">
              <w:rPr>
                <w:rFonts w:ascii="Arial" w:hAnsi="Arial" w:cs="Arial"/>
                <w:sz w:val="23"/>
                <w:szCs w:val="23"/>
              </w:rPr>
              <w:t>1</w:t>
            </w:r>
          </w:p>
        </w:tc>
      </w:tr>
      <w:tr w:rsidR="00D03AB2" w:rsidRPr="00DF7EB8" w14:paraId="31AF972A" w14:textId="77777777" w:rsidTr="00DF7EB8">
        <w:trPr>
          <w:cantSplit/>
          <w:trHeight w:val="229"/>
        </w:trPr>
        <w:tc>
          <w:tcPr>
            <w:tcW w:w="1114" w:type="dxa"/>
          </w:tcPr>
          <w:p w14:paraId="4C9C1144" w14:textId="77777777" w:rsidR="00D03AB2" w:rsidRPr="00DF7EB8" w:rsidRDefault="00D03AB2" w:rsidP="00D03AB2">
            <w:pPr>
              <w:keepNext/>
              <w:outlineLvl w:val="0"/>
              <w:rPr>
                <w:rFonts w:ascii="Arial" w:hAnsi="Arial" w:cs="Arial"/>
                <w:sz w:val="23"/>
                <w:szCs w:val="23"/>
              </w:rPr>
            </w:pPr>
          </w:p>
        </w:tc>
        <w:tc>
          <w:tcPr>
            <w:tcW w:w="6074" w:type="dxa"/>
            <w:gridSpan w:val="2"/>
          </w:tcPr>
          <w:p w14:paraId="1A4F2FE7"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Housing Investment Programme Forecast</w:t>
            </w:r>
          </w:p>
        </w:tc>
        <w:tc>
          <w:tcPr>
            <w:tcW w:w="2098" w:type="dxa"/>
            <w:gridSpan w:val="3"/>
          </w:tcPr>
          <w:p w14:paraId="6AED6E5B" w14:textId="362C65E1" w:rsidR="00D03AB2" w:rsidRPr="004D1A4B" w:rsidRDefault="00E93195" w:rsidP="00D03AB2">
            <w:pPr>
              <w:keepNext/>
              <w:jc w:val="center"/>
              <w:outlineLvl w:val="0"/>
              <w:rPr>
                <w:rFonts w:ascii="Arial" w:hAnsi="Arial" w:cs="Arial"/>
                <w:sz w:val="23"/>
                <w:szCs w:val="23"/>
              </w:rPr>
            </w:pPr>
            <w:r w:rsidRPr="004D1A4B">
              <w:rPr>
                <w:rFonts w:ascii="Arial" w:hAnsi="Arial" w:cs="Arial"/>
                <w:sz w:val="23"/>
                <w:szCs w:val="23"/>
              </w:rPr>
              <w:t>5</w:t>
            </w:r>
            <w:r w:rsidR="00090C08" w:rsidRPr="004D1A4B">
              <w:rPr>
                <w:rFonts w:ascii="Arial" w:hAnsi="Arial" w:cs="Arial"/>
                <w:sz w:val="23"/>
                <w:szCs w:val="23"/>
              </w:rPr>
              <w:t>3</w:t>
            </w:r>
          </w:p>
        </w:tc>
      </w:tr>
      <w:tr w:rsidR="00D03AB2" w:rsidRPr="00DF7EB8" w14:paraId="32EF2545" w14:textId="77777777" w:rsidTr="00DF7EB8">
        <w:trPr>
          <w:cantSplit/>
          <w:trHeight w:val="229"/>
        </w:trPr>
        <w:tc>
          <w:tcPr>
            <w:tcW w:w="1114" w:type="dxa"/>
          </w:tcPr>
          <w:p w14:paraId="3846F4B5" w14:textId="77777777" w:rsidR="00D03AB2" w:rsidRPr="00DF7EB8" w:rsidRDefault="00D03AB2" w:rsidP="00D03AB2">
            <w:pPr>
              <w:keepNext/>
              <w:outlineLvl w:val="0"/>
              <w:rPr>
                <w:rFonts w:ascii="Arial" w:hAnsi="Arial" w:cs="Arial"/>
                <w:sz w:val="23"/>
                <w:szCs w:val="23"/>
              </w:rPr>
            </w:pPr>
          </w:p>
        </w:tc>
        <w:tc>
          <w:tcPr>
            <w:tcW w:w="6074" w:type="dxa"/>
            <w:gridSpan w:val="2"/>
          </w:tcPr>
          <w:p w14:paraId="1526A46A"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Risks to the Housing Investment Programme</w:t>
            </w:r>
          </w:p>
        </w:tc>
        <w:tc>
          <w:tcPr>
            <w:tcW w:w="2098" w:type="dxa"/>
            <w:gridSpan w:val="3"/>
          </w:tcPr>
          <w:p w14:paraId="067E3620" w14:textId="2464FCBB" w:rsidR="00D03AB2" w:rsidRPr="004D1A4B" w:rsidRDefault="008A79B2" w:rsidP="00D03AB2">
            <w:pPr>
              <w:keepNext/>
              <w:jc w:val="center"/>
              <w:outlineLvl w:val="0"/>
              <w:rPr>
                <w:rFonts w:ascii="Arial" w:hAnsi="Arial" w:cs="Arial"/>
                <w:sz w:val="23"/>
                <w:szCs w:val="23"/>
              </w:rPr>
            </w:pPr>
            <w:r w:rsidRPr="004D1A4B">
              <w:rPr>
                <w:rFonts w:ascii="Arial" w:hAnsi="Arial" w:cs="Arial"/>
                <w:sz w:val="23"/>
                <w:szCs w:val="23"/>
              </w:rPr>
              <w:t>5</w:t>
            </w:r>
            <w:r w:rsidR="00090C08" w:rsidRPr="004D1A4B">
              <w:rPr>
                <w:rFonts w:ascii="Arial" w:hAnsi="Arial" w:cs="Arial"/>
                <w:sz w:val="23"/>
                <w:szCs w:val="23"/>
              </w:rPr>
              <w:t>3</w:t>
            </w:r>
          </w:p>
        </w:tc>
      </w:tr>
      <w:tr w:rsidR="00D03AB2" w:rsidRPr="006E5E06" w14:paraId="3F814336" w14:textId="77777777" w:rsidTr="003C1167">
        <w:trPr>
          <w:gridAfter w:val="1"/>
          <w:wAfter w:w="72" w:type="dxa"/>
          <w:cantSplit/>
        </w:trPr>
        <w:tc>
          <w:tcPr>
            <w:tcW w:w="7230" w:type="dxa"/>
            <w:gridSpan w:val="4"/>
          </w:tcPr>
          <w:p w14:paraId="1B759206" w14:textId="11A6E40C" w:rsidR="00D03AB2" w:rsidRPr="00DF7EB8" w:rsidRDefault="001704F6" w:rsidP="00D03AB2">
            <w:pPr>
              <w:keepNext/>
              <w:outlineLvl w:val="0"/>
              <w:rPr>
                <w:rFonts w:ascii="Arial" w:hAnsi="Arial" w:cs="Arial"/>
                <w:sz w:val="23"/>
                <w:szCs w:val="23"/>
              </w:rPr>
            </w:pPr>
            <w:r w:rsidRPr="00DF7EB8">
              <w:rPr>
                <w:rFonts w:ascii="Arial" w:hAnsi="Arial" w:cs="Arial"/>
                <w:sz w:val="23"/>
                <w:szCs w:val="23"/>
              </w:rPr>
              <w:t xml:space="preserve">Financial </w:t>
            </w:r>
            <w:r w:rsidR="002A2716" w:rsidRPr="00DF7EB8">
              <w:rPr>
                <w:rFonts w:ascii="Arial" w:hAnsi="Arial" w:cs="Arial"/>
                <w:sz w:val="23"/>
                <w:szCs w:val="23"/>
              </w:rPr>
              <w:t>Resilience</w:t>
            </w:r>
          </w:p>
        </w:tc>
        <w:tc>
          <w:tcPr>
            <w:tcW w:w="1984" w:type="dxa"/>
          </w:tcPr>
          <w:p w14:paraId="086FAE60" w14:textId="790D5EE8" w:rsidR="00D03AB2" w:rsidRPr="004D1A4B" w:rsidRDefault="008A79B2" w:rsidP="00D03AB2">
            <w:pPr>
              <w:keepNext/>
              <w:jc w:val="center"/>
              <w:outlineLvl w:val="0"/>
              <w:rPr>
                <w:rFonts w:ascii="Arial" w:hAnsi="Arial" w:cs="Arial"/>
                <w:sz w:val="23"/>
                <w:szCs w:val="23"/>
              </w:rPr>
            </w:pPr>
            <w:r w:rsidRPr="004D1A4B">
              <w:rPr>
                <w:rFonts w:ascii="Arial" w:hAnsi="Arial" w:cs="Arial"/>
                <w:sz w:val="23"/>
                <w:szCs w:val="23"/>
              </w:rPr>
              <w:t>5</w:t>
            </w:r>
            <w:r w:rsidR="00BA519B" w:rsidRPr="004D1A4B">
              <w:rPr>
                <w:rFonts w:ascii="Arial" w:hAnsi="Arial" w:cs="Arial"/>
                <w:sz w:val="23"/>
                <w:szCs w:val="23"/>
              </w:rPr>
              <w:t>4</w:t>
            </w:r>
          </w:p>
        </w:tc>
      </w:tr>
      <w:tr w:rsidR="00D03AB2" w:rsidRPr="006E5E06" w14:paraId="7E353727" w14:textId="77777777" w:rsidTr="003C1167">
        <w:trPr>
          <w:gridAfter w:val="1"/>
          <w:wAfter w:w="72" w:type="dxa"/>
          <w:cantSplit/>
        </w:trPr>
        <w:tc>
          <w:tcPr>
            <w:tcW w:w="1222" w:type="dxa"/>
            <w:gridSpan w:val="2"/>
          </w:tcPr>
          <w:p w14:paraId="5CFC3A25" w14:textId="77777777" w:rsidR="00D03AB2" w:rsidRPr="00DF7EB8" w:rsidRDefault="00D03AB2" w:rsidP="00D03AB2">
            <w:pPr>
              <w:keepNext/>
              <w:outlineLvl w:val="0"/>
              <w:rPr>
                <w:rFonts w:ascii="Arial" w:hAnsi="Arial" w:cs="Arial"/>
                <w:sz w:val="23"/>
                <w:szCs w:val="23"/>
              </w:rPr>
            </w:pPr>
          </w:p>
        </w:tc>
        <w:tc>
          <w:tcPr>
            <w:tcW w:w="6008" w:type="dxa"/>
            <w:gridSpan w:val="2"/>
          </w:tcPr>
          <w:p w14:paraId="534F7AE0" w14:textId="368CDC08" w:rsidR="00D03AB2" w:rsidRPr="00DF7EB8" w:rsidRDefault="00024065" w:rsidP="00D03AB2">
            <w:pPr>
              <w:keepNext/>
              <w:outlineLvl w:val="0"/>
              <w:rPr>
                <w:rFonts w:ascii="Arial" w:hAnsi="Arial" w:cs="Arial"/>
                <w:sz w:val="23"/>
                <w:szCs w:val="23"/>
              </w:rPr>
            </w:pPr>
            <w:r w:rsidRPr="00DF7EB8">
              <w:rPr>
                <w:rFonts w:ascii="Arial" w:hAnsi="Arial" w:cs="Arial"/>
                <w:sz w:val="23"/>
                <w:szCs w:val="23"/>
              </w:rPr>
              <w:t>Financial Metrics</w:t>
            </w:r>
          </w:p>
        </w:tc>
        <w:tc>
          <w:tcPr>
            <w:tcW w:w="1984" w:type="dxa"/>
          </w:tcPr>
          <w:p w14:paraId="2B29D09F" w14:textId="1D5135FD" w:rsidR="00D03AB2" w:rsidRPr="004D1A4B" w:rsidRDefault="00FE76C2" w:rsidP="00D03AB2">
            <w:pPr>
              <w:keepNext/>
              <w:jc w:val="center"/>
              <w:outlineLvl w:val="0"/>
              <w:rPr>
                <w:rFonts w:ascii="Arial" w:hAnsi="Arial" w:cs="Arial"/>
                <w:sz w:val="23"/>
                <w:szCs w:val="23"/>
              </w:rPr>
            </w:pPr>
            <w:r w:rsidRPr="004D1A4B">
              <w:rPr>
                <w:rFonts w:ascii="Arial" w:hAnsi="Arial" w:cs="Arial"/>
                <w:sz w:val="23"/>
                <w:szCs w:val="23"/>
              </w:rPr>
              <w:t>5</w:t>
            </w:r>
            <w:r w:rsidR="00BA519B" w:rsidRPr="004D1A4B">
              <w:rPr>
                <w:rFonts w:ascii="Arial" w:hAnsi="Arial" w:cs="Arial"/>
                <w:sz w:val="23"/>
                <w:szCs w:val="23"/>
              </w:rPr>
              <w:t>4</w:t>
            </w:r>
          </w:p>
        </w:tc>
      </w:tr>
      <w:tr w:rsidR="00024065" w:rsidRPr="006E5E06" w14:paraId="417DBEDC" w14:textId="77777777" w:rsidTr="003C1167">
        <w:trPr>
          <w:gridAfter w:val="1"/>
          <w:wAfter w:w="72" w:type="dxa"/>
          <w:cantSplit/>
        </w:trPr>
        <w:tc>
          <w:tcPr>
            <w:tcW w:w="1222" w:type="dxa"/>
            <w:gridSpan w:val="2"/>
          </w:tcPr>
          <w:p w14:paraId="41995024" w14:textId="77777777" w:rsidR="00024065" w:rsidRPr="00DF7EB8" w:rsidRDefault="00024065" w:rsidP="00D03AB2">
            <w:pPr>
              <w:keepNext/>
              <w:outlineLvl w:val="0"/>
              <w:rPr>
                <w:rFonts w:ascii="Arial" w:hAnsi="Arial" w:cs="Arial"/>
                <w:sz w:val="23"/>
                <w:szCs w:val="23"/>
              </w:rPr>
            </w:pPr>
          </w:p>
        </w:tc>
        <w:tc>
          <w:tcPr>
            <w:tcW w:w="6008" w:type="dxa"/>
            <w:gridSpan w:val="2"/>
          </w:tcPr>
          <w:p w14:paraId="31A4598F" w14:textId="62B2919C" w:rsidR="00024065" w:rsidRPr="00DF7EB8" w:rsidRDefault="00024065" w:rsidP="00D03AB2">
            <w:pPr>
              <w:keepNext/>
              <w:outlineLvl w:val="0"/>
              <w:rPr>
                <w:rFonts w:ascii="Arial" w:hAnsi="Arial" w:cs="Arial"/>
                <w:sz w:val="23"/>
                <w:szCs w:val="23"/>
              </w:rPr>
            </w:pPr>
            <w:r w:rsidRPr="00DF7EB8">
              <w:rPr>
                <w:rFonts w:ascii="Arial" w:hAnsi="Arial" w:cs="Arial"/>
                <w:sz w:val="23"/>
                <w:szCs w:val="23"/>
              </w:rPr>
              <w:t>Management of Risk</w:t>
            </w:r>
          </w:p>
        </w:tc>
        <w:tc>
          <w:tcPr>
            <w:tcW w:w="1984" w:type="dxa"/>
          </w:tcPr>
          <w:p w14:paraId="090C8CAF" w14:textId="79A5438B" w:rsidR="00024065" w:rsidRPr="004D1A4B" w:rsidRDefault="0090046B" w:rsidP="00D03AB2">
            <w:pPr>
              <w:keepNext/>
              <w:jc w:val="center"/>
              <w:outlineLvl w:val="0"/>
              <w:rPr>
                <w:rFonts w:ascii="Arial" w:hAnsi="Arial" w:cs="Arial"/>
                <w:sz w:val="23"/>
                <w:szCs w:val="23"/>
              </w:rPr>
            </w:pPr>
            <w:r w:rsidRPr="004D1A4B">
              <w:rPr>
                <w:rFonts w:ascii="Arial" w:hAnsi="Arial" w:cs="Arial"/>
                <w:sz w:val="23"/>
                <w:szCs w:val="23"/>
              </w:rPr>
              <w:t>5</w:t>
            </w:r>
            <w:r w:rsidR="004A7604" w:rsidRPr="004D1A4B">
              <w:rPr>
                <w:rFonts w:ascii="Arial" w:hAnsi="Arial" w:cs="Arial"/>
                <w:sz w:val="23"/>
                <w:szCs w:val="23"/>
              </w:rPr>
              <w:t>7</w:t>
            </w:r>
          </w:p>
        </w:tc>
      </w:tr>
      <w:tr w:rsidR="00024065" w:rsidRPr="006E5E06" w14:paraId="4122A5FC" w14:textId="77777777" w:rsidTr="003C1167">
        <w:trPr>
          <w:gridAfter w:val="1"/>
          <w:wAfter w:w="72" w:type="dxa"/>
          <w:cantSplit/>
        </w:trPr>
        <w:tc>
          <w:tcPr>
            <w:tcW w:w="1222" w:type="dxa"/>
            <w:gridSpan w:val="2"/>
          </w:tcPr>
          <w:p w14:paraId="7CABE17B" w14:textId="77777777" w:rsidR="00024065" w:rsidRPr="00DF7EB8" w:rsidRDefault="00024065" w:rsidP="00D03AB2">
            <w:pPr>
              <w:keepNext/>
              <w:outlineLvl w:val="0"/>
              <w:rPr>
                <w:rFonts w:ascii="Arial" w:hAnsi="Arial" w:cs="Arial"/>
                <w:sz w:val="23"/>
                <w:szCs w:val="23"/>
              </w:rPr>
            </w:pPr>
          </w:p>
        </w:tc>
        <w:tc>
          <w:tcPr>
            <w:tcW w:w="6008" w:type="dxa"/>
            <w:gridSpan w:val="2"/>
          </w:tcPr>
          <w:p w14:paraId="68F613FB" w14:textId="2620CD34" w:rsidR="00024065" w:rsidRPr="00DF7EB8" w:rsidRDefault="00682ADB" w:rsidP="00D03AB2">
            <w:pPr>
              <w:keepNext/>
              <w:outlineLvl w:val="0"/>
              <w:rPr>
                <w:rFonts w:ascii="Arial" w:hAnsi="Arial" w:cs="Arial"/>
                <w:sz w:val="23"/>
                <w:szCs w:val="23"/>
              </w:rPr>
            </w:pPr>
            <w:r w:rsidRPr="00DF7EB8">
              <w:rPr>
                <w:rFonts w:ascii="Arial" w:hAnsi="Arial" w:cs="Arial"/>
                <w:sz w:val="23"/>
                <w:szCs w:val="23"/>
              </w:rPr>
              <w:t>Reserves and Balances</w:t>
            </w:r>
          </w:p>
        </w:tc>
        <w:tc>
          <w:tcPr>
            <w:tcW w:w="1984" w:type="dxa"/>
          </w:tcPr>
          <w:p w14:paraId="43697E64" w14:textId="7EC05CBC" w:rsidR="00024065" w:rsidRPr="004D1A4B" w:rsidRDefault="0090046B" w:rsidP="00D03AB2">
            <w:pPr>
              <w:keepNext/>
              <w:jc w:val="center"/>
              <w:outlineLvl w:val="0"/>
              <w:rPr>
                <w:rFonts w:ascii="Arial" w:hAnsi="Arial" w:cs="Arial"/>
                <w:sz w:val="23"/>
                <w:szCs w:val="23"/>
              </w:rPr>
            </w:pPr>
            <w:r w:rsidRPr="004D1A4B">
              <w:rPr>
                <w:rFonts w:ascii="Arial" w:hAnsi="Arial" w:cs="Arial"/>
                <w:sz w:val="23"/>
                <w:szCs w:val="23"/>
              </w:rPr>
              <w:t>5</w:t>
            </w:r>
            <w:r w:rsidR="004A7604" w:rsidRPr="004D1A4B">
              <w:rPr>
                <w:rFonts w:ascii="Arial" w:hAnsi="Arial" w:cs="Arial"/>
                <w:sz w:val="23"/>
                <w:szCs w:val="23"/>
              </w:rPr>
              <w:t>7</w:t>
            </w:r>
          </w:p>
        </w:tc>
      </w:tr>
      <w:tr w:rsidR="00D03AB2" w:rsidRPr="006E5E06" w14:paraId="47A2CE2B" w14:textId="77777777" w:rsidTr="003C1167">
        <w:trPr>
          <w:gridAfter w:val="1"/>
          <w:wAfter w:w="72" w:type="dxa"/>
          <w:cantSplit/>
        </w:trPr>
        <w:tc>
          <w:tcPr>
            <w:tcW w:w="7230" w:type="dxa"/>
            <w:gridSpan w:val="4"/>
          </w:tcPr>
          <w:p w14:paraId="5A91D9BD"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Appendices</w:t>
            </w:r>
          </w:p>
        </w:tc>
        <w:tc>
          <w:tcPr>
            <w:tcW w:w="1984" w:type="dxa"/>
          </w:tcPr>
          <w:p w14:paraId="285B0A31" w14:textId="77777777" w:rsidR="00D03AB2" w:rsidRPr="004D1A4B" w:rsidRDefault="00D03AB2" w:rsidP="00D03AB2">
            <w:pPr>
              <w:keepNext/>
              <w:jc w:val="center"/>
              <w:outlineLvl w:val="0"/>
              <w:rPr>
                <w:rFonts w:ascii="Arial" w:hAnsi="Arial" w:cs="Arial"/>
                <w:sz w:val="23"/>
                <w:szCs w:val="23"/>
              </w:rPr>
            </w:pPr>
          </w:p>
        </w:tc>
      </w:tr>
      <w:tr w:rsidR="00D03AB2" w:rsidRPr="006E5E06" w14:paraId="620CA9BA" w14:textId="77777777" w:rsidTr="003C1167">
        <w:trPr>
          <w:gridAfter w:val="1"/>
          <w:wAfter w:w="72" w:type="dxa"/>
          <w:cantSplit/>
        </w:trPr>
        <w:tc>
          <w:tcPr>
            <w:tcW w:w="1222" w:type="dxa"/>
            <w:gridSpan w:val="2"/>
          </w:tcPr>
          <w:p w14:paraId="4BCC35B1" w14:textId="77777777" w:rsidR="00D03AB2" w:rsidRPr="00DF7EB8" w:rsidRDefault="00D03AB2" w:rsidP="00D03AB2">
            <w:pPr>
              <w:keepNext/>
              <w:outlineLvl w:val="0"/>
              <w:rPr>
                <w:rFonts w:ascii="Arial" w:hAnsi="Arial" w:cs="Arial"/>
                <w:sz w:val="23"/>
                <w:szCs w:val="23"/>
              </w:rPr>
            </w:pPr>
          </w:p>
        </w:tc>
        <w:tc>
          <w:tcPr>
            <w:tcW w:w="6008" w:type="dxa"/>
            <w:gridSpan w:val="2"/>
          </w:tcPr>
          <w:p w14:paraId="74349A9E"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1. General Fund Summary</w:t>
            </w:r>
          </w:p>
        </w:tc>
        <w:tc>
          <w:tcPr>
            <w:tcW w:w="1984" w:type="dxa"/>
          </w:tcPr>
          <w:p w14:paraId="211C9F01" w14:textId="3F5DFD2E" w:rsidR="00D03AB2" w:rsidRPr="004D1A4B" w:rsidRDefault="00FE76C2" w:rsidP="00387A24">
            <w:pPr>
              <w:keepNext/>
              <w:jc w:val="center"/>
              <w:outlineLvl w:val="0"/>
              <w:rPr>
                <w:rFonts w:ascii="Arial" w:hAnsi="Arial" w:cs="Arial"/>
                <w:sz w:val="23"/>
                <w:szCs w:val="23"/>
              </w:rPr>
            </w:pPr>
            <w:r w:rsidRPr="004D1A4B">
              <w:rPr>
                <w:rFonts w:ascii="Arial" w:hAnsi="Arial" w:cs="Arial"/>
                <w:sz w:val="23"/>
                <w:szCs w:val="23"/>
              </w:rPr>
              <w:t>6</w:t>
            </w:r>
            <w:r w:rsidR="004A7604" w:rsidRPr="004D1A4B">
              <w:rPr>
                <w:rFonts w:ascii="Arial" w:hAnsi="Arial" w:cs="Arial"/>
                <w:sz w:val="23"/>
                <w:szCs w:val="23"/>
              </w:rPr>
              <w:t>1</w:t>
            </w:r>
          </w:p>
        </w:tc>
      </w:tr>
      <w:tr w:rsidR="00D03AB2" w:rsidRPr="006E5E06" w14:paraId="622B8EB1" w14:textId="77777777" w:rsidTr="003C1167">
        <w:trPr>
          <w:gridAfter w:val="1"/>
          <w:wAfter w:w="72" w:type="dxa"/>
          <w:cantSplit/>
        </w:trPr>
        <w:tc>
          <w:tcPr>
            <w:tcW w:w="1222" w:type="dxa"/>
            <w:gridSpan w:val="2"/>
          </w:tcPr>
          <w:p w14:paraId="1AD81F89" w14:textId="77777777" w:rsidR="00D03AB2" w:rsidRPr="00DF7EB8" w:rsidRDefault="00D03AB2" w:rsidP="00D03AB2">
            <w:pPr>
              <w:keepNext/>
              <w:outlineLvl w:val="0"/>
              <w:rPr>
                <w:rFonts w:ascii="Arial" w:hAnsi="Arial" w:cs="Arial"/>
                <w:sz w:val="23"/>
                <w:szCs w:val="23"/>
              </w:rPr>
            </w:pPr>
          </w:p>
        </w:tc>
        <w:tc>
          <w:tcPr>
            <w:tcW w:w="6008" w:type="dxa"/>
            <w:gridSpan w:val="2"/>
          </w:tcPr>
          <w:p w14:paraId="703E91E0" w14:textId="77777777" w:rsidR="00D03AB2" w:rsidRPr="00DF7EB8" w:rsidRDefault="00D03AB2" w:rsidP="00D03AB2">
            <w:pPr>
              <w:keepNext/>
              <w:outlineLvl w:val="0"/>
              <w:rPr>
                <w:rFonts w:ascii="Arial" w:hAnsi="Arial" w:cs="Arial"/>
                <w:sz w:val="23"/>
                <w:szCs w:val="23"/>
              </w:rPr>
            </w:pPr>
            <w:r w:rsidRPr="00DF7EB8">
              <w:rPr>
                <w:rFonts w:ascii="Arial" w:hAnsi="Arial" w:cs="Arial"/>
                <w:sz w:val="23"/>
                <w:szCs w:val="23"/>
              </w:rPr>
              <w:t>2. Housing Revenue Account Summary</w:t>
            </w:r>
          </w:p>
        </w:tc>
        <w:tc>
          <w:tcPr>
            <w:tcW w:w="1984" w:type="dxa"/>
          </w:tcPr>
          <w:p w14:paraId="2B6F26AD" w14:textId="46E5C018" w:rsidR="00D03AB2" w:rsidRPr="004D1A4B" w:rsidRDefault="00C70B41" w:rsidP="00D03AB2">
            <w:pPr>
              <w:keepNext/>
              <w:jc w:val="center"/>
              <w:outlineLvl w:val="0"/>
              <w:rPr>
                <w:rFonts w:ascii="Arial" w:hAnsi="Arial" w:cs="Arial"/>
                <w:sz w:val="23"/>
                <w:szCs w:val="23"/>
              </w:rPr>
            </w:pPr>
            <w:r w:rsidRPr="004D1A4B">
              <w:rPr>
                <w:rFonts w:ascii="Arial" w:hAnsi="Arial" w:cs="Arial"/>
                <w:sz w:val="23"/>
                <w:szCs w:val="23"/>
              </w:rPr>
              <w:t>6</w:t>
            </w:r>
            <w:r w:rsidR="004A7604" w:rsidRPr="004D1A4B">
              <w:rPr>
                <w:rFonts w:ascii="Arial" w:hAnsi="Arial" w:cs="Arial"/>
                <w:sz w:val="23"/>
                <w:szCs w:val="23"/>
              </w:rPr>
              <w:t>2</w:t>
            </w:r>
          </w:p>
        </w:tc>
      </w:tr>
      <w:tr w:rsidR="00EA6D39" w:rsidRPr="006E5E06" w14:paraId="5CD08A60" w14:textId="77777777" w:rsidTr="003C1167">
        <w:trPr>
          <w:gridAfter w:val="1"/>
          <w:wAfter w:w="72" w:type="dxa"/>
          <w:cantSplit/>
        </w:trPr>
        <w:tc>
          <w:tcPr>
            <w:tcW w:w="1222" w:type="dxa"/>
            <w:gridSpan w:val="2"/>
          </w:tcPr>
          <w:p w14:paraId="217D82E6" w14:textId="77777777" w:rsidR="00EA6D39" w:rsidRPr="00DF7EB8" w:rsidRDefault="00EA6D39" w:rsidP="00D03AB2">
            <w:pPr>
              <w:keepNext/>
              <w:outlineLvl w:val="0"/>
              <w:rPr>
                <w:rFonts w:ascii="Arial" w:hAnsi="Arial" w:cs="Arial"/>
                <w:sz w:val="23"/>
                <w:szCs w:val="23"/>
              </w:rPr>
            </w:pPr>
          </w:p>
        </w:tc>
        <w:tc>
          <w:tcPr>
            <w:tcW w:w="6008" w:type="dxa"/>
            <w:gridSpan w:val="2"/>
          </w:tcPr>
          <w:p w14:paraId="671385C6" w14:textId="2CA42CA7" w:rsidR="00EA6D39" w:rsidRPr="00DF7EB8" w:rsidRDefault="00EA6D39" w:rsidP="00D03AB2">
            <w:pPr>
              <w:keepNext/>
              <w:outlineLvl w:val="0"/>
              <w:rPr>
                <w:rFonts w:ascii="Arial" w:hAnsi="Arial" w:cs="Arial"/>
                <w:sz w:val="23"/>
                <w:szCs w:val="23"/>
              </w:rPr>
            </w:pPr>
            <w:r w:rsidRPr="00DF7EB8">
              <w:rPr>
                <w:rFonts w:ascii="Arial" w:hAnsi="Arial" w:cs="Arial"/>
                <w:sz w:val="23"/>
                <w:szCs w:val="23"/>
              </w:rPr>
              <w:t>3. Housing Repairs Service Summary</w:t>
            </w:r>
          </w:p>
        </w:tc>
        <w:tc>
          <w:tcPr>
            <w:tcW w:w="1984" w:type="dxa"/>
          </w:tcPr>
          <w:p w14:paraId="72FFDD0F" w14:textId="691A55E8" w:rsidR="00EA6D39" w:rsidRPr="004D1A4B" w:rsidRDefault="00EA6D39" w:rsidP="00D03AB2">
            <w:pPr>
              <w:keepNext/>
              <w:jc w:val="center"/>
              <w:outlineLvl w:val="0"/>
              <w:rPr>
                <w:rFonts w:ascii="Arial" w:hAnsi="Arial" w:cs="Arial"/>
                <w:sz w:val="23"/>
                <w:szCs w:val="23"/>
              </w:rPr>
            </w:pPr>
            <w:r w:rsidRPr="004D1A4B">
              <w:rPr>
                <w:rFonts w:ascii="Arial" w:hAnsi="Arial" w:cs="Arial"/>
                <w:sz w:val="23"/>
                <w:szCs w:val="23"/>
              </w:rPr>
              <w:t>6</w:t>
            </w:r>
            <w:r w:rsidR="004A7604" w:rsidRPr="004D1A4B">
              <w:rPr>
                <w:rFonts w:ascii="Arial" w:hAnsi="Arial" w:cs="Arial"/>
                <w:sz w:val="23"/>
                <w:szCs w:val="23"/>
              </w:rPr>
              <w:t>3</w:t>
            </w:r>
          </w:p>
        </w:tc>
      </w:tr>
      <w:tr w:rsidR="00D03AB2" w:rsidRPr="006E5E06" w14:paraId="2A7834DE" w14:textId="77777777" w:rsidTr="003C1167">
        <w:trPr>
          <w:gridAfter w:val="1"/>
          <w:wAfter w:w="72" w:type="dxa"/>
          <w:cantSplit/>
        </w:trPr>
        <w:tc>
          <w:tcPr>
            <w:tcW w:w="1222" w:type="dxa"/>
            <w:gridSpan w:val="2"/>
          </w:tcPr>
          <w:p w14:paraId="3C0DFFF5" w14:textId="77777777" w:rsidR="00D03AB2" w:rsidRPr="00DF7EB8" w:rsidRDefault="00D03AB2" w:rsidP="00D03AB2">
            <w:pPr>
              <w:keepNext/>
              <w:outlineLvl w:val="0"/>
              <w:rPr>
                <w:rFonts w:ascii="Arial" w:hAnsi="Arial" w:cs="Arial"/>
                <w:sz w:val="23"/>
                <w:szCs w:val="23"/>
              </w:rPr>
            </w:pPr>
          </w:p>
        </w:tc>
        <w:tc>
          <w:tcPr>
            <w:tcW w:w="6008" w:type="dxa"/>
            <w:gridSpan w:val="2"/>
          </w:tcPr>
          <w:p w14:paraId="002123D0" w14:textId="16CCCC00" w:rsidR="00D03AB2" w:rsidRPr="00DF7EB8" w:rsidRDefault="00EA6D39" w:rsidP="00D03AB2">
            <w:pPr>
              <w:keepNext/>
              <w:outlineLvl w:val="0"/>
              <w:rPr>
                <w:rFonts w:ascii="Arial" w:hAnsi="Arial" w:cs="Arial"/>
                <w:sz w:val="23"/>
                <w:szCs w:val="23"/>
              </w:rPr>
            </w:pPr>
            <w:r w:rsidRPr="00DF7EB8">
              <w:rPr>
                <w:rFonts w:ascii="Arial" w:hAnsi="Arial" w:cs="Arial"/>
                <w:sz w:val="23"/>
                <w:szCs w:val="23"/>
              </w:rPr>
              <w:t>4</w:t>
            </w:r>
            <w:r w:rsidR="00D03AB2" w:rsidRPr="00DF7EB8">
              <w:rPr>
                <w:rFonts w:ascii="Arial" w:hAnsi="Arial" w:cs="Arial"/>
                <w:sz w:val="23"/>
                <w:szCs w:val="23"/>
              </w:rPr>
              <w:t>. General Investment Programme</w:t>
            </w:r>
          </w:p>
        </w:tc>
        <w:tc>
          <w:tcPr>
            <w:tcW w:w="1984" w:type="dxa"/>
          </w:tcPr>
          <w:p w14:paraId="126792D2" w14:textId="6F5F0D00" w:rsidR="00D03AB2" w:rsidRPr="004D1A4B" w:rsidRDefault="00C70B41" w:rsidP="00D03AB2">
            <w:pPr>
              <w:keepNext/>
              <w:jc w:val="center"/>
              <w:outlineLvl w:val="0"/>
              <w:rPr>
                <w:rFonts w:ascii="Arial" w:hAnsi="Arial" w:cs="Arial"/>
                <w:sz w:val="23"/>
                <w:szCs w:val="23"/>
              </w:rPr>
            </w:pPr>
            <w:r w:rsidRPr="004D1A4B">
              <w:rPr>
                <w:rFonts w:ascii="Arial" w:hAnsi="Arial" w:cs="Arial"/>
                <w:sz w:val="23"/>
                <w:szCs w:val="23"/>
              </w:rPr>
              <w:t>6</w:t>
            </w:r>
            <w:r w:rsidR="004A7604" w:rsidRPr="004D1A4B">
              <w:rPr>
                <w:rFonts w:ascii="Arial" w:hAnsi="Arial" w:cs="Arial"/>
                <w:sz w:val="23"/>
                <w:szCs w:val="23"/>
              </w:rPr>
              <w:t>4</w:t>
            </w:r>
          </w:p>
        </w:tc>
      </w:tr>
      <w:tr w:rsidR="00D03AB2" w:rsidRPr="006E5E06" w14:paraId="490AA4A3" w14:textId="77777777" w:rsidTr="003C1167">
        <w:trPr>
          <w:gridAfter w:val="1"/>
          <w:wAfter w:w="72" w:type="dxa"/>
          <w:cantSplit/>
        </w:trPr>
        <w:tc>
          <w:tcPr>
            <w:tcW w:w="1222" w:type="dxa"/>
            <w:gridSpan w:val="2"/>
          </w:tcPr>
          <w:p w14:paraId="609101CB" w14:textId="77777777" w:rsidR="00D03AB2" w:rsidRPr="00DF7EB8" w:rsidRDefault="00D03AB2" w:rsidP="00D03AB2">
            <w:pPr>
              <w:keepNext/>
              <w:outlineLvl w:val="0"/>
              <w:rPr>
                <w:rFonts w:ascii="Arial" w:hAnsi="Arial" w:cs="Arial"/>
                <w:sz w:val="23"/>
                <w:szCs w:val="23"/>
              </w:rPr>
            </w:pPr>
          </w:p>
        </w:tc>
        <w:tc>
          <w:tcPr>
            <w:tcW w:w="6008" w:type="dxa"/>
            <w:gridSpan w:val="2"/>
          </w:tcPr>
          <w:p w14:paraId="35FEB04C" w14:textId="1EB36D20" w:rsidR="00D03AB2" w:rsidRPr="00DF7EB8" w:rsidRDefault="00EA6D39" w:rsidP="00D03AB2">
            <w:pPr>
              <w:keepNext/>
              <w:outlineLvl w:val="0"/>
              <w:rPr>
                <w:rFonts w:ascii="Arial" w:hAnsi="Arial" w:cs="Arial"/>
                <w:sz w:val="23"/>
                <w:szCs w:val="23"/>
              </w:rPr>
            </w:pPr>
            <w:r w:rsidRPr="00DF7EB8">
              <w:rPr>
                <w:rFonts w:ascii="Arial" w:hAnsi="Arial" w:cs="Arial"/>
                <w:sz w:val="23"/>
                <w:szCs w:val="23"/>
              </w:rPr>
              <w:t>5</w:t>
            </w:r>
            <w:r w:rsidR="00D03AB2" w:rsidRPr="00DF7EB8">
              <w:rPr>
                <w:rFonts w:ascii="Arial" w:hAnsi="Arial" w:cs="Arial"/>
                <w:sz w:val="23"/>
                <w:szCs w:val="23"/>
              </w:rPr>
              <w:t>. Housing Investment Programme</w:t>
            </w:r>
          </w:p>
        </w:tc>
        <w:tc>
          <w:tcPr>
            <w:tcW w:w="1984" w:type="dxa"/>
          </w:tcPr>
          <w:p w14:paraId="06BE2E80" w14:textId="29B2438F" w:rsidR="00D03AB2" w:rsidRPr="004D1A4B" w:rsidRDefault="00C70B41" w:rsidP="00D03AB2">
            <w:pPr>
              <w:keepNext/>
              <w:jc w:val="center"/>
              <w:outlineLvl w:val="0"/>
              <w:rPr>
                <w:rFonts w:ascii="Arial" w:hAnsi="Arial" w:cs="Arial"/>
                <w:sz w:val="23"/>
                <w:szCs w:val="23"/>
              </w:rPr>
            </w:pPr>
            <w:r w:rsidRPr="004D1A4B">
              <w:rPr>
                <w:rFonts w:ascii="Arial" w:hAnsi="Arial" w:cs="Arial"/>
                <w:sz w:val="23"/>
                <w:szCs w:val="23"/>
              </w:rPr>
              <w:t>6</w:t>
            </w:r>
            <w:r w:rsidR="004A7604" w:rsidRPr="004D1A4B">
              <w:rPr>
                <w:rFonts w:ascii="Arial" w:hAnsi="Arial" w:cs="Arial"/>
                <w:sz w:val="23"/>
                <w:szCs w:val="23"/>
              </w:rPr>
              <w:t>5</w:t>
            </w:r>
          </w:p>
        </w:tc>
      </w:tr>
      <w:tr w:rsidR="00D03AB2" w:rsidRPr="006E5E06" w14:paraId="518E2529" w14:textId="77777777" w:rsidTr="003C1167">
        <w:trPr>
          <w:gridAfter w:val="1"/>
          <w:wAfter w:w="72" w:type="dxa"/>
          <w:cantSplit/>
        </w:trPr>
        <w:tc>
          <w:tcPr>
            <w:tcW w:w="1222" w:type="dxa"/>
            <w:gridSpan w:val="2"/>
          </w:tcPr>
          <w:p w14:paraId="385AEDA3" w14:textId="77777777" w:rsidR="00D03AB2" w:rsidRPr="00DF7EB8" w:rsidRDefault="00D03AB2" w:rsidP="00D03AB2">
            <w:pPr>
              <w:keepNext/>
              <w:outlineLvl w:val="0"/>
              <w:rPr>
                <w:rFonts w:ascii="Arial" w:hAnsi="Arial" w:cs="Arial"/>
                <w:sz w:val="23"/>
                <w:szCs w:val="23"/>
              </w:rPr>
            </w:pPr>
          </w:p>
        </w:tc>
        <w:tc>
          <w:tcPr>
            <w:tcW w:w="6008" w:type="dxa"/>
            <w:gridSpan w:val="2"/>
          </w:tcPr>
          <w:p w14:paraId="135B59B0" w14:textId="6F2C48C7" w:rsidR="00D03AB2" w:rsidRPr="00DF7EB8" w:rsidRDefault="00EA6D39" w:rsidP="00D03AB2">
            <w:pPr>
              <w:keepNext/>
              <w:outlineLvl w:val="0"/>
              <w:rPr>
                <w:rFonts w:ascii="Arial" w:hAnsi="Arial" w:cs="Arial"/>
                <w:sz w:val="23"/>
                <w:szCs w:val="23"/>
              </w:rPr>
            </w:pPr>
            <w:r w:rsidRPr="00DF7EB8">
              <w:rPr>
                <w:rFonts w:ascii="Arial" w:hAnsi="Arial" w:cs="Arial"/>
                <w:sz w:val="23"/>
                <w:szCs w:val="23"/>
              </w:rPr>
              <w:t>6</w:t>
            </w:r>
            <w:r w:rsidR="00D03AB2" w:rsidRPr="00DF7EB8">
              <w:rPr>
                <w:rFonts w:ascii="Arial" w:hAnsi="Arial" w:cs="Arial"/>
                <w:sz w:val="23"/>
                <w:szCs w:val="23"/>
              </w:rPr>
              <w:t>. Risk Assessments</w:t>
            </w:r>
          </w:p>
        </w:tc>
        <w:tc>
          <w:tcPr>
            <w:tcW w:w="1984" w:type="dxa"/>
          </w:tcPr>
          <w:p w14:paraId="328C75C0" w14:textId="042B8FA2" w:rsidR="00D03AB2" w:rsidRPr="004D1A4B" w:rsidRDefault="0090046B" w:rsidP="00D03AB2">
            <w:pPr>
              <w:keepNext/>
              <w:jc w:val="center"/>
              <w:outlineLvl w:val="0"/>
              <w:rPr>
                <w:rFonts w:ascii="Arial" w:hAnsi="Arial" w:cs="Arial"/>
                <w:sz w:val="23"/>
                <w:szCs w:val="23"/>
              </w:rPr>
            </w:pPr>
            <w:r w:rsidRPr="004D1A4B">
              <w:rPr>
                <w:rFonts w:ascii="Arial" w:hAnsi="Arial" w:cs="Arial"/>
                <w:sz w:val="23"/>
                <w:szCs w:val="23"/>
              </w:rPr>
              <w:t>6</w:t>
            </w:r>
            <w:r w:rsidR="004A7604" w:rsidRPr="004D1A4B">
              <w:rPr>
                <w:rFonts w:ascii="Arial" w:hAnsi="Arial" w:cs="Arial"/>
                <w:sz w:val="23"/>
                <w:szCs w:val="23"/>
              </w:rPr>
              <w:t>6</w:t>
            </w:r>
          </w:p>
        </w:tc>
      </w:tr>
      <w:tr w:rsidR="00D03AB2" w:rsidRPr="006E5E06" w14:paraId="7F2CFC7B" w14:textId="77777777" w:rsidTr="003C1167">
        <w:trPr>
          <w:gridAfter w:val="1"/>
          <w:wAfter w:w="72" w:type="dxa"/>
          <w:cantSplit/>
        </w:trPr>
        <w:tc>
          <w:tcPr>
            <w:tcW w:w="1222" w:type="dxa"/>
            <w:gridSpan w:val="2"/>
          </w:tcPr>
          <w:p w14:paraId="55346AA3" w14:textId="77777777" w:rsidR="00D03AB2" w:rsidRPr="00DF7EB8" w:rsidRDefault="00D03AB2" w:rsidP="00D03AB2">
            <w:pPr>
              <w:keepNext/>
              <w:outlineLvl w:val="0"/>
              <w:rPr>
                <w:rFonts w:ascii="Arial" w:hAnsi="Arial" w:cs="Arial"/>
                <w:sz w:val="23"/>
                <w:szCs w:val="23"/>
              </w:rPr>
            </w:pPr>
          </w:p>
        </w:tc>
        <w:tc>
          <w:tcPr>
            <w:tcW w:w="6008" w:type="dxa"/>
            <w:gridSpan w:val="2"/>
          </w:tcPr>
          <w:p w14:paraId="56EBD9C3" w14:textId="06315E32" w:rsidR="00D03AB2" w:rsidRPr="00DF7EB8" w:rsidRDefault="00EA6D39" w:rsidP="00D03AB2">
            <w:pPr>
              <w:keepNext/>
              <w:outlineLvl w:val="0"/>
              <w:rPr>
                <w:rFonts w:ascii="Arial" w:hAnsi="Arial" w:cs="Arial"/>
                <w:sz w:val="23"/>
                <w:szCs w:val="23"/>
              </w:rPr>
            </w:pPr>
            <w:r w:rsidRPr="00DF7EB8">
              <w:rPr>
                <w:rFonts w:ascii="Arial" w:hAnsi="Arial" w:cs="Arial"/>
                <w:sz w:val="23"/>
                <w:szCs w:val="23"/>
              </w:rPr>
              <w:t>7</w:t>
            </w:r>
            <w:r w:rsidR="00D03AB2" w:rsidRPr="00DF7EB8">
              <w:rPr>
                <w:rFonts w:ascii="Arial" w:hAnsi="Arial" w:cs="Arial"/>
                <w:sz w:val="23"/>
                <w:szCs w:val="23"/>
              </w:rPr>
              <w:t>. Earmarked Reserves</w:t>
            </w:r>
          </w:p>
        </w:tc>
        <w:tc>
          <w:tcPr>
            <w:tcW w:w="1984" w:type="dxa"/>
          </w:tcPr>
          <w:p w14:paraId="310DF2EB" w14:textId="2B6E5FFA" w:rsidR="00D03AB2" w:rsidRPr="004D1A4B" w:rsidRDefault="00FE76C2" w:rsidP="00D03AB2">
            <w:pPr>
              <w:keepNext/>
              <w:jc w:val="center"/>
              <w:outlineLvl w:val="0"/>
              <w:rPr>
                <w:rFonts w:ascii="Arial" w:hAnsi="Arial" w:cs="Arial"/>
                <w:sz w:val="23"/>
                <w:szCs w:val="23"/>
              </w:rPr>
            </w:pPr>
            <w:r w:rsidRPr="004D1A4B">
              <w:rPr>
                <w:rFonts w:ascii="Arial" w:hAnsi="Arial" w:cs="Arial"/>
                <w:sz w:val="23"/>
                <w:szCs w:val="23"/>
              </w:rPr>
              <w:t>8</w:t>
            </w:r>
            <w:r w:rsidR="00DF7EB8" w:rsidRPr="004D1A4B">
              <w:rPr>
                <w:rFonts w:ascii="Arial" w:hAnsi="Arial" w:cs="Arial"/>
                <w:sz w:val="23"/>
                <w:szCs w:val="23"/>
              </w:rPr>
              <w:t>1</w:t>
            </w:r>
          </w:p>
        </w:tc>
      </w:tr>
      <w:tr w:rsidR="00D03AB2" w:rsidRPr="006E5E06" w14:paraId="7DD7B6D1" w14:textId="77777777" w:rsidTr="003C1167">
        <w:trPr>
          <w:gridAfter w:val="1"/>
          <w:wAfter w:w="72" w:type="dxa"/>
          <w:cantSplit/>
          <w:trHeight w:val="229"/>
        </w:trPr>
        <w:tc>
          <w:tcPr>
            <w:tcW w:w="1222" w:type="dxa"/>
            <w:gridSpan w:val="2"/>
          </w:tcPr>
          <w:p w14:paraId="7BDEF616" w14:textId="77777777" w:rsidR="00D03AB2" w:rsidRPr="00DF7EB8" w:rsidRDefault="00D03AB2" w:rsidP="00D03AB2">
            <w:pPr>
              <w:keepNext/>
              <w:outlineLvl w:val="0"/>
              <w:rPr>
                <w:rFonts w:ascii="Arial" w:hAnsi="Arial" w:cs="Arial"/>
                <w:sz w:val="23"/>
                <w:szCs w:val="23"/>
              </w:rPr>
            </w:pPr>
          </w:p>
        </w:tc>
        <w:tc>
          <w:tcPr>
            <w:tcW w:w="6008" w:type="dxa"/>
            <w:gridSpan w:val="2"/>
          </w:tcPr>
          <w:p w14:paraId="3393B07D" w14:textId="64C6FF45" w:rsidR="00D03AB2" w:rsidRPr="00DF7EB8" w:rsidRDefault="00EA6D39" w:rsidP="00D03AB2">
            <w:pPr>
              <w:keepNext/>
              <w:outlineLvl w:val="0"/>
              <w:rPr>
                <w:rFonts w:ascii="Arial" w:hAnsi="Arial" w:cs="Arial"/>
                <w:sz w:val="23"/>
                <w:szCs w:val="23"/>
              </w:rPr>
            </w:pPr>
            <w:r w:rsidRPr="00DF7EB8">
              <w:rPr>
                <w:rFonts w:ascii="Arial" w:hAnsi="Arial" w:cs="Arial"/>
                <w:sz w:val="23"/>
                <w:szCs w:val="23"/>
              </w:rPr>
              <w:t>8</w:t>
            </w:r>
            <w:r w:rsidR="00D03AB2" w:rsidRPr="00DF7EB8">
              <w:rPr>
                <w:rFonts w:ascii="Arial" w:hAnsi="Arial" w:cs="Arial"/>
                <w:sz w:val="23"/>
                <w:szCs w:val="23"/>
              </w:rPr>
              <w:t>. Fees and Charges Schedules</w:t>
            </w:r>
          </w:p>
        </w:tc>
        <w:tc>
          <w:tcPr>
            <w:tcW w:w="1984" w:type="dxa"/>
          </w:tcPr>
          <w:p w14:paraId="43E6870C" w14:textId="67083AE1" w:rsidR="00D03AB2" w:rsidRPr="004D1A4B" w:rsidRDefault="00FE76C2" w:rsidP="00D03AB2">
            <w:pPr>
              <w:keepNext/>
              <w:jc w:val="center"/>
              <w:outlineLvl w:val="0"/>
              <w:rPr>
                <w:rFonts w:ascii="Arial" w:hAnsi="Arial" w:cs="Arial"/>
                <w:sz w:val="23"/>
                <w:szCs w:val="23"/>
              </w:rPr>
            </w:pPr>
            <w:r w:rsidRPr="004D1A4B">
              <w:rPr>
                <w:rFonts w:ascii="Arial" w:hAnsi="Arial" w:cs="Arial"/>
                <w:sz w:val="23"/>
                <w:szCs w:val="23"/>
              </w:rPr>
              <w:t>8</w:t>
            </w:r>
            <w:r w:rsidR="00DF7EB8" w:rsidRPr="004D1A4B">
              <w:rPr>
                <w:rFonts w:ascii="Arial" w:hAnsi="Arial" w:cs="Arial"/>
                <w:sz w:val="23"/>
                <w:szCs w:val="23"/>
              </w:rPr>
              <w:t>3</w:t>
            </w:r>
          </w:p>
        </w:tc>
      </w:tr>
    </w:tbl>
    <w:p w14:paraId="0FDE469F" w14:textId="77777777" w:rsidR="00531C81" w:rsidRDefault="00531C81">
      <w:pPr>
        <w:pStyle w:val="Heading1"/>
      </w:pPr>
    </w:p>
    <w:p w14:paraId="5D480AF7" w14:textId="77777777" w:rsidR="00531C81" w:rsidRDefault="00531C81" w:rsidP="00531C81">
      <w:pPr>
        <w:tabs>
          <w:tab w:val="left" w:pos="1980"/>
        </w:tabs>
      </w:pPr>
      <w:r>
        <w:tab/>
      </w:r>
    </w:p>
    <w:p w14:paraId="2FD99154" w14:textId="14577B4A" w:rsidR="00384776" w:rsidRPr="00531C81" w:rsidRDefault="00384776" w:rsidP="00531C81">
      <w:pPr>
        <w:tabs>
          <w:tab w:val="left" w:pos="1980"/>
        </w:tabs>
        <w:sectPr w:rsidR="00384776" w:rsidRPr="00531C81" w:rsidSect="00963B6A">
          <w:headerReference w:type="default" r:id="rId15"/>
          <w:footerReference w:type="even" r:id="rId16"/>
          <w:footerReference w:type="default" r:id="rId17"/>
          <w:headerReference w:type="first" r:id="rId18"/>
          <w:footerReference w:type="first" r:id="rId19"/>
          <w:pgSz w:w="11906" w:h="16838"/>
          <w:pgMar w:top="1440" w:right="1106" w:bottom="567" w:left="1800" w:header="708" w:footer="708" w:gutter="0"/>
          <w:pgBorders w:offsetFrom="page">
            <w:bottom w:val="single" w:sz="4" w:space="24" w:color="auto"/>
          </w:pgBorders>
          <w:cols w:space="708"/>
          <w:docGrid w:linePitch="360"/>
        </w:sectPr>
      </w:pPr>
    </w:p>
    <w:p w14:paraId="48A9170F" w14:textId="77777777" w:rsidR="00384776" w:rsidRPr="00C07607" w:rsidRDefault="00384776">
      <w:pPr>
        <w:pStyle w:val="Heading1"/>
        <w:rPr>
          <w:color w:val="C45911"/>
          <w:sz w:val="32"/>
        </w:rPr>
      </w:pPr>
      <w:r w:rsidRPr="00C07607">
        <w:rPr>
          <w:color w:val="C45911"/>
          <w:sz w:val="32"/>
        </w:rPr>
        <w:t>Foreword</w:t>
      </w:r>
    </w:p>
    <w:p w14:paraId="19E68899" w14:textId="77777777" w:rsidR="00384776" w:rsidRPr="00DD57B2" w:rsidRDefault="00384776">
      <w:pPr>
        <w:pStyle w:val="xl24"/>
        <w:overflowPunct/>
        <w:autoSpaceDE/>
        <w:autoSpaceDN/>
        <w:adjustRightInd/>
        <w:spacing w:before="0" w:after="0"/>
        <w:textAlignment w:val="auto"/>
        <w:rPr>
          <w:szCs w:val="24"/>
        </w:rPr>
      </w:pPr>
    </w:p>
    <w:p w14:paraId="3C130982" w14:textId="7305525D" w:rsidR="00384776" w:rsidRPr="00131521" w:rsidRDefault="00384776" w:rsidP="00454D03">
      <w:pPr>
        <w:jc w:val="both"/>
        <w:rPr>
          <w:rFonts w:ascii="Arial" w:hAnsi="Arial" w:cs="Arial"/>
          <w:b/>
        </w:rPr>
      </w:pPr>
      <w:r w:rsidRPr="00131521">
        <w:rPr>
          <w:rFonts w:ascii="Arial" w:hAnsi="Arial" w:cs="Arial"/>
          <w:b/>
        </w:rPr>
        <w:t xml:space="preserve">Welcome to this latest version of the City Council’s </w:t>
      </w:r>
      <w:r w:rsidR="00251492" w:rsidRPr="00131521">
        <w:rPr>
          <w:rFonts w:ascii="Arial" w:hAnsi="Arial" w:cs="Arial"/>
          <w:b/>
        </w:rPr>
        <w:t>Medium Term</w:t>
      </w:r>
      <w:r w:rsidRPr="00131521">
        <w:rPr>
          <w:rFonts w:ascii="Arial" w:hAnsi="Arial" w:cs="Arial"/>
          <w:b/>
        </w:rPr>
        <w:t xml:space="preserve"> Financial S</w:t>
      </w:r>
      <w:r w:rsidR="00FA3EAD" w:rsidRPr="00131521">
        <w:rPr>
          <w:rFonts w:ascii="Arial" w:hAnsi="Arial" w:cs="Arial"/>
          <w:b/>
        </w:rPr>
        <w:t>trategy covering the period 202</w:t>
      </w:r>
      <w:r w:rsidR="00131521" w:rsidRPr="00131521">
        <w:rPr>
          <w:rFonts w:ascii="Arial" w:hAnsi="Arial" w:cs="Arial"/>
          <w:b/>
        </w:rPr>
        <w:t>6-</w:t>
      </w:r>
      <w:r w:rsidR="00911F58" w:rsidRPr="00131521">
        <w:rPr>
          <w:rFonts w:ascii="Arial" w:hAnsi="Arial" w:cs="Arial"/>
          <w:b/>
        </w:rPr>
        <w:t>20</w:t>
      </w:r>
      <w:r w:rsidR="00D56DDD" w:rsidRPr="00131521">
        <w:rPr>
          <w:rFonts w:ascii="Arial" w:hAnsi="Arial" w:cs="Arial"/>
          <w:b/>
        </w:rPr>
        <w:t>3</w:t>
      </w:r>
      <w:r w:rsidR="00131521" w:rsidRPr="00131521">
        <w:rPr>
          <w:rFonts w:ascii="Arial" w:hAnsi="Arial" w:cs="Arial"/>
          <w:b/>
        </w:rPr>
        <w:t>1</w:t>
      </w:r>
      <w:r w:rsidRPr="00131521">
        <w:rPr>
          <w:rFonts w:ascii="Arial" w:hAnsi="Arial" w:cs="Arial"/>
          <w:b/>
        </w:rPr>
        <w:t>.</w:t>
      </w:r>
    </w:p>
    <w:p w14:paraId="41609558" w14:textId="77777777" w:rsidR="00327F1C" w:rsidRPr="00131521" w:rsidRDefault="00327F1C" w:rsidP="00454D03">
      <w:pPr>
        <w:jc w:val="both"/>
        <w:rPr>
          <w:rFonts w:ascii="Arial" w:hAnsi="Arial" w:cs="Arial"/>
          <w:b/>
        </w:rPr>
      </w:pPr>
    </w:p>
    <w:p w14:paraId="314E37FF" w14:textId="7E9D7DC3" w:rsidR="00893CD1" w:rsidRPr="00131521" w:rsidRDefault="00327F1C" w:rsidP="00454D03">
      <w:pPr>
        <w:jc w:val="both"/>
        <w:rPr>
          <w:rFonts w:ascii="Arial" w:hAnsi="Arial" w:cs="Arial"/>
        </w:rPr>
      </w:pPr>
      <w:r w:rsidRPr="00131521">
        <w:rPr>
          <w:rFonts w:ascii="Arial" w:hAnsi="Arial" w:cs="Arial"/>
        </w:rPr>
        <w:t xml:space="preserve">The City of Lincoln Council is a high-performing and innovative organisation, focussed on providing quality services and delivering outcomes that matter.  </w:t>
      </w:r>
      <w:r w:rsidR="001A6ED0" w:rsidRPr="00131521">
        <w:rPr>
          <w:rFonts w:ascii="Arial" w:hAnsi="Arial" w:cs="Arial"/>
        </w:rPr>
        <w:t>It’s</w:t>
      </w:r>
      <w:r w:rsidR="00C73246" w:rsidRPr="00131521">
        <w:rPr>
          <w:rFonts w:ascii="Arial" w:hAnsi="Arial" w:cs="Arial"/>
        </w:rPr>
        <w:t xml:space="preserve"> </w:t>
      </w:r>
      <w:r w:rsidR="00A8694B" w:rsidRPr="00131521">
        <w:rPr>
          <w:rFonts w:ascii="Arial" w:hAnsi="Arial" w:cs="Arial"/>
        </w:rPr>
        <w:t>Vision 2030</w:t>
      </w:r>
      <w:r w:rsidR="00C42AB0" w:rsidRPr="00131521">
        <w:rPr>
          <w:rFonts w:ascii="Arial" w:hAnsi="Arial" w:cs="Arial"/>
        </w:rPr>
        <w:t xml:space="preserve"> </w:t>
      </w:r>
      <w:r w:rsidRPr="00131521">
        <w:rPr>
          <w:rFonts w:ascii="Arial" w:hAnsi="Arial" w:cs="Arial"/>
        </w:rPr>
        <w:t>is an ambitious strategic plan</w:t>
      </w:r>
      <w:r w:rsidR="00406C0D" w:rsidRPr="00131521">
        <w:rPr>
          <w:rFonts w:ascii="Arial" w:hAnsi="Arial" w:cs="Arial"/>
        </w:rPr>
        <w:t xml:space="preserve"> that</w:t>
      </w:r>
      <w:r w:rsidRPr="00131521">
        <w:rPr>
          <w:rFonts w:ascii="Arial" w:hAnsi="Arial" w:cs="Arial"/>
        </w:rPr>
        <w:t xml:space="preserve"> </w:t>
      </w:r>
      <w:r w:rsidR="00212E3D" w:rsidRPr="00131521">
        <w:rPr>
          <w:rFonts w:ascii="Arial" w:hAnsi="Arial" w:cs="Arial"/>
          <w:lang w:eastAsia="en-GB"/>
        </w:rPr>
        <w:t>builds on the progress of Visions 2025 and 2020, presenting a roadmap to address today’s most pressing issues while embracing opportunities for a brighter future</w:t>
      </w:r>
      <w:r w:rsidR="00406C0D" w:rsidRPr="00131521">
        <w:rPr>
          <w:rFonts w:ascii="Arial" w:hAnsi="Arial" w:cs="Arial"/>
        </w:rPr>
        <w:t xml:space="preserve">, </w:t>
      </w:r>
      <w:r w:rsidRPr="00131521">
        <w:rPr>
          <w:rFonts w:ascii="Arial" w:hAnsi="Arial" w:cs="Arial"/>
        </w:rPr>
        <w:t>he</w:t>
      </w:r>
      <w:r w:rsidR="00564AE0" w:rsidRPr="00131521">
        <w:rPr>
          <w:rFonts w:ascii="Arial" w:hAnsi="Arial" w:cs="Arial"/>
        </w:rPr>
        <w:t>lping to transform both the C</w:t>
      </w:r>
      <w:r w:rsidRPr="00131521">
        <w:rPr>
          <w:rFonts w:ascii="Arial" w:hAnsi="Arial" w:cs="Arial"/>
        </w:rPr>
        <w:t xml:space="preserve">ouncil and the </w:t>
      </w:r>
      <w:r w:rsidR="00564AE0" w:rsidRPr="00131521">
        <w:rPr>
          <w:rFonts w:ascii="Arial" w:hAnsi="Arial" w:cs="Arial"/>
        </w:rPr>
        <w:t>C</w:t>
      </w:r>
      <w:r w:rsidRPr="00131521">
        <w:rPr>
          <w:rFonts w:ascii="Arial" w:hAnsi="Arial" w:cs="Arial"/>
        </w:rPr>
        <w:t xml:space="preserve">ity through </w:t>
      </w:r>
      <w:r w:rsidR="001A6ED0" w:rsidRPr="00131521">
        <w:rPr>
          <w:rFonts w:ascii="Arial" w:hAnsi="Arial" w:cs="Arial"/>
        </w:rPr>
        <w:t>it’s five</w:t>
      </w:r>
      <w:r w:rsidRPr="00131521">
        <w:rPr>
          <w:rFonts w:ascii="Arial" w:hAnsi="Arial" w:cs="Arial"/>
        </w:rPr>
        <w:t xml:space="preserve"> strategic priorities.  </w:t>
      </w:r>
    </w:p>
    <w:p w14:paraId="20C7021D" w14:textId="77777777" w:rsidR="001A6ED0" w:rsidRPr="00131521" w:rsidRDefault="001A6ED0" w:rsidP="00454D03">
      <w:pPr>
        <w:jc w:val="both"/>
        <w:rPr>
          <w:rFonts w:ascii="Arial" w:hAnsi="Arial" w:cs="Arial"/>
        </w:rPr>
      </w:pPr>
    </w:p>
    <w:p w14:paraId="0DA8C929" w14:textId="5DC22C17" w:rsidR="003557DC" w:rsidRPr="00131521" w:rsidRDefault="001A6ED0" w:rsidP="003557DC">
      <w:pPr>
        <w:pStyle w:val="Heading1"/>
        <w:jc w:val="both"/>
        <w:rPr>
          <w:b w:val="0"/>
          <w:color w:val="auto"/>
          <w:sz w:val="24"/>
          <w:lang w:val="en-US"/>
        </w:rPr>
      </w:pPr>
      <w:r w:rsidRPr="00131521">
        <w:rPr>
          <w:b w:val="0"/>
          <w:color w:val="auto"/>
          <w:sz w:val="24"/>
          <w:lang w:val="en-US"/>
        </w:rPr>
        <w:t>This Strategy sets out how the Council will use it’s financial resources to underpin it’s Vision 20</w:t>
      </w:r>
      <w:r w:rsidR="00A94ACC" w:rsidRPr="00131521">
        <w:rPr>
          <w:b w:val="0"/>
          <w:color w:val="auto"/>
          <w:sz w:val="24"/>
          <w:lang w:val="en-US"/>
        </w:rPr>
        <w:t>30</w:t>
      </w:r>
      <w:r w:rsidRPr="00131521">
        <w:rPr>
          <w:b w:val="0"/>
          <w:color w:val="auto"/>
          <w:sz w:val="24"/>
          <w:lang w:val="en-US"/>
        </w:rPr>
        <w:t xml:space="preserve"> and strategic priorities</w:t>
      </w:r>
      <w:r w:rsidR="00266015">
        <w:rPr>
          <w:b w:val="0"/>
          <w:color w:val="auto"/>
          <w:sz w:val="24"/>
          <w:lang w:val="en-US"/>
        </w:rPr>
        <w:t xml:space="preserve"> </w:t>
      </w:r>
      <w:r w:rsidR="00411DF6">
        <w:rPr>
          <w:b w:val="0"/>
          <w:color w:val="auto"/>
          <w:sz w:val="24"/>
          <w:lang w:val="en-US"/>
        </w:rPr>
        <w:t>and maintain stability while preparing for the transition to a new unitary authority through Local Government Reorganisation (LGR)</w:t>
      </w:r>
      <w:r w:rsidRPr="00131521">
        <w:rPr>
          <w:b w:val="0"/>
          <w:color w:val="auto"/>
          <w:sz w:val="24"/>
          <w:lang w:val="en-US"/>
        </w:rPr>
        <w:t xml:space="preserve">.  </w:t>
      </w:r>
      <w:r w:rsidRPr="00131521">
        <w:rPr>
          <w:b w:val="0"/>
          <w:color w:val="auto"/>
          <w:sz w:val="24"/>
        </w:rPr>
        <w:t>It is the Council’s commitment to use the financial resources it employs over the coming years to make a positive difference to the city and its residents</w:t>
      </w:r>
      <w:r w:rsidRPr="00131521">
        <w:rPr>
          <w:b w:val="0"/>
          <w:color w:val="auto"/>
        </w:rPr>
        <w:t xml:space="preserve">. </w:t>
      </w:r>
    </w:p>
    <w:p w14:paraId="1F39ED55" w14:textId="77777777" w:rsidR="003557DC" w:rsidRPr="007752B4" w:rsidRDefault="003557DC" w:rsidP="00DB237A">
      <w:pPr>
        <w:jc w:val="both"/>
        <w:rPr>
          <w:rFonts w:ascii="Arial" w:hAnsi="Arial" w:cs="Arial"/>
          <w:highlight w:val="yellow"/>
        </w:rPr>
      </w:pPr>
    </w:p>
    <w:p w14:paraId="6EDCD93F" w14:textId="2014F4BC" w:rsidR="00CC1A4D" w:rsidRPr="00B47418" w:rsidRDefault="007B5617" w:rsidP="00066356">
      <w:pPr>
        <w:jc w:val="both"/>
        <w:rPr>
          <w:rFonts w:ascii="Arial" w:hAnsi="Arial" w:cs="Arial"/>
        </w:rPr>
      </w:pPr>
      <w:r w:rsidRPr="00B47418">
        <w:rPr>
          <w:rFonts w:ascii="Arial" w:hAnsi="Arial" w:cs="Arial"/>
        </w:rPr>
        <w:t xml:space="preserve">The refresh of </w:t>
      </w:r>
      <w:r w:rsidR="00015973" w:rsidRPr="00B47418">
        <w:rPr>
          <w:rFonts w:ascii="Arial" w:hAnsi="Arial" w:cs="Arial"/>
        </w:rPr>
        <w:t xml:space="preserve">the </w:t>
      </w:r>
      <w:r w:rsidRPr="00B47418">
        <w:rPr>
          <w:rFonts w:ascii="Arial" w:hAnsi="Arial" w:cs="Arial"/>
        </w:rPr>
        <w:t xml:space="preserve">MTFS </w:t>
      </w:r>
      <w:r w:rsidR="00CC1A4D" w:rsidRPr="00B47418">
        <w:rPr>
          <w:rFonts w:ascii="Arial" w:hAnsi="Arial" w:cs="Arial"/>
        </w:rPr>
        <w:t>is set in the context of fundamental reforms to the distribution of central government funding to individual authorities, through the long awaited review of needs and resources</w:t>
      </w:r>
      <w:r w:rsidR="00DD7368" w:rsidRPr="00B47418">
        <w:rPr>
          <w:rFonts w:ascii="Arial" w:hAnsi="Arial" w:cs="Arial"/>
        </w:rPr>
        <w:t xml:space="preserve"> – the Fair Funding Review (FFR) 2.0 – and the reset of the Business Rates Retention (BRR) system.  Together </w:t>
      </w:r>
      <w:r w:rsidR="00A43AF3" w:rsidRPr="00B47418">
        <w:rPr>
          <w:rFonts w:ascii="Arial" w:hAnsi="Arial" w:cs="Arial"/>
        </w:rPr>
        <w:t xml:space="preserve">these represent the </w:t>
      </w:r>
      <w:r w:rsidR="00E43D51" w:rsidRPr="00B47418">
        <w:rPr>
          <w:rFonts w:ascii="Arial" w:hAnsi="Arial" w:cs="Arial"/>
        </w:rPr>
        <w:t xml:space="preserve">most significant overhaul of local government </w:t>
      </w:r>
      <w:r w:rsidR="00E76902" w:rsidRPr="00B47418">
        <w:rPr>
          <w:rFonts w:ascii="Arial" w:hAnsi="Arial" w:cs="Arial"/>
        </w:rPr>
        <w:t xml:space="preserve">funding since 2013/14 and have resulted in a pivotal moment </w:t>
      </w:r>
      <w:r w:rsidR="00B47418" w:rsidRPr="00B47418">
        <w:rPr>
          <w:rFonts w:ascii="Arial" w:hAnsi="Arial" w:cs="Arial"/>
        </w:rPr>
        <w:t>for the City of Lincoln Council and the across the sector</w:t>
      </w:r>
      <w:r w:rsidR="00A9054F">
        <w:rPr>
          <w:rFonts w:ascii="Arial" w:hAnsi="Arial" w:cs="Arial"/>
        </w:rPr>
        <w:t xml:space="preserve"> as a whole</w:t>
      </w:r>
      <w:r w:rsidR="00B47418" w:rsidRPr="00B47418">
        <w:rPr>
          <w:rFonts w:ascii="Arial" w:hAnsi="Arial" w:cs="Arial"/>
        </w:rPr>
        <w:t>.</w:t>
      </w:r>
    </w:p>
    <w:p w14:paraId="443CE1D3" w14:textId="77777777" w:rsidR="00CC1A4D" w:rsidRDefault="00CC1A4D" w:rsidP="00066356">
      <w:pPr>
        <w:jc w:val="both"/>
        <w:rPr>
          <w:rFonts w:ascii="Arial" w:hAnsi="Arial" w:cs="Arial"/>
          <w:highlight w:val="yellow"/>
        </w:rPr>
      </w:pPr>
    </w:p>
    <w:p w14:paraId="55B00D68" w14:textId="2AD623A7" w:rsidR="0079023E" w:rsidRDefault="00FE7C12" w:rsidP="00066356">
      <w:pPr>
        <w:jc w:val="both"/>
        <w:rPr>
          <w:rFonts w:ascii="Arial" w:hAnsi="Arial" w:cs="Arial"/>
        </w:rPr>
      </w:pPr>
      <w:r w:rsidRPr="00671D14">
        <w:rPr>
          <w:rFonts w:ascii="Arial" w:hAnsi="Arial" w:cs="Arial"/>
          <w:lang w:eastAsia="en-GB"/>
        </w:rPr>
        <w:t>F</w:t>
      </w:r>
      <w:r w:rsidR="000878E1" w:rsidRPr="00671D14">
        <w:rPr>
          <w:rFonts w:ascii="Arial" w:hAnsi="Arial" w:cs="Arial"/>
          <w:lang w:eastAsia="en-GB"/>
        </w:rPr>
        <w:t>ifteen</w:t>
      </w:r>
      <w:r w:rsidRPr="00671D14">
        <w:rPr>
          <w:rFonts w:ascii="Arial" w:hAnsi="Arial" w:cs="Arial"/>
          <w:lang w:eastAsia="en-GB"/>
        </w:rPr>
        <w:t xml:space="preserve"> years after the onset of austerity measures</w:t>
      </w:r>
      <w:r w:rsidR="00EC53CC" w:rsidRPr="00671D14">
        <w:rPr>
          <w:rFonts w:ascii="Arial" w:hAnsi="Arial" w:cs="Arial"/>
          <w:lang w:eastAsia="en-GB"/>
        </w:rPr>
        <w:t xml:space="preserve">, that devastated the Council’s funding, </w:t>
      </w:r>
      <w:r w:rsidR="009C5F41" w:rsidRPr="00671D14">
        <w:rPr>
          <w:rFonts w:ascii="Arial" w:hAnsi="Arial" w:cs="Arial"/>
          <w:lang w:eastAsia="en-GB"/>
        </w:rPr>
        <w:t xml:space="preserve">the Government has </w:t>
      </w:r>
      <w:r w:rsidR="00960600" w:rsidRPr="00671D14">
        <w:rPr>
          <w:rFonts w:ascii="Arial" w:hAnsi="Arial" w:cs="Arial"/>
          <w:lang w:eastAsia="en-GB"/>
        </w:rPr>
        <w:t xml:space="preserve">taken a significant step in addressing the structural unfairness of the </w:t>
      </w:r>
      <w:r w:rsidR="00CC4AF6" w:rsidRPr="00671D14">
        <w:rPr>
          <w:rFonts w:ascii="Arial" w:hAnsi="Arial" w:cs="Arial"/>
          <w:lang w:eastAsia="en-GB"/>
        </w:rPr>
        <w:t xml:space="preserve">current system </w:t>
      </w:r>
      <w:r w:rsidR="002F3466">
        <w:rPr>
          <w:rFonts w:ascii="Arial" w:hAnsi="Arial" w:cs="Arial"/>
          <w:lang w:eastAsia="en-GB"/>
        </w:rPr>
        <w:t xml:space="preserve">which </w:t>
      </w:r>
      <w:r w:rsidR="00CF15B7" w:rsidRPr="00671D14">
        <w:rPr>
          <w:rFonts w:ascii="Arial" w:hAnsi="Arial" w:cs="Arial"/>
          <w:lang w:eastAsia="en-GB"/>
        </w:rPr>
        <w:t xml:space="preserve">disproportionately </w:t>
      </w:r>
      <w:r w:rsidR="00CC4AF6" w:rsidRPr="00671D14">
        <w:rPr>
          <w:rFonts w:ascii="Arial" w:hAnsi="Arial" w:cs="Arial"/>
          <w:lang w:eastAsia="en-GB"/>
        </w:rPr>
        <w:t>penalis</w:t>
      </w:r>
      <w:r w:rsidR="00C371DF">
        <w:rPr>
          <w:rFonts w:ascii="Arial" w:hAnsi="Arial" w:cs="Arial"/>
          <w:lang w:eastAsia="en-GB"/>
        </w:rPr>
        <w:t>es</w:t>
      </w:r>
      <w:r w:rsidR="00CC4AF6" w:rsidRPr="00671D14">
        <w:rPr>
          <w:rFonts w:ascii="Arial" w:hAnsi="Arial" w:cs="Arial"/>
          <w:lang w:eastAsia="en-GB"/>
        </w:rPr>
        <w:t xml:space="preserve"> </w:t>
      </w:r>
      <w:r w:rsidR="00CF15B7" w:rsidRPr="00671D14">
        <w:rPr>
          <w:rFonts w:ascii="Arial" w:hAnsi="Arial" w:cs="Arial"/>
          <w:lang w:eastAsia="en-GB"/>
        </w:rPr>
        <w:t>authorities, like Lincoln, in more deprived areas.</w:t>
      </w:r>
      <w:r w:rsidR="007348D5" w:rsidRPr="00671D14">
        <w:rPr>
          <w:rFonts w:ascii="Arial" w:hAnsi="Arial" w:cs="Arial"/>
          <w:lang w:eastAsia="en-GB"/>
        </w:rPr>
        <w:t xml:space="preserve">  </w:t>
      </w:r>
      <w:r w:rsidR="0023049D" w:rsidRPr="00671D14">
        <w:rPr>
          <w:rFonts w:ascii="Arial" w:hAnsi="Arial" w:cs="Arial"/>
          <w:lang w:eastAsia="en-GB"/>
        </w:rPr>
        <w:t xml:space="preserve">The FFR </w:t>
      </w:r>
      <w:r w:rsidR="0023049D">
        <w:rPr>
          <w:rFonts w:ascii="Arial" w:hAnsi="Arial" w:cs="Arial"/>
          <w:lang w:eastAsia="en-GB"/>
        </w:rPr>
        <w:t xml:space="preserve">and subsequent Local Government Finance Settlement </w:t>
      </w:r>
      <w:r w:rsidR="00F06ED7">
        <w:rPr>
          <w:rFonts w:ascii="Arial" w:hAnsi="Arial" w:cs="Arial"/>
          <w:lang w:eastAsia="en-GB"/>
        </w:rPr>
        <w:t xml:space="preserve">are </w:t>
      </w:r>
      <w:r w:rsidR="0023049D" w:rsidRPr="00671D14">
        <w:rPr>
          <w:rFonts w:ascii="Arial" w:hAnsi="Arial" w:cs="Arial"/>
          <w:lang w:eastAsia="en-GB"/>
        </w:rPr>
        <w:t>a significant step towards rectifying years of underfunding that has affected the City, it’s communities, residents and businesses</w:t>
      </w:r>
    </w:p>
    <w:p w14:paraId="22ABF794" w14:textId="77777777" w:rsidR="0079023E" w:rsidRDefault="0079023E" w:rsidP="00066356">
      <w:pPr>
        <w:jc w:val="both"/>
        <w:rPr>
          <w:rFonts w:ascii="Arial" w:hAnsi="Arial" w:cs="Arial"/>
        </w:rPr>
      </w:pPr>
    </w:p>
    <w:p w14:paraId="4B3DCFA1" w14:textId="71D15034" w:rsidR="00F65D1C" w:rsidRDefault="00380145" w:rsidP="00066356">
      <w:pPr>
        <w:jc w:val="both"/>
        <w:rPr>
          <w:rFonts w:ascii="Arial" w:hAnsi="Arial" w:cs="Arial"/>
        </w:rPr>
      </w:pPr>
      <w:r>
        <w:rPr>
          <w:rFonts w:ascii="Arial" w:hAnsi="Arial" w:cs="Arial"/>
        </w:rPr>
        <w:t xml:space="preserve">The Council has long campaigned for </w:t>
      </w:r>
      <w:r w:rsidR="00756C16">
        <w:rPr>
          <w:rFonts w:ascii="Arial" w:hAnsi="Arial" w:cs="Arial"/>
        </w:rPr>
        <w:t>a review of the needs and resources o</w:t>
      </w:r>
      <w:r w:rsidR="00936611">
        <w:rPr>
          <w:rFonts w:ascii="Arial" w:hAnsi="Arial" w:cs="Arial"/>
        </w:rPr>
        <w:t>f</w:t>
      </w:r>
      <w:r w:rsidR="00756C16">
        <w:rPr>
          <w:rFonts w:ascii="Arial" w:hAnsi="Arial" w:cs="Arial"/>
        </w:rPr>
        <w:t xml:space="preserve"> local authorities,  to ensure</w:t>
      </w:r>
      <w:r w:rsidR="00CB22B1">
        <w:rPr>
          <w:rFonts w:ascii="Arial" w:hAnsi="Arial" w:cs="Arial"/>
        </w:rPr>
        <w:t>;</w:t>
      </w:r>
      <w:r w:rsidR="00756C16">
        <w:rPr>
          <w:rFonts w:ascii="Arial" w:hAnsi="Arial" w:cs="Arial"/>
        </w:rPr>
        <w:t xml:space="preserve"> that the </w:t>
      </w:r>
      <w:r w:rsidR="001528E0">
        <w:rPr>
          <w:rFonts w:ascii="Arial" w:hAnsi="Arial" w:cs="Arial"/>
        </w:rPr>
        <w:t xml:space="preserve">outdated </w:t>
      </w:r>
      <w:r w:rsidR="00756C16">
        <w:rPr>
          <w:rFonts w:ascii="Arial" w:hAnsi="Arial" w:cs="Arial"/>
        </w:rPr>
        <w:t xml:space="preserve">methodology used </w:t>
      </w:r>
      <w:r w:rsidR="000305A1">
        <w:rPr>
          <w:rFonts w:ascii="Arial" w:hAnsi="Arial" w:cs="Arial"/>
        </w:rPr>
        <w:t xml:space="preserve">more realistically </w:t>
      </w:r>
      <w:r w:rsidR="00436D8F">
        <w:rPr>
          <w:rFonts w:ascii="Arial" w:hAnsi="Arial" w:cs="Arial"/>
        </w:rPr>
        <w:t xml:space="preserve">reflected </w:t>
      </w:r>
      <w:r w:rsidR="000305A1">
        <w:rPr>
          <w:rFonts w:ascii="Arial" w:hAnsi="Arial" w:cs="Arial"/>
        </w:rPr>
        <w:t>the current demands and costs in different areas</w:t>
      </w:r>
      <w:r w:rsidR="00CB22B1">
        <w:rPr>
          <w:rFonts w:ascii="Arial" w:hAnsi="Arial" w:cs="Arial"/>
        </w:rPr>
        <w:t>;</w:t>
      </w:r>
      <w:r w:rsidR="00390B04">
        <w:rPr>
          <w:rFonts w:ascii="Arial" w:hAnsi="Arial" w:cs="Arial"/>
        </w:rPr>
        <w:t xml:space="preserve"> </w:t>
      </w:r>
      <w:r w:rsidR="000305A1">
        <w:rPr>
          <w:rFonts w:ascii="Arial" w:hAnsi="Arial" w:cs="Arial"/>
        </w:rPr>
        <w:t xml:space="preserve">that </w:t>
      </w:r>
      <w:r w:rsidR="00936611">
        <w:rPr>
          <w:rFonts w:ascii="Arial" w:hAnsi="Arial" w:cs="Arial"/>
        </w:rPr>
        <w:t>decades old</w:t>
      </w:r>
      <w:r w:rsidR="00424E67">
        <w:rPr>
          <w:rFonts w:ascii="Arial" w:hAnsi="Arial" w:cs="Arial"/>
        </w:rPr>
        <w:t xml:space="preserve"> data </w:t>
      </w:r>
      <w:r w:rsidR="00811EB1">
        <w:rPr>
          <w:rFonts w:ascii="Arial" w:hAnsi="Arial" w:cs="Arial"/>
        </w:rPr>
        <w:t xml:space="preserve">was </w:t>
      </w:r>
      <w:r w:rsidR="00DB70A8">
        <w:rPr>
          <w:rFonts w:ascii="Arial" w:hAnsi="Arial" w:cs="Arial"/>
        </w:rPr>
        <w:t>updated</w:t>
      </w:r>
      <w:r w:rsidR="00CB22B1">
        <w:rPr>
          <w:rFonts w:ascii="Arial" w:hAnsi="Arial" w:cs="Arial"/>
        </w:rPr>
        <w:t>;</w:t>
      </w:r>
      <w:r w:rsidR="00390B04">
        <w:rPr>
          <w:rFonts w:ascii="Arial" w:hAnsi="Arial" w:cs="Arial"/>
        </w:rPr>
        <w:t xml:space="preserve"> and that the differing abilities to raise funds locally w</w:t>
      </w:r>
      <w:r w:rsidR="000E4F12">
        <w:rPr>
          <w:rFonts w:ascii="Arial" w:hAnsi="Arial" w:cs="Arial"/>
        </w:rPr>
        <w:t>ere</w:t>
      </w:r>
      <w:r w:rsidR="00390B04">
        <w:rPr>
          <w:rFonts w:ascii="Arial" w:hAnsi="Arial" w:cs="Arial"/>
        </w:rPr>
        <w:t xml:space="preserve"> taken into account</w:t>
      </w:r>
      <w:r w:rsidR="00936611">
        <w:rPr>
          <w:rFonts w:ascii="Arial" w:hAnsi="Arial" w:cs="Arial"/>
        </w:rPr>
        <w:t>.</w:t>
      </w:r>
    </w:p>
    <w:p w14:paraId="3308B893" w14:textId="77777777" w:rsidR="00C44910" w:rsidRDefault="00C44910" w:rsidP="00066356">
      <w:pPr>
        <w:jc w:val="both"/>
        <w:rPr>
          <w:rFonts w:ascii="Arial" w:hAnsi="Arial" w:cs="Arial"/>
        </w:rPr>
      </w:pPr>
    </w:p>
    <w:p w14:paraId="6E9608A8" w14:textId="358EE21A" w:rsidR="00C44910" w:rsidRDefault="00C44910" w:rsidP="00066356">
      <w:pPr>
        <w:jc w:val="both"/>
        <w:rPr>
          <w:rFonts w:ascii="Arial" w:hAnsi="Arial" w:cs="Arial"/>
        </w:rPr>
      </w:pPr>
      <w:r>
        <w:rPr>
          <w:rFonts w:ascii="Arial" w:hAnsi="Arial" w:cs="Arial"/>
        </w:rPr>
        <w:t>The announcement of the FFR has revealed the scale of the historic un</w:t>
      </w:r>
      <w:r w:rsidR="009C6A60">
        <w:rPr>
          <w:rFonts w:ascii="Arial" w:hAnsi="Arial" w:cs="Arial"/>
        </w:rPr>
        <w:t>der</w:t>
      </w:r>
      <w:r>
        <w:rPr>
          <w:rFonts w:ascii="Arial" w:hAnsi="Arial" w:cs="Arial"/>
        </w:rPr>
        <w:t xml:space="preserve">funding that the Council has endured </w:t>
      </w:r>
      <w:r w:rsidR="00C841B9">
        <w:rPr>
          <w:rFonts w:ascii="Arial" w:hAnsi="Arial" w:cs="Arial"/>
        </w:rPr>
        <w:t>since 2011.  The 202</w:t>
      </w:r>
      <w:r w:rsidR="00447AF0">
        <w:rPr>
          <w:rFonts w:ascii="Arial" w:hAnsi="Arial" w:cs="Arial"/>
        </w:rPr>
        <w:t>8</w:t>
      </w:r>
      <w:r w:rsidR="00C841B9">
        <w:rPr>
          <w:rFonts w:ascii="Arial" w:hAnsi="Arial" w:cs="Arial"/>
        </w:rPr>
        <w:t>/2</w:t>
      </w:r>
      <w:r w:rsidR="00447AF0">
        <w:rPr>
          <w:rFonts w:ascii="Arial" w:hAnsi="Arial" w:cs="Arial"/>
        </w:rPr>
        <w:t>9</w:t>
      </w:r>
      <w:r w:rsidR="00C841B9">
        <w:rPr>
          <w:rFonts w:ascii="Arial" w:hAnsi="Arial" w:cs="Arial"/>
        </w:rPr>
        <w:t xml:space="preserve"> </w:t>
      </w:r>
      <w:r w:rsidR="007B3779">
        <w:rPr>
          <w:rFonts w:ascii="Arial" w:hAnsi="Arial" w:cs="Arial"/>
        </w:rPr>
        <w:t>Fair Funding Allocation (FFA)</w:t>
      </w:r>
      <w:r w:rsidR="00ED162B">
        <w:rPr>
          <w:rFonts w:ascii="Arial" w:hAnsi="Arial" w:cs="Arial"/>
        </w:rPr>
        <w:t>,</w:t>
      </w:r>
      <w:r w:rsidR="00B619C9">
        <w:rPr>
          <w:rFonts w:ascii="Arial" w:hAnsi="Arial" w:cs="Arial"/>
        </w:rPr>
        <w:t xml:space="preserve"> </w:t>
      </w:r>
      <w:r w:rsidR="00A11165">
        <w:rPr>
          <w:rFonts w:ascii="Arial" w:hAnsi="Arial" w:cs="Arial"/>
        </w:rPr>
        <w:t>after removal of</w:t>
      </w:r>
      <w:r w:rsidR="00B619C9">
        <w:rPr>
          <w:rFonts w:ascii="Arial" w:hAnsi="Arial" w:cs="Arial"/>
        </w:rPr>
        <w:t xml:space="preserve"> all transit</w:t>
      </w:r>
      <w:r w:rsidR="00BF05E1">
        <w:rPr>
          <w:rFonts w:ascii="Arial" w:hAnsi="Arial" w:cs="Arial"/>
        </w:rPr>
        <w:t>ional arrangements</w:t>
      </w:r>
      <w:r w:rsidR="007B3779">
        <w:rPr>
          <w:rFonts w:ascii="Arial" w:hAnsi="Arial" w:cs="Arial"/>
        </w:rPr>
        <w:t xml:space="preserve">, </w:t>
      </w:r>
      <w:r w:rsidR="00C841B9">
        <w:rPr>
          <w:rFonts w:ascii="Arial" w:hAnsi="Arial" w:cs="Arial"/>
        </w:rPr>
        <w:t xml:space="preserve">announced in the Finance Settlement </w:t>
      </w:r>
      <w:r w:rsidR="007B3779">
        <w:rPr>
          <w:rFonts w:ascii="Arial" w:hAnsi="Arial" w:cs="Arial"/>
        </w:rPr>
        <w:t>is</w:t>
      </w:r>
      <w:r w:rsidR="00C841B9">
        <w:rPr>
          <w:rFonts w:ascii="Arial" w:hAnsi="Arial" w:cs="Arial"/>
        </w:rPr>
        <w:t xml:space="preserve"> </w:t>
      </w:r>
      <w:r w:rsidR="00917CC6" w:rsidRPr="00D45797">
        <w:rPr>
          <w:rFonts w:ascii="Arial" w:hAnsi="Arial" w:cs="Arial"/>
        </w:rPr>
        <w:t>£</w:t>
      </w:r>
      <w:r w:rsidR="005F7845" w:rsidRPr="00D45797">
        <w:rPr>
          <w:rFonts w:ascii="Arial" w:hAnsi="Arial" w:cs="Arial"/>
        </w:rPr>
        <w:t>2.280m</w:t>
      </w:r>
      <w:r w:rsidR="00917CC6" w:rsidRPr="00D45797">
        <w:rPr>
          <w:rFonts w:ascii="Arial" w:hAnsi="Arial" w:cs="Arial"/>
        </w:rPr>
        <w:t xml:space="preserve"> </w:t>
      </w:r>
      <w:r w:rsidR="007B3779" w:rsidRPr="00D45797">
        <w:rPr>
          <w:rFonts w:ascii="Arial" w:hAnsi="Arial" w:cs="Arial"/>
        </w:rPr>
        <w:t>higher (</w:t>
      </w:r>
      <w:r w:rsidR="00D45797" w:rsidRPr="00D45797">
        <w:rPr>
          <w:rFonts w:ascii="Arial" w:hAnsi="Arial" w:cs="Arial"/>
        </w:rPr>
        <w:t>28.6</w:t>
      </w:r>
      <w:r w:rsidR="004D7ADB" w:rsidRPr="00D45797">
        <w:rPr>
          <w:rFonts w:ascii="Arial" w:hAnsi="Arial" w:cs="Arial"/>
        </w:rPr>
        <w:t>%)</w:t>
      </w:r>
      <w:r w:rsidR="00447AF0">
        <w:rPr>
          <w:rFonts w:ascii="Arial" w:hAnsi="Arial" w:cs="Arial"/>
        </w:rPr>
        <w:t xml:space="preserve"> than the 2025/26 baseline</w:t>
      </w:r>
      <w:r w:rsidR="00D642EF">
        <w:rPr>
          <w:rFonts w:ascii="Arial" w:hAnsi="Arial" w:cs="Arial"/>
        </w:rPr>
        <w:t>.</w:t>
      </w:r>
      <w:r w:rsidR="0080529C">
        <w:rPr>
          <w:rFonts w:ascii="Arial" w:hAnsi="Arial" w:cs="Arial"/>
        </w:rPr>
        <w:t xml:space="preserve"> </w:t>
      </w:r>
    </w:p>
    <w:p w14:paraId="6F77F1B2" w14:textId="77777777" w:rsidR="00380145" w:rsidRDefault="00380145" w:rsidP="00066356">
      <w:pPr>
        <w:jc w:val="both"/>
        <w:rPr>
          <w:rFonts w:ascii="Arial" w:hAnsi="Arial" w:cs="Arial"/>
        </w:rPr>
      </w:pPr>
    </w:p>
    <w:p w14:paraId="738143D0" w14:textId="1DC2FB73" w:rsidR="00513D4D" w:rsidRPr="004D03D2" w:rsidRDefault="00665F28" w:rsidP="00066356">
      <w:pPr>
        <w:jc w:val="both"/>
        <w:rPr>
          <w:rFonts w:ascii="Arial" w:hAnsi="Arial" w:cs="Arial"/>
        </w:rPr>
      </w:pPr>
      <w:r w:rsidRPr="00D859F8">
        <w:rPr>
          <w:rFonts w:ascii="Arial" w:hAnsi="Arial" w:cs="Arial"/>
        </w:rPr>
        <w:t>Despite this systemic underfunding the Council has</w:t>
      </w:r>
      <w:r w:rsidR="00C04A5F" w:rsidRPr="00D859F8">
        <w:rPr>
          <w:rFonts w:ascii="Arial" w:hAnsi="Arial" w:cs="Arial"/>
        </w:rPr>
        <w:t xml:space="preserve"> </w:t>
      </w:r>
      <w:r w:rsidR="00C54179" w:rsidRPr="00D859F8">
        <w:rPr>
          <w:rFonts w:ascii="Arial" w:hAnsi="Arial" w:cs="Arial"/>
        </w:rPr>
        <w:t xml:space="preserve">demonstrated </w:t>
      </w:r>
      <w:r w:rsidR="00E1000F" w:rsidRPr="00D859F8">
        <w:rPr>
          <w:rFonts w:ascii="Arial" w:hAnsi="Arial" w:cs="Arial"/>
        </w:rPr>
        <w:t>successful</w:t>
      </w:r>
      <w:r w:rsidR="00DB0842" w:rsidRPr="00D859F8">
        <w:rPr>
          <w:rFonts w:ascii="Arial" w:hAnsi="Arial" w:cs="Arial"/>
        </w:rPr>
        <w:t xml:space="preserve"> </w:t>
      </w:r>
      <w:r w:rsidR="00C54179" w:rsidRPr="00D859F8">
        <w:rPr>
          <w:rFonts w:ascii="Arial" w:hAnsi="Arial" w:cs="Arial"/>
        </w:rPr>
        <w:t xml:space="preserve">fiscal discipline, </w:t>
      </w:r>
      <w:r w:rsidR="00A64B7F" w:rsidRPr="00D859F8">
        <w:rPr>
          <w:rFonts w:ascii="Arial" w:hAnsi="Arial" w:cs="Arial"/>
          <w:bCs/>
        </w:rPr>
        <w:t>manging an ever growing budget gap while</w:t>
      </w:r>
      <w:r w:rsidR="00C04A5F" w:rsidRPr="00D859F8">
        <w:rPr>
          <w:rFonts w:ascii="Arial" w:hAnsi="Arial" w:cs="Arial"/>
          <w:bCs/>
        </w:rPr>
        <w:t xml:space="preserve"> </w:t>
      </w:r>
      <w:r w:rsidR="00A64B7F" w:rsidRPr="00D859F8">
        <w:rPr>
          <w:rFonts w:ascii="Arial" w:hAnsi="Arial" w:cs="Arial"/>
          <w:bCs/>
        </w:rPr>
        <w:t>protecti</w:t>
      </w:r>
      <w:r w:rsidR="00291F50" w:rsidRPr="00D859F8">
        <w:rPr>
          <w:rFonts w:ascii="Arial" w:hAnsi="Arial" w:cs="Arial"/>
          <w:bCs/>
        </w:rPr>
        <w:t>ng</w:t>
      </w:r>
      <w:r w:rsidR="00C04A5F" w:rsidRPr="00D859F8">
        <w:rPr>
          <w:rFonts w:ascii="Arial" w:hAnsi="Arial" w:cs="Arial"/>
          <w:bCs/>
        </w:rPr>
        <w:t xml:space="preserve"> core services for the people of Lincoln, </w:t>
      </w:r>
      <w:r w:rsidR="00E1000F" w:rsidRPr="00D859F8">
        <w:rPr>
          <w:rFonts w:ascii="Arial" w:hAnsi="Arial" w:cs="Arial"/>
          <w:bCs/>
        </w:rPr>
        <w:t>and</w:t>
      </w:r>
      <w:r w:rsidR="00C04A5F" w:rsidRPr="00D859F8">
        <w:rPr>
          <w:rFonts w:ascii="Arial" w:hAnsi="Arial" w:cs="Arial"/>
          <w:bCs/>
        </w:rPr>
        <w:t xml:space="preserve"> at the same time allowing for investment in the City and its economy, and delivery of the Council’s Vision</w:t>
      </w:r>
      <w:r w:rsidR="00E1000F" w:rsidRPr="00D859F8">
        <w:rPr>
          <w:rFonts w:ascii="Arial" w:hAnsi="Arial" w:cs="Arial"/>
          <w:bCs/>
        </w:rPr>
        <w:t>.</w:t>
      </w:r>
      <w:r w:rsidR="00DB0842" w:rsidRPr="00D859F8">
        <w:rPr>
          <w:rFonts w:ascii="Arial" w:hAnsi="Arial" w:cs="Arial"/>
          <w:bCs/>
        </w:rPr>
        <w:t xml:space="preserve"> </w:t>
      </w:r>
      <w:r w:rsidR="00E1000F" w:rsidRPr="00D859F8">
        <w:rPr>
          <w:rFonts w:ascii="Arial" w:hAnsi="Arial" w:cs="Arial"/>
          <w:bCs/>
        </w:rPr>
        <w:t>Had fair funding been in place from the outset</w:t>
      </w:r>
      <w:r w:rsidR="00B531EE" w:rsidRPr="00D859F8">
        <w:rPr>
          <w:rFonts w:ascii="Arial" w:hAnsi="Arial" w:cs="Arial"/>
          <w:bCs/>
        </w:rPr>
        <w:t xml:space="preserve"> the Council would be in a fundamentally stronger financial position today</w:t>
      </w:r>
      <w:r w:rsidR="00A43562" w:rsidRPr="00D859F8">
        <w:rPr>
          <w:rFonts w:ascii="Arial" w:hAnsi="Arial" w:cs="Arial"/>
          <w:bCs/>
        </w:rPr>
        <w:t xml:space="preserve"> – as can be demonstrated from the Council’s comparative position in </w:t>
      </w:r>
      <w:r w:rsidR="00D859F8" w:rsidRPr="00D859F8">
        <w:rPr>
          <w:rFonts w:ascii="Arial" w:hAnsi="Arial" w:cs="Arial"/>
          <w:bCs/>
        </w:rPr>
        <w:t>CIPFA’s Financial Resilience Index (FRI).</w:t>
      </w:r>
      <w:r w:rsidR="002F04DF">
        <w:rPr>
          <w:rFonts w:ascii="Arial" w:hAnsi="Arial" w:cs="Arial"/>
          <w:bCs/>
        </w:rPr>
        <w:t xml:space="preserve"> </w:t>
      </w:r>
      <w:r w:rsidR="0077621A">
        <w:rPr>
          <w:rFonts w:ascii="Arial" w:hAnsi="Arial" w:cs="Arial"/>
          <w:bCs/>
        </w:rPr>
        <w:t>The</w:t>
      </w:r>
      <w:r w:rsidR="00D859F8">
        <w:rPr>
          <w:rFonts w:ascii="Arial" w:hAnsi="Arial" w:cs="Arial"/>
        </w:rPr>
        <w:t xml:space="preserve"> consequences of this underfunding, along with other factors such as </w:t>
      </w:r>
      <w:r w:rsidR="004426D3">
        <w:rPr>
          <w:rFonts w:ascii="Arial" w:hAnsi="Arial" w:cs="Arial"/>
        </w:rPr>
        <w:t>escalating costs, reducing income stream</w:t>
      </w:r>
      <w:r w:rsidR="00065CA1">
        <w:rPr>
          <w:rFonts w:ascii="Arial" w:hAnsi="Arial" w:cs="Arial"/>
        </w:rPr>
        <w:t>s</w:t>
      </w:r>
      <w:r w:rsidR="004426D3">
        <w:rPr>
          <w:rFonts w:ascii="Arial" w:hAnsi="Arial" w:cs="Arial"/>
        </w:rPr>
        <w:t xml:space="preserve">, </w:t>
      </w:r>
      <w:r w:rsidR="007C5559">
        <w:rPr>
          <w:rFonts w:ascii="Arial" w:hAnsi="Arial" w:cs="Arial"/>
        </w:rPr>
        <w:t xml:space="preserve">rising service demands, new statutory requirements and </w:t>
      </w:r>
      <w:r w:rsidR="00663F0D">
        <w:rPr>
          <w:rFonts w:ascii="Arial" w:hAnsi="Arial" w:cs="Arial"/>
        </w:rPr>
        <w:t xml:space="preserve">the </w:t>
      </w:r>
      <w:r w:rsidR="004426D3">
        <w:rPr>
          <w:rFonts w:ascii="Arial" w:hAnsi="Arial" w:cs="Arial"/>
        </w:rPr>
        <w:t xml:space="preserve">legacy impacts from Covid19 and Brexit etc, have </w:t>
      </w:r>
      <w:r w:rsidR="00ED1D72">
        <w:rPr>
          <w:rFonts w:ascii="Arial" w:hAnsi="Arial" w:cs="Arial"/>
        </w:rPr>
        <w:t xml:space="preserve">though </w:t>
      </w:r>
      <w:r w:rsidR="004426D3">
        <w:rPr>
          <w:rFonts w:ascii="Arial" w:hAnsi="Arial" w:cs="Arial"/>
        </w:rPr>
        <w:t xml:space="preserve">been profound. </w:t>
      </w:r>
      <w:r w:rsidR="00587D6B">
        <w:rPr>
          <w:rFonts w:ascii="Arial" w:hAnsi="Arial" w:cs="Arial"/>
        </w:rPr>
        <w:t xml:space="preserve">Although the Council’s financial </w:t>
      </w:r>
      <w:r w:rsidR="0029651A">
        <w:rPr>
          <w:rFonts w:ascii="Arial" w:hAnsi="Arial" w:cs="Arial"/>
        </w:rPr>
        <w:t xml:space="preserve">management </w:t>
      </w:r>
      <w:r w:rsidR="00ED1B27">
        <w:rPr>
          <w:rFonts w:ascii="Arial" w:hAnsi="Arial" w:cs="Arial"/>
        </w:rPr>
        <w:t xml:space="preserve">to date </w:t>
      </w:r>
      <w:r w:rsidR="0029651A">
        <w:rPr>
          <w:rFonts w:ascii="Arial" w:hAnsi="Arial" w:cs="Arial"/>
        </w:rPr>
        <w:t xml:space="preserve">has been successful, this has not come without an impact on service delivery </w:t>
      </w:r>
      <w:r w:rsidR="004426D3">
        <w:rPr>
          <w:rFonts w:ascii="Arial" w:hAnsi="Arial" w:cs="Arial"/>
        </w:rPr>
        <w:t xml:space="preserve"> </w:t>
      </w:r>
      <w:r w:rsidR="00F65D1C" w:rsidRPr="00A9321F">
        <w:rPr>
          <w:rFonts w:ascii="Arial" w:hAnsi="Arial" w:cs="Arial"/>
        </w:rPr>
        <w:t xml:space="preserve">During </w:t>
      </w:r>
      <w:r w:rsidR="00FC6F1F" w:rsidRPr="00A9321F">
        <w:rPr>
          <w:rFonts w:ascii="Arial" w:hAnsi="Arial" w:cs="Arial"/>
        </w:rPr>
        <w:t>the last decade</w:t>
      </w:r>
      <w:r w:rsidR="00B75F52" w:rsidRPr="00A9321F">
        <w:rPr>
          <w:rFonts w:ascii="Arial" w:hAnsi="Arial" w:cs="Arial"/>
        </w:rPr>
        <w:t xml:space="preserve"> the Council has delivered annual revenue savings of over £10.5m</w:t>
      </w:r>
      <w:r w:rsidR="00D2465E" w:rsidRPr="00A9321F">
        <w:rPr>
          <w:rFonts w:ascii="Arial" w:hAnsi="Arial" w:cs="Arial"/>
        </w:rPr>
        <w:t xml:space="preserve">, </w:t>
      </w:r>
      <w:r w:rsidR="00A9321F" w:rsidRPr="00A9321F">
        <w:rPr>
          <w:rFonts w:ascii="Arial" w:hAnsi="Arial" w:cs="Arial"/>
        </w:rPr>
        <w:t>requiring</w:t>
      </w:r>
      <w:r w:rsidR="00A9321F" w:rsidRPr="00A9321F">
        <w:rPr>
          <w:rFonts w:ascii="Arial" w:hAnsi="Arial" w:cs="Arial"/>
          <w:lang w:eastAsia="en-GB"/>
        </w:rPr>
        <w:t xml:space="preserve"> impossible choices about </w:t>
      </w:r>
      <w:r w:rsidR="00B75F52" w:rsidRPr="00A9321F">
        <w:rPr>
          <w:rFonts w:ascii="Arial" w:hAnsi="Arial" w:cs="Arial"/>
        </w:rPr>
        <w:t>which services</w:t>
      </w:r>
      <w:r w:rsidR="00CB1446">
        <w:rPr>
          <w:rFonts w:ascii="Arial" w:hAnsi="Arial" w:cs="Arial"/>
        </w:rPr>
        <w:t xml:space="preserve"> it</w:t>
      </w:r>
      <w:r w:rsidR="00B75F52" w:rsidRPr="00A9321F">
        <w:rPr>
          <w:rFonts w:ascii="Arial" w:hAnsi="Arial" w:cs="Arial"/>
        </w:rPr>
        <w:t xml:space="preserve"> </w:t>
      </w:r>
      <w:r w:rsidR="00D33504" w:rsidRPr="00A9321F">
        <w:rPr>
          <w:rFonts w:ascii="Arial" w:hAnsi="Arial" w:cs="Arial"/>
        </w:rPr>
        <w:t>could</w:t>
      </w:r>
      <w:r w:rsidR="00B75F52" w:rsidRPr="00A9321F">
        <w:rPr>
          <w:rFonts w:ascii="Arial" w:hAnsi="Arial" w:cs="Arial"/>
        </w:rPr>
        <w:t xml:space="preserve"> continue to</w:t>
      </w:r>
      <w:r w:rsidR="00D33504" w:rsidRPr="00A9321F">
        <w:rPr>
          <w:rFonts w:ascii="Arial" w:hAnsi="Arial" w:cs="Arial"/>
        </w:rPr>
        <w:t xml:space="preserve"> </w:t>
      </w:r>
      <w:r w:rsidR="00B75F52" w:rsidRPr="00A9321F">
        <w:rPr>
          <w:rFonts w:ascii="Arial" w:hAnsi="Arial" w:cs="Arial"/>
        </w:rPr>
        <w:t>provide</w:t>
      </w:r>
      <w:r w:rsidR="00D33504" w:rsidRPr="00A9321F">
        <w:rPr>
          <w:rFonts w:ascii="Arial" w:hAnsi="Arial" w:cs="Arial"/>
        </w:rPr>
        <w:t xml:space="preserve"> </w:t>
      </w:r>
      <w:r w:rsidR="002A1CA3" w:rsidRPr="00A9321F">
        <w:rPr>
          <w:rFonts w:ascii="Arial" w:hAnsi="Arial" w:cs="Arial"/>
        </w:rPr>
        <w:t>and at what scale.</w:t>
      </w:r>
    </w:p>
    <w:p w14:paraId="3DDB63C8" w14:textId="77777777" w:rsidR="00EC53CC" w:rsidRPr="007752B4" w:rsidRDefault="00EC53CC" w:rsidP="00066356">
      <w:pPr>
        <w:jc w:val="both"/>
        <w:rPr>
          <w:rFonts w:ascii="Arial" w:hAnsi="Arial" w:cs="Arial"/>
          <w:highlight w:val="yellow"/>
          <w:lang w:eastAsia="en-GB"/>
        </w:rPr>
      </w:pPr>
    </w:p>
    <w:p w14:paraId="529E782A" w14:textId="4F18DFD9" w:rsidR="00944306" w:rsidRDefault="002A1CA3" w:rsidP="00251FD6">
      <w:pPr>
        <w:jc w:val="both"/>
        <w:rPr>
          <w:rFonts w:ascii="Arial" w:hAnsi="Arial" w:cs="Arial"/>
          <w:lang w:eastAsia="en-GB"/>
        </w:rPr>
      </w:pPr>
      <w:r w:rsidRPr="00A33E4A">
        <w:rPr>
          <w:rFonts w:ascii="Arial" w:hAnsi="Arial" w:cs="Arial"/>
          <w:lang w:eastAsia="en-GB"/>
        </w:rPr>
        <w:t xml:space="preserve">The </w:t>
      </w:r>
      <w:r w:rsidR="00430A7C" w:rsidRPr="00A33E4A">
        <w:rPr>
          <w:rFonts w:ascii="Arial" w:hAnsi="Arial" w:cs="Arial"/>
          <w:lang w:eastAsia="en-GB"/>
        </w:rPr>
        <w:t>recognition of th</w:t>
      </w:r>
      <w:r w:rsidR="00C324BE">
        <w:rPr>
          <w:rFonts w:ascii="Arial" w:hAnsi="Arial" w:cs="Arial"/>
          <w:lang w:eastAsia="en-GB"/>
        </w:rPr>
        <w:t>e</w:t>
      </w:r>
      <w:r w:rsidR="00430A7C" w:rsidRPr="00A33E4A">
        <w:rPr>
          <w:rFonts w:ascii="Arial" w:hAnsi="Arial" w:cs="Arial"/>
          <w:lang w:eastAsia="en-GB"/>
        </w:rPr>
        <w:t xml:space="preserve"> underfunding </w:t>
      </w:r>
      <w:r w:rsidR="00656B08" w:rsidRPr="00A33E4A">
        <w:rPr>
          <w:rFonts w:ascii="Arial" w:hAnsi="Arial" w:cs="Arial"/>
          <w:lang w:eastAsia="en-GB"/>
        </w:rPr>
        <w:t>of the Council and the</w:t>
      </w:r>
      <w:r w:rsidR="00944306">
        <w:rPr>
          <w:rFonts w:ascii="Arial" w:hAnsi="Arial" w:cs="Arial"/>
          <w:lang w:eastAsia="en-GB"/>
        </w:rPr>
        <w:t xml:space="preserve"> positive</w:t>
      </w:r>
      <w:r w:rsidR="00656B08" w:rsidRPr="00A33E4A">
        <w:rPr>
          <w:rFonts w:ascii="Arial" w:hAnsi="Arial" w:cs="Arial"/>
          <w:lang w:eastAsia="en-GB"/>
        </w:rPr>
        <w:t xml:space="preserve"> outcome of the FFR, is a </w:t>
      </w:r>
      <w:r w:rsidR="009A5F1E" w:rsidRPr="00A33E4A">
        <w:rPr>
          <w:rFonts w:ascii="Arial" w:hAnsi="Arial" w:cs="Arial"/>
          <w:lang w:eastAsia="en-GB"/>
        </w:rPr>
        <w:t>pivotal moment for t</w:t>
      </w:r>
      <w:r w:rsidR="00D53D72" w:rsidRPr="00A33E4A">
        <w:rPr>
          <w:rFonts w:ascii="Arial" w:hAnsi="Arial" w:cs="Arial"/>
          <w:lang w:eastAsia="en-GB"/>
        </w:rPr>
        <w:t>he MTFS</w:t>
      </w:r>
      <w:r w:rsidR="006A767E" w:rsidRPr="00A33E4A">
        <w:rPr>
          <w:rFonts w:ascii="Arial" w:hAnsi="Arial" w:cs="Arial"/>
          <w:lang w:eastAsia="en-GB"/>
        </w:rPr>
        <w:t xml:space="preserve"> and brings with it some financial relief</w:t>
      </w:r>
      <w:r w:rsidR="00D53D72" w:rsidRPr="00A33E4A">
        <w:rPr>
          <w:rFonts w:ascii="Arial" w:hAnsi="Arial" w:cs="Arial"/>
          <w:lang w:eastAsia="en-GB"/>
        </w:rPr>
        <w:t xml:space="preserve">. </w:t>
      </w:r>
      <w:r w:rsidR="00944306">
        <w:rPr>
          <w:rFonts w:ascii="Arial" w:hAnsi="Arial" w:cs="Arial"/>
          <w:lang w:eastAsia="en-GB"/>
        </w:rPr>
        <w:t>Furthermore</w:t>
      </w:r>
      <w:r w:rsidR="00944306" w:rsidRPr="00A644D4">
        <w:rPr>
          <w:rFonts w:ascii="Arial" w:hAnsi="Arial" w:cs="Arial"/>
          <w:lang w:eastAsia="en-GB"/>
        </w:rPr>
        <w:t xml:space="preserve">, as the </w:t>
      </w:r>
      <w:r w:rsidR="001E3E1E">
        <w:rPr>
          <w:rFonts w:ascii="Arial" w:hAnsi="Arial" w:cs="Arial"/>
          <w:lang w:eastAsia="en-GB"/>
        </w:rPr>
        <w:t>existing</w:t>
      </w:r>
      <w:r w:rsidR="00944306" w:rsidRPr="00A644D4">
        <w:rPr>
          <w:rFonts w:ascii="Arial" w:hAnsi="Arial" w:cs="Arial"/>
          <w:lang w:eastAsia="en-GB"/>
        </w:rPr>
        <w:t xml:space="preserve"> MTFS had predicted a more prudent outcome from the FFR the actual budgetary impact is much greater than the </w:t>
      </w:r>
      <w:r w:rsidR="00314243">
        <w:rPr>
          <w:rFonts w:ascii="Arial" w:hAnsi="Arial" w:cs="Arial"/>
          <w:lang w:eastAsia="en-GB"/>
        </w:rPr>
        <w:t>28.6</w:t>
      </w:r>
      <w:r w:rsidR="00944306" w:rsidRPr="00A644D4">
        <w:rPr>
          <w:rFonts w:ascii="Arial" w:hAnsi="Arial" w:cs="Arial"/>
          <w:lang w:eastAsia="en-GB"/>
        </w:rPr>
        <w:t xml:space="preserve">% increase in the FFA. These additional resources </w:t>
      </w:r>
      <w:r w:rsidR="00944306">
        <w:rPr>
          <w:rFonts w:ascii="Arial" w:hAnsi="Arial" w:cs="Arial"/>
          <w:lang w:eastAsia="en-GB"/>
        </w:rPr>
        <w:t xml:space="preserve">and improved budget assumptions </w:t>
      </w:r>
      <w:r w:rsidR="00944306" w:rsidRPr="00A644D4">
        <w:rPr>
          <w:rFonts w:ascii="Arial" w:hAnsi="Arial" w:cs="Arial"/>
          <w:lang w:eastAsia="en-GB"/>
        </w:rPr>
        <w:t xml:space="preserve">have </w:t>
      </w:r>
      <w:r w:rsidR="00944306" w:rsidRPr="00A644D4">
        <w:rPr>
          <w:rFonts w:ascii="Arial" w:hAnsi="Arial" w:cs="Arial"/>
        </w:rPr>
        <w:t>close</w:t>
      </w:r>
      <w:r w:rsidR="00944306">
        <w:rPr>
          <w:rFonts w:ascii="Arial" w:hAnsi="Arial" w:cs="Arial"/>
        </w:rPr>
        <w:t>d</w:t>
      </w:r>
      <w:r w:rsidR="00944306" w:rsidRPr="00A644D4">
        <w:rPr>
          <w:rFonts w:ascii="Arial" w:hAnsi="Arial" w:cs="Arial"/>
        </w:rPr>
        <w:t xml:space="preserve"> the existing structural gap between income and expenditure</w:t>
      </w:r>
      <w:r w:rsidR="00944306" w:rsidRPr="00A644D4">
        <w:rPr>
          <w:rFonts w:ascii="Arial" w:hAnsi="Arial" w:cs="Arial"/>
          <w:lang w:eastAsia="en-GB"/>
        </w:rPr>
        <w:t xml:space="preserve"> and negate</w:t>
      </w:r>
      <w:r w:rsidR="00944306">
        <w:rPr>
          <w:rFonts w:ascii="Arial" w:hAnsi="Arial" w:cs="Arial"/>
          <w:lang w:eastAsia="en-GB"/>
        </w:rPr>
        <w:t>d</w:t>
      </w:r>
      <w:r w:rsidR="00944306" w:rsidRPr="00A644D4">
        <w:rPr>
          <w:rFonts w:ascii="Arial" w:hAnsi="Arial" w:cs="Arial"/>
          <w:lang w:eastAsia="en-GB"/>
        </w:rPr>
        <w:t xml:space="preserve"> the need to deliver the annual revenue savings target of £1.75m, on which the </w:t>
      </w:r>
      <w:r w:rsidR="00944306">
        <w:rPr>
          <w:rFonts w:ascii="Arial" w:hAnsi="Arial" w:cs="Arial"/>
          <w:lang w:eastAsia="en-GB"/>
        </w:rPr>
        <w:t>existing</w:t>
      </w:r>
      <w:r w:rsidR="00944306" w:rsidRPr="00A644D4">
        <w:rPr>
          <w:rFonts w:ascii="Arial" w:hAnsi="Arial" w:cs="Arial"/>
          <w:lang w:eastAsia="en-GB"/>
        </w:rPr>
        <w:t xml:space="preserve"> MTFS is predicated.  </w:t>
      </w:r>
    </w:p>
    <w:p w14:paraId="78DDBDAA" w14:textId="3AFE4F78" w:rsidR="006A767E" w:rsidRDefault="006A767E" w:rsidP="00513D4D">
      <w:pPr>
        <w:jc w:val="both"/>
        <w:rPr>
          <w:rFonts w:ascii="Arial" w:hAnsi="Arial" w:cs="Arial"/>
          <w:highlight w:val="yellow"/>
          <w:lang w:eastAsia="en-GB"/>
        </w:rPr>
      </w:pPr>
    </w:p>
    <w:p w14:paraId="291CD010" w14:textId="5EB55CAC" w:rsidR="0015007B" w:rsidRPr="00A644D4" w:rsidRDefault="0015007B" w:rsidP="0015007B">
      <w:pPr>
        <w:jc w:val="both"/>
        <w:rPr>
          <w:rFonts w:ascii="Arial" w:hAnsi="Arial" w:cs="Arial"/>
          <w:lang w:eastAsia="en-GB"/>
        </w:rPr>
      </w:pPr>
      <w:r w:rsidRPr="00A644D4">
        <w:rPr>
          <w:rFonts w:ascii="Arial" w:hAnsi="Arial" w:cs="Arial"/>
          <w:lang w:eastAsia="en-GB"/>
        </w:rPr>
        <w:t xml:space="preserve">In addition, alongside a significant reduction in the Council’s annual employer pension contributions, these </w:t>
      </w:r>
      <w:r w:rsidR="0008432F">
        <w:rPr>
          <w:rFonts w:ascii="Arial" w:hAnsi="Arial" w:cs="Arial"/>
          <w:lang w:eastAsia="en-GB"/>
        </w:rPr>
        <w:t xml:space="preserve">extra </w:t>
      </w:r>
      <w:r w:rsidRPr="00A644D4">
        <w:rPr>
          <w:rFonts w:ascii="Arial" w:hAnsi="Arial" w:cs="Arial"/>
          <w:lang w:eastAsia="en-GB"/>
        </w:rPr>
        <w:t xml:space="preserve">resources have provided the financial capacity to absorb the further cost and demand pressures the Council was facing, provide for the implementation of the new weekly food collection service, and still allow further resources to be set aside for investment in the Council’s </w:t>
      </w:r>
      <w:r>
        <w:rPr>
          <w:rFonts w:ascii="Arial" w:hAnsi="Arial" w:cs="Arial"/>
          <w:lang w:eastAsia="en-GB"/>
        </w:rPr>
        <w:t xml:space="preserve">strategic </w:t>
      </w:r>
      <w:r w:rsidRPr="00A644D4">
        <w:rPr>
          <w:rFonts w:ascii="Arial" w:hAnsi="Arial" w:cs="Arial"/>
          <w:lang w:eastAsia="en-GB"/>
        </w:rPr>
        <w:t>priorities.</w:t>
      </w:r>
    </w:p>
    <w:p w14:paraId="7FEFAF16" w14:textId="77777777" w:rsidR="0015007B" w:rsidRDefault="0015007B" w:rsidP="00513D4D">
      <w:pPr>
        <w:jc w:val="both"/>
        <w:rPr>
          <w:rFonts w:ascii="Arial" w:hAnsi="Arial" w:cs="Arial"/>
          <w:highlight w:val="yellow"/>
          <w:lang w:eastAsia="en-GB"/>
        </w:rPr>
      </w:pPr>
    </w:p>
    <w:p w14:paraId="651C400D" w14:textId="72526D1C" w:rsidR="008F0938" w:rsidRDefault="008F0938" w:rsidP="008F0938">
      <w:pPr>
        <w:jc w:val="both"/>
        <w:rPr>
          <w:rFonts w:ascii="Arial" w:hAnsi="Arial" w:cs="Arial"/>
          <w:lang w:eastAsia="en-GB"/>
        </w:rPr>
      </w:pPr>
      <w:r>
        <w:rPr>
          <w:rFonts w:ascii="Arial" w:hAnsi="Arial" w:cs="Arial"/>
          <w:lang w:eastAsia="en-GB"/>
        </w:rPr>
        <w:t>However, the allocation of resources to Vision 2030 needs to be set in the context of, and tempered by, LG</w:t>
      </w:r>
      <w:r w:rsidR="00E44687">
        <w:rPr>
          <w:rFonts w:ascii="Arial" w:hAnsi="Arial" w:cs="Arial"/>
          <w:lang w:eastAsia="en-GB"/>
        </w:rPr>
        <w:t xml:space="preserve">R.  </w:t>
      </w:r>
      <w:r w:rsidR="007D11E0">
        <w:rPr>
          <w:rFonts w:ascii="Arial" w:hAnsi="Arial" w:cs="Arial"/>
          <w:lang w:eastAsia="en-GB"/>
        </w:rPr>
        <w:t xml:space="preserve">Under the Government’s current timetable for LGR, </w:t>
      </w:r>
      <w:r w:rsidR="004E17C3">
        <w:rPr>
          <w:rFonts w:ascii="Arial" w:hAnsi="Arial" w:cs="Arial"/>
          <w:lang w:eastAsia="en-GB"/>
        </w:rPr>
        <w:t>the City of Lincoln Council</w:t>
      </w:r>
      <w:r w:rsidR="007D0D20">
        <w:rPr>
          <w:rFonts w:ascii="Arial" w:hAnsi="Arial" w:cs="Arial"/>
          <w:lang w:eastAsia="en-GB"/>
        </w:rPr>
        <w:t>,</w:t>
      </w:r>
      <w:r w:rsidR="004E17C3">
        <w:rPr>
          <w:rFonts w:ascii="Arial" w:hAnsi="Arial" w:cs="Arial"/>
          <w:lang w:eastAsia="en-GB"/>
        </w:rPr>
        <w:t xml:space="preserve"> in it’s current structure</w:t>
      </w:r>
      <w:r w:rsidR="007D0D20">
        <w:rPr>
          <w:rFonts w:ascii="Arial" w:hAnsi="Arial" w:cs="Arial"/>
          <w:lang w:eastAsia="en-GB"/>
        </w:rPr>
        <w:t>,</w:t>
      </w:r>
      <w:r w:rsidR="004E17C3">
        <w:rPr>
          <w:rFonts w:ascii="Arial" w:hAnsi="Arial" w:cs="Arial"/>
          <w:lang w:eastAsia="en-GB"/>
        </w:rPr>
        <w:t xml:space="preserve"> would cease to exist beyond 31</w:t>
      </w:r>
      <w:r w:rsidR="004E17C3" w:rsidRPr="004E17C3">
        <w:rPr>
          <w:rFonts w:ascii="Arial" w:hAnsi="Arial" w:cs="Arial"/>
          <w:vertAlign w:val="superscript"/>
          <w:lang w:eastAsia="en-GB"/>
        </w:rPr>
        <w:t>st</w:t>
      </w:r>
      <w:r w:rsidR="004E17C3">
        <w:rPr>
          <w:rFonts w:ascii="Arial" w:hAnsi="Arial" w:cs="Arial"/>
          <w:lang w:eastAsia="en-GB"/>
        </w:rPr>
        <w:t xml:space="preserve"> March 2028.</w:t>
      </w:r>
      <w:r w:rsidR="007D0D20">
        <w:rPr>
          <w:rFonts w:ascii="Arial" w:hAnsi="Arial" w:cs="Arial"/>
          <w:lang w:eastAsia="en-GB"/>
        </w:rPr>
        <w:t xml:space="preserve">  </w:t>
      </w:r>
      <w:r w:rsidR="007D0D20" w:rsidRPr="00B17B0A">
        <w:rPr>
          <w:rFonts w:ascii="Arial" w:hAnsi="Arial" w:cs="Arial"/>
        </w:rPr>
        <w:t xml:space="preserve">This has a significant impact on how the financial position of the </w:t>
      </w:r>
      <w:r w:rsidR="00BC4B8B">
        <w:rPr>
          <w:rFonts w:ascii="Arial" w:hAnsi="Arial" w:cs="Arial"/>
        </w:rPr>
        <w:t>C</w:t>
      </w:r>
      <w:r w:rsidR="007D0D20" w:rsidRPr="00B17B0A">
        <w:rPr>
          <w:rFonts w:ascii="Arial" w:hAnsi="Arial" w:cs="Arial"/>
        </w:rPr>
        <w:t>ouncil is viewed</w:t>
      </w:r>
      <w:r w:rsidR="007D0D20">
        <w:rPr>
          <w:rFonts w:ascii="Arial" w:hAnsi="Arial" w:cs="Arial"/>
        </w:rPr>
        <w:t xml:space="preserve"> and the decisions it takes </w:t>
      </w:r>
      <w:r w:rsidR="00A7328D">
        <w:rPr>
          <w:rFonts w:ascii="Arial" w:hAnsi="Arial" w:cs="Arial"/>
        </w:rPr>
        <w:t>both in terms of the allocation of resources in the short term</w:t>
      </w:r>
      <w:r w:rsidR="009841F2">
        <w:rPr>
          <w:rFonts w:ascii="Arial" w:hAnsi="Arial" w:cs="Arial"/>
        </w:rPr>
        <w:t xml:space="preserve"> (balancing between delivery of Vision 2030 and transitional </w:t>
      </w:r>
      <w:r w:rsidR="0086458D">
        <w:rPr>
          <w:rFonts w:ascii="Arial" w:hAnsi="Arial" w:cs="Arial"/>
        </w:rPr>
        <w:t>activities</w:t>
      </w:r>
      <w:r w:rsidR="009841F2">
        <w:rPr>
          <w:rFonts w:ascii="Arial" w:hAnsi="Arial" w:cs="Arial"/>
        </w:rPr>
        <w:t>)</w:t>
      </w:r>
      <w:r w:rsidR="00A7328D">
        <w:rPr>
          <w:rFonts w:ascii="Arial" w:hAnsi="Arial" w:cs="Arial"/>
        </w:rPr>
        <w:t xml:space="preserve"> and any longer term financial commitments the Council plans to make</w:t>
      </w:r>
      <w:r w:rsidR="00DE0E4A">
        <w:rPr>
          <w:rFonts w:ascii="Arial" w:hAnsi="Arial" w:cs="Arial"/>
        </w:rPr>
        <w:t>, to avoid creating any legacy issues.</w:t>
      </w:r>
      <w:r w:rsidR="00AE4011">
        <w:rPr>
          <w:rFonts w:ascii="Arial" w:hAnsi="Arial" w:cs="Arial"/>
        </w:rPr>
        <w:t xml:space="preserve">  </w:t>
      </w:r>
    </w:p>
    <w:p w14:paraId="21FC0DAF" w14:textId="77777777" w:rsidR="008F0938" w:rsidRDefault="008F0938" w:rsidP="008F0938">
      <w:pPr>
        <w:jc w:val="both"/>
        <w:rPr>
          <w:rFonts w:ascii="Arial" w:hAnsi="Arial" w:cs="Arial"/>
          <w:lang w:eastAsia="en-GB"/>
        </w:rPr>
      </w:pPr>
    </w:p>
    <w:p w14:paraId="6499FE7A" w14:textId="7952E560" w:rsidR="0069372B" w:rsidRPr="00C37D83" w:rsidRDefault="00596637" w:rsidP="0069372B">
      <w:pPr>
        <w:autoSpaceDE w:val="0"/>
        <w:autoSpaceDN w:val="0"/>
        <w:adjustRightInd w:val="0"/>
        <w:jc w:val="both"/>
        <w:rPr>
          <w:rFonts w:ascii="Arial" w:hAnsi="Arial" w:cs="Arial"/>
          <w:bCs/>
        </w:rPr>
      </w:pPr>
      <w:r>
        <w:rPr>
          <w:rFonts w:ascii="Arial" w:hAnsi="Arial" w:cs="Arial"/>
        </w:rPr>
        <w:t>Over the next two years, t</w:t>
      </w:r>
      <w:r w:rsidR="00A56FA9">
        <w:rPr>
          <w:rFonts w:ascii="Arial" w:hAnsi="Arial" w:cs="Arial"/>
        </w:rPr>
        <w:t>he transition to a</w:t>
      </w:r>
      <w:r>
        <w:rPr>
          <w:rFonts w:ascii="Arial" w:hAnsi="Arial" w:cs="Arial"/>
        </w:rPr>
        <w:t xml:space="preserve"> </w:t>
      </w:r>
      <w:r w:rsidR="00A56FA9">
        <w:rPr>
          <w:rFonts w:ascii="Arial" w:hAnsi="Arial" w:cs="Arial"/>
        </w:rPr>
        <w:t>new unitary authorit</w:t>
      </w:r>
      <w:r>
        <w:rPr>
          <w:rFonts w:ascii="Arial" w:hAnsi="Arial" w:cs="Arial"/>
        </w:rPr>
        <w:t>y</w:t>
      </w:r>
      <w:r w:rsidR="00A56FA9">
        <w:rPr>
          <w:rFonts w:ascii="Arial" w:hAnsi="Arial" w:cs="Arial"/>
        </w:rPr>
        <w:t xml:space="preserve"> will demand extraordinary focus, planning and resource management by the Council</w:t>
      </w:r>
      <w:r w:rsidR="00B77272">
        <w:rPr>
          <w:rFonts w:ascii="Arial" w:hAnsi="Arial" w:cs="Arial"/>
        </w:rPr>
        <w:t>.</w:t>
      </w:r>
      <w:r w:rsidR="00B77272">
        <w:rPr>
          <w:rFonts w:ascii="Arial" w:hAnsi="Arial" w:cs="Arial"/>
          <w:bCs/>
        </w:rPr>
        <w:t xml:space="preserve"> </w:t>
      </w:r>
      <w:r w:rsidR="002F2D6F">
        <w:rPr>
          <w:rFonts w:ascii="Arial" w:hAnsi="Arial" w:cs="Arial"/>
          <w:bCs/>
        </w:rPr>
        <w:t>It</w:t>
      </w:r>
      <w:r w:rsidR="00FF444F">
        <w:rPr>
          <w:rFonts w:ascii="Arial" w:hAnsi="Arial" w:cs="Arial"/>
        </w:rPr>
        <w:t xml:space="preserve"> will require a significant level of capacity and sustained effort by the </w:t>
      </w:r>
      <w:r w:rsidR="00943863">
        <w:rPr>
          <w:rFonts w:ascii="Arial" w:hAnsi="Arial" w:cs="Arial"/>
        </w:rPr>
        <w:t>C</w:t>
      </w:r>
      <w:r w:rsidR="00FF444F">
        <w:rPr>
          <w:rFonts w:ascii="Arial" w:hAnsi="Arial" w:cs="Arial"/>
        </w:rPr>
        <w:t>ouncil</w:t>
      </w:r>
      <w:r w:rsidR="00B26FCF">
        <w:rPr>
          <w:rFonts w:ascii="Arial" w:hAnsi="Arial" w:cs="Arial"/>
        </w:rPr>
        <w:t xml:space="preserve"> to</w:t>
      </w:r>
      <w:r w:rsidR="00FF444F">
        <w:rPr>
          <w:rFonts w:ascii="Arial" w:hAnsi="Arial" w:cs="Arial"/>
        </w:rPr>
        <w:t xml:space="preserve"> </w:t>
      </w:r>
      <w:r w:rsidR="00B26FCF" w:rsidRPr="00C37D83">
        <w:rPr>
          <w:rFonts w:ascii="Arial" w:hAnsi="Arial" w:cs="Arial"/>
          <w:bCs/>
        </w:rPr>
        <w:t xml:space="preserve">support the formation of a new authority model, absorb </w:t>
      </w:r>
      <w:r w:rsidR="002646FC">
        <w:rPr>
          <w:rFonts w:ascii="Arial" w:hAnsi="Arial" w:cs="Arial"/>
          <w:bCs/>
        </w:rPr>
        <w:t>transitional</w:t>
      </w:r>
      <w:r w:rsidR="00B26FCF" w:rsidRPr="00C37D83">
        <w:rPr>
          <w:rFonts w:ascii="Arial" w:hAnsi="Arial" w:cs="Arial"/>
          <w:bCs/>
        </w:rPr>
        <w:t xml:space="preserve"> costs, protect continuity and lay the groundwork for future success</w:t>
      </w:r>
      <w:r w:rsidR="00B26FCF">
        <w:rPr>
          <w:rFonts w:ascii="Arial" w:hAnsi="Arial" w:cs="Arial"/>
          <w:bCs/>
        </w:rPr>
        <w:t>.</w:t>
      </w:r>
      <w:r w:rsidR="00B26FCF">
        <w:rPr>
          <w:rFonts w:ascii="Arial" w:hAnsi="Arial" w:cs="Arial"/>
        </w:rPr>
        <w:t xml:space="preserve"> </w:t>
      </w:r>
      <w:r w:rsidR="002517CB">
        <w:rPr>
          <w:rFonts w:ascii="Arial" w:hAnsi="Arial" w:cs="Arial"/>
        </w:rPr>
        <w:t>A</w:t>
      </w:r>
      <w:r w:rsidR="00864CED">
        <w:rPr>
          <w:rFonts w:ascii="Arial" w:hAnsi="Arial" w:cs="Arial"/>
        </w:rPr>
        <w:t>longside th</w:t>
      </w:r>
      <w:r w:rsidR="002517CB">
        <w:rPr>
          <w:rFonts w:ascii="Arial" w:hAnsi="Arial" w:cs="Arial"/>
        </w:rPr>
        <w:t xml:space="preserve">is the </w:t>
      </w:r>
      <w:r w:rsidR="002517CB" w:rsidRPr="00C37D83">
        <w:rPr>
          <w:rFonts w:ascii="Arial" w:hAnsi="Arial" w:cs="Arial"/>
          <w:bCs/>
        </w:rPr>
        <w:t xml:space="preserve">Council must </w:t>
      </w:r>
      <w:r w:rsidR="00FF444F">
        <w:rPr>
          <w:rFonts w:ascii="Arial" w:hAnsi="Arial" w:cs="Arial"/>
        </w:rPr>
        <w:t>maintain full-service delivery</w:t>
      </w:r>
      <w:r w:rsidR="001301F5">
        <w:rPr>
          <w:rFonts w:ascii="Arial" w:hAnsi="Arial" w:cs="Arial"/>
        </w:rPr>
        <w:t>;</w:t>
      </w:r>
      <w:r w:rsidR="00943863">
        <w:rPr>
          <w:rFonts w:ascii="Arial" w:hAnsi="Arial" w:cs="Arial"/>
        </w:rPr>
        <w:t xml:space="preserve"> while also seeking to</w:t>
      </w:r>
      <w:r w:rsidR="00FF444F">
        <w:rPr>
          <w:rFonts w:ascii="Arial" w:hAnsi="Arial" w:cs="Arial"/>
        </w:rPr>
        <w:t xml:space="preserve"> deliver against it’s Vision 2030 priorities.</w:t>
      </w:r>
      <w:r w:rsidR="0069372B" w:rsidRPr="0069372B">
        <w:rPr>
          <w:rFonts w:ascii="Arial" w:hAnsi="Arial" w:cs="Arial"/>
          <w:bCs/>
        </w:rPr>
        <w:t xml:space="preserve"> </w:t>
      </w:r>
    </w:p>
    <w:p w14:paraId="20A9E024" w14:textId="02C46970" w:rsidR="00FF444F" w:rsidRDefault="00FF444F" w:rsidP="002F2D6F">
      <w:pPr>
        <w:autoSpaceDE w:val="0"/>
        <w:autoSpaceDN w:val="0"/>
        <w:adjustRightInd w:val="0"/>
        <w:jc w:val="both"/>
        <w:rPr>
          <w:rFonts w:ascii="Arial" w:hAnsi="Arial" w:cs="Arial"/>
        </w:rPr>
      </w:pPr>
    </w:p>
    <w:p w14:paraId="510E255C" w14:textId="03962151" w:rsidR="00FF444F" w:rsidRPr="00896A15" w:rsidRDefault="00FF444F" w:rsidP="00FF444F">
      <w:pPr>
        <w:jc w:val="both"/>
        <w:rPr>
          <w:rFonts w:ascii="Arial" w:hAnsi="Arial" w:cs="Arial"/>
          <w:lang w:eastAsia="en-GB"/>
        </w:rPr>
      </w:pPr>
      <w:r w:rsidRPr="00896A15">
        <w:rPr>
          <w:rFonts w:ascii="Arial" w:hAnsi="Arial" w:cs="Arial"/>
          <w:lang w:eastAsia="en-GB"/>
        </w:rPr>
        <w:t>Delivering against these three outcomes will no doubt stretch the organisation and test it’s resilience</w:t>
      </w:r>
      <w:r w:rsidR="000120D7">
        <w:rPr>
          <w:rFonts w:ascii="Arial" w:hAnsi="Arial" w:cs="Arial"/>
          <w:lang w:eastAsia="en-GB"/>
        </w:rPr>
        <w:t xml:space="preserve">,  </w:t>
      </w:r>
      <w:r w:rsidRPr="00896A15">
        <w:rPr>
          <w:rFonts w:ascii="Arial" w:hAnsi="Arial" w:cs="Arial"/>
          <w:lang w:eastAsia="en-GB"/>
        </w:rPr>
        <w:t>it will require a disciplined and co-ordinated approach to how the Council manages it’s resources and a willingness to make difficult decisions.</w:t>
      </w:r>
      <w:r w:rsidR="00E50693">
        <w:rPr>
          <w:rFonts w:ascii="Arial" w:hAnsi="Arial" w:cs="Arial"/>
          <w:lang w:eastAsia="en-GB"/>
        </w:rPr>
        <w:t xml:space="preserve">  </w:t>
      </w:r>
    </w:p>
    <w:p w14:paraId="53059D55" w14:textId="77777777" w:rsidR="00FF444F" w:rsidRDefault="00FF444F" w:rsidP="00DE0E4A">
      <w:pPr>
        <w:autoSpaceDE w:val="0"/>
        <w:autoSpaceDN w:val="0"/>
        <w:adjustRightInd w:val="0"/>
        <w:jc w:val="both"/>
        <w:rPr>
          <w:rFonts w:ascii="Arial" w:hAnsi="Arial" w:cs="Arial"/>
          <w:bCs/>
        </w:rPr>
      </w:pPr>
    </w:p>
    <w:p w14:paraId="40040C5A" w14:textId="40340762" w:rsidR="008F0938" w:rsidRDefault="000120D7" w:rsidP="00335B67">
      <w:pPr>
        <w:autoSpaceDE w:val="0"/>
        <w:autoSpaceDN w:val="0"/>
        <w:adjustRightInd w:val="0"/>
        <w:jc w:val="both"/>
        <w:rPr>
          <w:rFonts w:ascii="Arial" w:hAnsi="Arial" w:cs="Arial"/>
          <w:bCs/>
        </w:rPr>
      </w:pPr>
      <w:r>
        <w:rPr>
          <w:rFonts w:ascii="Arial" w:hAnsi="Arial" w:cs="Arial"/>
          <w:bCs/>
        </w:rPr>
        <w:t xml:space="preserve">In light of this, after funding </w:t>
      </w:r>
      <w:r>
        <w:rPr>
          <w:rFonts w:ascii="Arial" w:hAnsi="Arial" w:cs="Arial"/>
          <w:lang w:eastAsia="en-GB"/>
        </w:rPr>
        <w:t>the structural budget gap and cost, demand and service pressures</w:t>
      </w:r>
      <w:r w:rsidR="001A0E3D">
        <w:rPr>
          <w:rFonts w:ascii="Arial" w:hAnsi="Arial" w:cs="Arial"/>
          <w:lang w:eastAsia="en-GB"/>
        </w:rPr>
        <w:t>,</w:t>
      </w:r>
      <w:r w:rsidR="00B46DC8">
        <w:rPr>
          <w:rFonts w:ascii="Arial" w:hAnsi="Arial" w:cs="Arial"/>
          <w:lang w:eastAsia="en-GB"/>
        </w:rPr>
        <w:t xml:space="preserve"> the additional</w:t>
      </w:r>
      <w:r>
        <w:rPr>
          <w:rFonts w:ascii="Arial" w:hAnsi="Arial" w:cs="Arial"/>
          <w:bCs/>
        </w:rPr>
        <w:t xml:space="preserve"> </w:t>
      </w:r>
      <w:r w:rsidR="00017147">
        <w:rPr>
          <w:rFonts w:ascii="Arial" w:hAnsi="Arial" w:cs="Arial"/>
          <w:bCs/>
        </w:rPr>
        <w:t>resources available with</w:t>
      </w:r>
      <w:r w:rsidR="001A0E3D">
        <w:rPr>
          <w:rFonts w:ascii="Arial" w:hAnsi="Arial" w:cs="Arial"/>
          <w:bCs/>
        </w:rPr>
        <w:t>in</w:t>
      </w:r>
      <w:r w:rsidR="00017147">
        <w:rPr>
          <w:rFonts w:ascii="Arial" w:hAnsi="Arial" w:cs="Arial"/>
          <w:bCs/>
        </w:rPr>
        <w:t xml:space="preserve"> </w:t>
      </w:r>
      <w:r w:rsidR="001E2463">
        <w:rPr>
          <w:rFonts w:ascii="Arial" w:hAnsi="Arial" w:cs="Arial"/>
          <w:bCs/>
        </w:rPr>
        <w:t xml:space="preserve">the first two years of this MTFS have been </w:t>
      </w:r>
      <w:r w:rsidR="00B2522F">
        <w:rPr>
          <w:rFonts w:ascii="Arial" w:hAnsi="Arial" w:cs="Arial"/>
          <w:bCs/>
        </w:rPr>
        <w:t>prioritised towards</w:t>
      </w:r>
      <w:r w:rsidR="008D4361">
        <w:rPr>
          <w:rFonts w:ascii="Arial" w:hAnsi="Arial" w:cs="Arial"/>
          <w:bCs/>
        </w:rPr>
        <w:t>;</w:t>
      </w:r>
      <w:r w:rsidR="00B2522F">
        <w:rPr>
          <w:rFonts w:ascii="Arial" w:hAnsi="Arial" w:cs="Arial"/>
          <w:bCs/>
        </w:rPr>
        <w:t xml:space="preserve"> </w:t>
      </w:r>
      <w:r w:rsidR="00B46DC8">
        <w:rPr>
          <w:rFonts w:ascii="Arial" w:hAnsi="Arial" w:cs="Arial"/>
          <w:bCs/>
        </w:rPr>
        <w:t xml:space="preserve">the </w:t>
      </w:r>
      <w:r w:rsidR="00F554C1">
        <w:rPr>
          <w:rFonts w:ascii="Arial" w:hAnsi="Arial" w:cs="Arial"/>
          <w:bCs/>
        </w:rPr>
        <w:t>creati</w:t>
      </w:r>
      <w:r w:rsidR="00B46DC8">
        <w:rPr>
          <w:rFonts w:ascii="Arial" w:hAnsi="Arial" w:cs="Arial"/>
          <w:bCs/>
        </w:rPr>
        <w:t>on of</w:t>
      </w:r>
      <w:r w:rsidR="00F554C1">
        <w:rPr>
          <w:rFonts w:ascii="Arial" w:hAnsi="Arial" w:cs="Arial"/>
          <w:bCs/>
        </w:rPr>
        <w:t xml:space="preserve"> a Future Readiness/Transition reserve </w:t>
      </w:r>
      <w:r w:rsidR="00975B19">
        <w:rPr>
          <w:rFonts w:ascii="Arial" w:hAnsi="Arial" w:cs="Arial"/>
          <w:bCs/>
        </w:rPr>
        <w:t>for LGR</w:t>
      </w:r>
      <w:r w:rsidR="008D4361">
        <w:rPr>
          <w:rFonts w:ascii="Arial" w:hAnsi="Arial" w:cs="Arial"/>
          <w:bCs/>
        </w:rPr>
        <w:t>;</w:t>
      </w:r>
      <w:r w:rsidR="00B46DC8">
        <w:rPr>
          <w:rFonts w:ascii="Arial" w:hAnsi="Arial" w:cs="Arial"/>
          <w:bCs/>
        </w:rPr>
        <w:t xml:space="preserve"> </w:t>
      </w:r>
      <w:r w:rsidR="008D4361">
        <w:rPr>
          <w:rFonts w:ascii="Arial" w:hAnsi="Arial" w:cs="Arial"/>
          <w:bCs/>
        </w:rPr>
        <w:t xml:space="preserve"> and to </w:t>
      </w:r>
      <w:r w:rsidR="00B46DC8">
        <w:rPr>
          <w:rFonts w:ascii="Arial" w:hAnsi="Arial" w:cs="Arial"/>
          <w:bCs/>
        </w:rPr>
        <w:t>support delivery of Vision 2030</w:t>
      </w:r>
      <w:r w:rsidR="008D4361">
        <w:rPr>
          <w:rFonts w:ascii="Arial" w:hAnsi="Arial" w:cs="Arial"/>
          <w:bCs/>
        </w:rPr>
        <w:t>.</w:t>
      </w:r>
      <w:r w:rsidR="00E5092E">
        <w:rPr>
          <w:rFonts w:ascii="Arial" w:hAnsi="Arial" w:cs="Arial"/>
          <w:bCs/>
        </w:rPr>
        <w:t xml:space="preserve">  </w:t>
      </w:r>
      <w:r w:rsidR="00E5092E" w:rsidRPr="00A2266C">
        <w:rPr>
          <w:rFonts w:ascii="Arial" w:hAnsi="Arial" w:cs="Arial"/>
          <w:lang w:eastAsia="en-GB"/>
        </w:rPr>
        <w:t>Balancing its financial resources, and capacity to deliver in this way should ensure that the Council is able to stay focused on Vision 2030 while supporting</w:t>
      </w:r>
      <w:r w:rsidR="00E5092E">
        <w:rPr>
          <w:rFonts w:ascii="Arial" w:hAnsi="Arial" w:cs="Arial"/>
          <w:lang w:eastAsia="en-GB"/>
        </w:rPr>
        <w:t xml:space="preserve"> the transition</w:t>
      </w:r>
      <w:r w:rsidR="00350249">
        <w:rPr>
          <w:rFonts w:ascii="Arial" w:hAnsi="Arial" w:cs="Arial"/>
          <w:lang w:eastAsia="en-GB"/>
        </w:rPr>
        <w:t xml:space="preserve"> to a new authority.</w:t>
      </w:r>
    </w:p>
    <w:p w14:paraId="24F3F625" w14:textId="77777777" w:rsidR="00335B67" w:rsidRDefault="00335B67" w:rsidP="00335B67">
      <w:pPr>
        <w:autoSpaceDE w:val="0"/>
        <w:autoSpaceDN w:val="0"/>
        <w:adjustRightInd w:val="0"/>
        <w:jc w:val="both"/>
        <w:rPr>
          <w:rFonts w:ascii="Arial" w:hAnsi="Arial" w:cs="Arial"/>
          <w:bCs/>
        </w:rPr>
      </w:pPr>
    </w:p>
    <w:p w14:paraId="6A4CCFAA" w14:textId="30789A4D" w:rsidR="00335B67" w:rsidRDefault="00335B67" w:rsidP="00335B67">
      <w:pPr>
        <w:autoSpaceDE w:val="0"/>
        <w:autoSpaceDN w:val="0"/>
        <w:adjustRightInd w:val="0"/>
        <w:jc w:val="both"/>
        <w:rPr>
          <w:rFonts w:ascii="Arial" w:hAnsi="Arial" w:cs="Arial"/>
        </w:rPr>
      </w:pPr>
      <w:r w:rsidRPr="00190FFD">
        <w:rPr>
          <w:rFonts w:ascii="Arial" w:hAnsi="Arial" w:cs="Arial"/>
        </w:rPr>
        <w:t xml:space="preserve">Beyond 2028 this MTFS does not propose </w:t>
      </w:r>
      <w:r w:rsidR="009C2EBD">
        <w:rPr>
          <w:rFonts w:ascii="Arial" w:hAnsi="Arial" w:cs="Arial"/>
        </w:rPr>
        <w:t>the</w:t>
      </w:r>
      <w:r w:rsidR="007C71BB">
        <w:rPr>
          <w:rFonts w:ascii="Arial" w:hAnsi="Arial" w:cs="Arial"/>
        </w:rPr>
        <w:t xml:space="preserve"> </w:t>
      </w:r>
      <w:r w:rsidRPr="00190FFD">
        <w:rPr>
          <w:rFonts w:ascii="Arial" w:hAnsi="Arial" w:cs="Arial"/>
        </w:rPr>
        <w:t xml:space="preserve">allocation of </w:t>
      </w:r>
      <w:r w:rsidR="009C2EBD">
        <w:rPr>
          <w:rFonts w:ascii="Arial" w:hAnsi="Arial" w:cs="Arial"/>
        </w:rPr>
        <w:t>any further</w:t>
      </w:r>
      <w:r w:rsidRPr="00190FFD">
        <w:rPr>
          <w:rFonts w:ascii="Arial" w:hAnsi="Arial" w:cs="Arial"/>
        </w:rPr>
        <w:t xml:space="preserve"> </w:t>
      </w:r>
      <w:r w:rsidR="007C71BB">
        <w:rPr>
          <w:rFonts w:ascii="Arial" w:hAnsi="Arial" w:cs="Arial"/>
        </w:rPr>
        <w:t xml:space="preserve">available </w:t>
      </w:r>
      <w:r w:rsidRPr="00190FFD">
        <w:rPr>
          <w:rFonts w:ascii="Arial" w:hAnsi="Arial" w:cs="Arial"/>
        </w:rPr>
        <w:t xml:space="preserve">resources and instead forecasts the resources to contribute to general balances, allowing the new unitary </w:t>
      </w:r>
      <w:r w:rsidR="00C5129F" w:rsidRPr="00190FFD">
        <w:rPr>
          <w:rFonts w:ascii="Arial" w:hAnsi="Arial" w:cs="Arial"/>
        </w:rPr>
        <w:t>authority</w:t>
      </w:r>
      <w:r w:rsidRPr="00190FFD">
        <w:rPr>
          <w:rFonts w:ascii="Arial" w:hAnsi="Arial" w:cs="Arial"/>
        </w:rPr>
        <w:t xml:space="preserve"> to determine the use of the resources in developing </w:t>
      </w:r>
      <w:r w:rsidR="00C5129F">
        <w:rPr>
          <w:rFonts w:ascii="Arial" w:hAnsi="Arial" w:cs="Arial"/>
        </w:rPr>
        <w:t>it’s</w:t>
      </w:r>
      <w:r w:rsidRPr="00190FFD">
        <w:rPr>
          <w:rFonts w:ascii="Arial" w:hAnsi="Arial" w:cs="Arial"/>
        </w:rPr>
        <w:t xml:space="preserve"> own financial strateg</w:t>
      </w:r>
      <w:r w:rsidR="00C5129F">
        <w:rPr>
          <w:rFonts w:ascii="Arial" w:hAnsi="Arial" w:cs="Arial"/>
        </w:rPr>
        <w:t>y.</w:t>
      </w:r>
    </w:p>
    <w:p w14:paraId="5250DC78" w14:textId="77777777" w:rsidR="00335B67" w:rsidRDefault="00335B67" w:rsidP="00335B67">
      <w:pPr>
        <w:autoSpaceDE w:val="0"/>
        <w:autoSpaceDN w:val="0"/>
        <w:adjustRightInd w:val="0"/>
        <w:jc w:val="both"/>
        <w:rPr>
          <w:rFonts w:ascii="Arial" w:hAnsi="Arial" w:cs="Arial"/>
          <w:b/>
          <w:color w:val="C45911"/>
          <w:sz w:val="28"/>
          <w:szCs w:val="28"/>
          <w:highlight w:val="yellow"/>
        </w:rPr>
      </w:pPr>
    </w:p>
    <w:p w14:paraId="68A018B4" w14:textId="2C4E6360" w:rsidR="004C4372" w:rsidRPr="00C20431" w:rsidRDefault="004C5BBF" w:rsidP="004C4372">
      <w:pPr>
        <w:jc w:val="both"/>
        <w:rPr>
          <w:rFonts w:ascii="Arial" w:hAnsi="Arial" w:cs="Arial"/>
        </w:rPr>
      </w:pPr>
      <w:r>
        <w:rPr>
          <w:rFonts w:ascii="Arial" w:hAnsi="Arial" w:cs="Arial"/>
          <w:lang w:eastAsia="en-GB"/>
        </w:rPr>
        <w:t>Despite the</w:t>
      </w:r>
      <w:r w:rsidR="00CF774A" w:rsidRPr="00A816E5">
        <w:rPr>
          <w:rFonts w:ascii="Arial" w:hAnsi="Arial" w:cs="Arial"/>
          <w:lang w:eastAsia="en-GB"/>
        </w:rPr>
        <w:t xml:space="preserve"> improved funding position</w:t>
      </w:r>
      <w:r>
        <w:rPr>
          <w:rFonts w:ascii="Arial" w:hAnsi="Arial" w:cs="Arial"/>
          <w:lang w:eastAsia="en-GB"/>
        </w:rPr>
        <w:t>,</w:t>
      </w:r>
      <w:r w:rsidR="00CF774A" w:rsidRPr="00A816E5">
        <w:rPr>
          <w:rFonts w:ascii="Arial" w:hAnsi="Arial" w:cs="Arial"/>
          <w:lang w:eastAsia="en-GB"/>
        </w:rPr>
        <w:t xml:space="preserve"> provid</w:t>
      </w:r>
      <w:r>
        <w:rPr>
          <w:rFonts w:ascii="Arial" w:hAnsi="Arial" w:cs="Arial"/>
          <w:lang w:eastAsia="en-GB"/>
        </w:rPr>
        <w:t>ing</w:t>
      </w:r>
      <w:r w:rsidR="00CF774A" w:rsidRPr="00A816E5">
        <w:rPr>
          <w:rFonts w:ascii="Arial" w:hAnsi="Arial" w:cs="Arial"/>
          <w:lang w:eastAsia="en-GB"/>
        </w:rPr>
        <w:t xml:space="preserve"> a path to financial sustainability,</w:t>
      </w:r>
      <w:r>
        <w:rPr>
          <w:rFonts w:ascii="Arial" w:hAnsi="Arial" w:cs="Arial"/>
          <w:lang w:eastAsia="en-GB"/>
        </w:rPr>
        <w:t xml:space="preserve"> and the future of the Council beyond April 2028,</w:t>
      </w:r>
      <w:r w:rsidR="00CF774A" w:rsidRPr="00ED1B27">
        <w:rPr>
          <w:rFonts w:ascii="Arial" w:hAnsi="Arial" w:cs="Arial"/>
        </w:rPr>
        <w:t xml:space="preserve"> </w:t>
      </w:r>
      <w:r w:rsidR="00CF774A">
        <w:rPr>
          <w:rFonts w:ascii="Arial" w:hAnsi="Arial" w:cs="Arial"/>
        </w:rPr>
        <w:t xml:space="preserve">the Council must continue to demonstrate </w:t>
      </w:r>
      <w:r w:rsidR="008C2758">
        <w:rPr>
          <w:rFonts w:ascii="Arial" w:hAnsi="Arial" w:cs="Arial"/>
        </w:rPr>
        <w:t xml:space="preserve">strong </w:t>
      </w:r>
      <w:r w:rsidR="00CF774A">
        <w:rPr>
          <w:rFonts w:ascii="Arial" w:hAnsi="Arial" w:cs="Arial"/>
        </w:rPr>
        <w:t xml:space="preserve">financial discipline </w:t>
      </w:r>
      <w:r w:rsidR="008C2758">
        <w:rPr>
          <w:rFonts w:ascii="Arial" w:hAnsi="Arial" w:cs="Arial"/>
        </w:rPr>
        <w:t xml:space="preserve">and oversight </w:t>
      </w:r>
      <w:r w:rsidR="004A32CC">
        <w:rPr>
          <w:rFonts w:ascii="Arial" w:hAnsi="Arial" w:cs="Arial"/>
        </w:rPr>
        <w:t xml:space="preserve">and manage </w:t>
      </w:r>
      <w:r w:rsidR="006E472E">
        <w:rPr>
          <w:rFonts w:ascii="Arial" w:hAnsi="Arial" w:cs="Arial"/>
        </w:rPr>
        <w:t xml:space="preserve">it’s </w:t>
      </w:r>
      <w:r w:rsidR="004A32CC">
        <w:rPr>
          <w:rFonts w:ascii="Arial" w:hAnsi="Arial" w:cs="Arial"/>
        </w:rPr>
        <w:t xml:space="preserve"> finance</w:t>
      </w:r>
      <w:r w:rsidR="006E472E">
        <w:rPr>
          <w:rFonts w:ascii="Arial" w:hAnsi="Arial" w:cs="Arial"/>
        </w:rPr>
        <w:t xml:space="preserve">s with a longer term outlook, ensuring that </w:t>
      </w:r>
      <w:r w:rsidR="004C4372" w:rsidRPr="00C20431">
        <w:rPr>
          <w:rFonts w:ascii="Arial" w:hAnsi="Arial" w:cs="Arial"/>
        </w:rPr>
        <w:t xml:space="preserve">the financial position </w:t>
      </w:r>
      <w:r w:rsidR="004C4372">
        <w:rPr>
          <w:rFonts w:ascii="Arial" w:hAnsi="Arial" w:cs="Arial"/>
        </w:rPr>
        <w:t>a</w:t>
      </w:r>
      <w:r w:rsidR="004C4372" w:rsidRPr="00C20431">
        <w:rPr>
          <w:rFonts w:ascii="Arial" w:hAnsi="Arial" w:cs="Arial"/>
        </w:rPr>
        <w:t xml:space="preserve"> new unitary authority will inherit </w:t>
      </w:r>
      <w:r w:rsidR="004C4372">
        <w:rPr>
          <w:rFonts w:ascii="Arial" w:hAnsi="Arial" w:cs="Arial"/>
        </w:rPr>
        <w:t>is</w:t>
      </w:r>
      <w:r w:rsidR="004C4372" w:rsidRPr="00C20431">
        <w:rPr>
          <w:rFonts w:ascii="Arial" w:hAnsi="Arial" w:cs="Arial"/>
        </w:rPr>
        <w:t xml:space="preserve"> financially sustainable, </w:t>
      </w:r>
      <w:r w:rsidR="00793D86">
        <w:rPr>
          <w:rFonts w:ascii="Arial" w:hAnsi="Arial" w:cs="Arial"/>
        </w:rPr>
        <w:t>with no unmanaged</w:t>
      </w:r>
      <w:r w:rsidR="0096468F">
        <w:rPr>
          <w:rFonts w:ascii="Arial" w:hAnsi="Arial" w:cs="Arial"/>
        </w:rPr>
        <w:t xml:space="preserve"> deficits.</w:t>
      </w:r>
    </w:p>
    <w:p w14:paraId="71F5958D" w14:textId="60E0A78D" w:rsidR="00CF774A" w:rsidRDefault="00CF774A" w:rsidP="004C4372">
      <w:pPr>
        <w:jc w:val="both"/>
        <w:rPr>
          <w:rFonts w:ascii="Arial" w:hAnsi="Arial" w:cs="Arial"/>
          <w:b/>
          <w:color w:val="C45911"/>
          <w:sz w:val="28"/>
          <w:szCs w:val="28"/>
          <w:highlight w:val="yellow"/>
        </w:rPr>
      </w:pPr>
    </w:p>
    <w:p w14:paraId="7EC26744" w14:textId="6CCE24A8" w:rsidR="00F529F4" w:rsidRDefault="00C5129F" w:rsidP="00F529F4">
      <w:pPr>
        <w:autoSpaceDE w:val="0"/>
        <w:autoSpaceDN w:val="0"/>
        <w:adjustRightInd w:val="0"/>
        <w:jc w:val="both"/>
        <w:rPr>
          <w:rFonts w:ascii="Arial" w:hAnsi="Arial" w:cs="Arial"/>
          <w:lang w:eastAsia="en-GB"/>
        </w:rPr>
      </w:pPr>
      <w:r w:rsidRPr="00E44853">
        <w:rPr>
          <w:rFonts w:ascii="Arial" w:hAnsi="Arial" w:cs="Arial"/>
          <w:bCs/>
        </w:rPr>
        <w:t xml:space="preserve">This </w:t>
      </w:r>
      <w:r w:rsidR="00350249">
        <w:rPr>
          <w:rFonts w:ascii="Arial" w:hAnsi="Arial" w:cs="Arial"/>
          <w:bCs/>
        </w:rPr>
        <w:t>MTFS</w:t>
      </w:r>
      <w:r w:rsidRPr="00E44853">
        <w:rPr>
          <w:rFonts w:ascii="Arial" w:hAnsi="Arial" w:cs="Arial"/>
          <w:bCs/>
        </w:rPr>
        <w:t xml:space="preserve"> provides the structure and principles needed to navigate </w:t>
      </w:r>
      <w:r w:rsidR="0096468F">
        <w:rPr>
          <w:rFonts w:ascii="Arial" w:hAnsi="Arial" w:cs="Arial"/>
          <w:bCs/>
        </w:rPr>
        <w:t xml:space="preserve">the current </w:t>
      </w:r>
      <w:r w:rsidRPr="00E44853">
        <w:rPr>
          <w:rFonts w:ascii="Arial" w:hAnsi="Arial" w:cs="Arial"/>
          <w:bCs/>
        </w:rPr>
        <w:t xml:space="preserve">uncertainty, stay focussed on Vision 2030 and support a successful transition </w:t>
      </w:r>
      <w:r w:rsidR="00412A2F" w:rsidRPr="00E44853">
        <w:rPr>
          <w:rFonts w:ascii="Arial" w:hAnsi="Arial" w:cs="Arial"/>
          <w:bCs/>
        </w:rPr>
        <w:t>to the next chapter of local government in Lincoln</w:t>
      </w:r>
      <w:r w:rsidR="00F529F4" w:rsidRPr="00A2266C">
        <w:rPr>
          <w:rFonts w:ascii="Arial" w:hAnsi="Arial" w:cs="Arial"/>
          <w:lang w:eastAsia="en-GB"/>
        </w:rPr>
        <w:t>.</w:t>
      </w:r>
    </w:p>
    <w:p w14:paraId="1D73C469" w14:textId="77777777" w:rsidR="00320F92" w:rsidRPr="007752B4" w:rsidRDefault="00320F92" w:rsidP="008D21A3">
      <w:pPr>
        <w:jc w:val="both"/>
        <w:rPr>
          <w:rFonts w:ascii="Arial" w:hAnsi="Arial" w:cs="Arial"/>
          <w:highlight w:val="yellow"/>
        </w:rPr>
      </w:pPr>
    </w:p>
    <w:p w14:paraId="41BE4DE1" w14:textId="77777777" w:rsidR="00893CD1" w:rsidRPr="007752B4" w:rsidRDefault="00893CD1" w:rsidP="00893CD1">
      <w:pPr>
        <w:jc w:val="both"/>
        <w:rPr>
          <w:rFonts w:ascii="Arial" w:hAnsi="Arial" w:cs="Arial"/>
          <w:highlight w:val="yellow"/>
          <w:lang w:eastAsia="en-GB"/>
        </w:rPr>
      </w:pPr>
    </w:p>
    <w:p w14:paraId="3CBE8D5A" w14:textId="77777777" w:rsidR="00893CD1" w:rsidRPr="00990B0E" w:rsidRDefault="00EC24F7" w:rsidP="00893CD1">
      <w:pPr>
        <w:jc w:val="right"/>
        <w:rPr>
          <w:rFonts w:ascii="Arial" w:hAnsi="Arial" w:cs="Arial"/>
          <w:b/>
          <w:lang w:eastAsia="en-GB"/>
        </w:rPr>
      </w:pPr>
      <w:r w:rsidRPr="00990B0E">
        <w:rPr>
          <w:rFonts w:ascii="Arial" w:hAnsi="Arial" w:cs="Arial"/>
          <w:b/>
          <w:lang w:eastAsia="en-GB"/>
        </w:rPr>
        <w:t xml:space="preserve">Jaclyn Gibson, </w:t>
      </w:r>
      <w:r w:rsidR="009E168B" w:rsidRPr="00990B0E">
        <w:rPr>
          <w:rFonts w:ascii="Arial" w:hAnsi="Arial" w:cs="Arial"/>
          <w:b/>
          <w:lang w:eastAsia="en-GB"/>
        </w:rPr>
        <w:t>F</w:t>
      </w:r>
      <w:r w:rsidRPr="00990B0E">
        <w:rPr>
          <w:rFonts w:ascii="Arial" w:hAnsi="Arial" w:cs="Arial"/>
          <w:b/>
          <w:lang w:eastAsia="en-GB"/>
        </w:rPr>
        <w:t>CCA</w:t>
      </w:r>
    </w:p>
    <w:p w14:paraId="754193A7" w14:textId="77777777" w:rsidR="00893CD1" w:rsidRPr="00990B0E" w:rsidRDefault="00893CD1" w:rsidP="00893CD1">
      <w:pPr>
        <w:jc w:val="right"/>
        <w:rPr>
          <w:rFonts w:ascii="Arial" w:hAnsi="Arial" w:cs="Arial"/>
          <w:b/>
          <w:lang w:eastAsia="en-GB"/>
        </w:rPr>
      </w:pPr>
      <w:r w:rsidRPr="00990B0E">
        <w:rPr>
          <w:rFonts w:ascii="Arial" w:hAnsi="Arial" w:cs="Arial"/>
          <w:b/>
          <w:lang w:eastAsia="en-GB"/>
        </w:rPr>
        <w:t>Chief Finance Officer</w:t>
      </w:r>
    </w:p>
    <w:p w14:paraId="24122B9B" w14:textId="77777777" w:rsidR="0020593F" w:rsidRPr="00263257" w:rsidRDefault="00EB2FB8" w:rsidP="00EA1A67">
      <w:pPr>
        <w:jc w:val="both"/>
        <w:rPr>
          <w:rFonts w:ascii="Arial" w:hAnsi="Arial" w:cs="Arial"/>
          <w:b/>
          <w:color w:val="C45911"/>
          <w:sz w:val="32"/>
          <w:szCs w:val="32"/>
        </w:rPr>
      </w:pPr>
      <w:r w:rsidRPr="007752B4">
        <w:rPr>
          <w:rFonts w:ascii="Arial" w:hAnsi="Arial" w:cs="Arial"/>
          <w:sz w:val="28"/>
          <w:szCs w:val="28"/>
          <w:highlight w:val="yellow"/>
        </w:rPr>
        <w:br w:type="page"/>
      </w:r>
      <w:r w:rsidR="0020593F" w:rsidRPr="00263257">
        <w:rPr>
          <w:rFonts w:ascii="Arial" w:hAnsi="Arial" w:cs="Arial"/>
          <w:b/>
          <w:color w:val="C45911"/>
          <w:sz w:val="32"/>
          <w:szCs w:val="32"/>
        </w:rPr>
        <w:t>Section 1 – Introduction</w:t>
      </w:r>
    </w:p>
    <w:p w14:paraId="681F8CC8" w14:textId="77777777" w:rsidR="0020593F" w:rsidRPr="00263257" w:rsidRDefault="0020593F" w:rsidP="0020593F">
      <w:pPr>
        <w:rPr>
          <w:rFonts w:ascii="Arial" w:hAnsi="Arial" w:cs="Arial"/>
        </w:rPr>
      </w:pPr>
    </w:p>
    <w:p w14:paraId="1D68CCB2" w14:textId="40FC0764" w:rsidR="00C832A6" w:rsidRPr="00263257" w:rsidRDefault="0020593F" w:rsidP="0020593F">
      <w:pPr>
        <w:pStyle w:val="BodyTextIndent"/>
        <w:ind w:left="0"/>
      </w:pPr>
      <w:r w:rsidRPr="00263257">
        <w:t>The purpose of th</w:t>
      </w:r>
      <w:r w:rsidR="00F305AE" w:rsidRPr="00263257">
        <w:t xml:space="preserve">e </w:t>
      </w:r>
      <w:r w:rsidRPr="00263257">
        <w:t xml:space="preserve">MTFS is to set out the overall framework on which the Council plans and manages its financial resources to ensure that they fit with, and support, the direction of the Council’s </w:t>
      </w:r>
      <w:r w:rsidR="00580F4F" w:rsidRPr="00263257">
        <w:t>v</w:t>
      </w:r>
      <w:r w:rsidR="002605D3" w:rsidRPr="00263257">
        <w:t>ision</w:t>
      </w:r>
      <w:r w:rsidR="00580F4F" w:rsidRPr="00263257">
        <w:t xml:space="preserve"> and strategic priorities</w:t>
      </w:r>
      <w:r w:rsidR="002605D3" w:rsidRPr="00263257">
        <w:t>.</w:t>
      </w:r>
      <w:r w:rsidR="00C832A6" w:rsidRPr="00263257">
        <w:t xml:space="preserve">  The Council </w:t>
      </w:r>
      <w:r w:rsidR="00FA3EAD" w:rsidRPr="00263257">
        <w:t xml:space="preserve">currently </w:t>
      </w:r>
      <w:r w:rsidR="00C832A6" w:rsidRPr="00263257">
        <w:t xml:space="preserve">has </w:t>
      </w:r>
      <w:r w:rsidR="00A34434" w:rsidRPr="00263257">
        <w:t>five</w:t>
      </w:r>
      <w:r w:rsidR="00C832A6" w:rsidRPr="00263257">
        <w:t xml:space="preserve"> clear strategic priorities</w:t>
      </w:r>
      <w:r w:rsidR="00FA3EAD" w:rsidRPr="00263257">
        <w:t xml:space="preserve">, </w:t>
      </w:r>
      <w:r w:rsidR="00C832A6" w:rsidRPr="00263257">
        <w:t xml:space="preserve">and in order to achieve those priorities the Council must have a clear and robust financial strategy which focuses on the </w:t>
      </w:r>
      <w:r w:rsidR="00C751EB" w:rsidRPr="00263257">
        <w:t>long-term</w:t>
      </w:r>
      <w:r w:rsidR="00C832A6" w:rsidRPr="00263257">
        <w:t xml:space="preserve"> financial sustainability of the organisation</w:t>
      </w:r>
      <w:r w:rsidR="009E168B" w:rsidRPr="00263257">
        <w:t>.</w:t>
      </w:r>
    </w:p>
    <w:p w14:paraId="58817BB0" w14:textId="77777777" w:rsidR="0020593F" w:rsidRPr="007752B4" w:rsidRDefault="0020593F" w:rsidP="0020593F">
      <w:pPr>
        <w:ind w:left="60"/>
        <w:jc w:val="both"/>
        <w:rPr>
          <w:rFonts w:ascii="Arial" w:hAnsi="Arial" w:cs="Arial"/>
          <w:highlight w:val="yellow"/>
        </w:rPr>
      </w:pPr>
    </w:p>
    <w:p w14:paraId="7A730386" w14:textId="71B906E0" w:rsidR="0020593F" w:rsidRDefault="0020593F" w:rsidP="0020593F">
      <w:pPr>
        <w:jc w:val="both"/>
        <w:rPr>
          <w:rFonts w:ascii="Arial" w:hAnsi="Arial" w:cs="Arial"/>
        </w:rPr>
      </w:pPr>
      <w:r w:rsidRPr="00263257">
        <w:rPr>
          <w:rFonts w:ascii="Arial" w:hAnsi="Arial" w:cs="Arial"/>
        </w:rPr>
        <w:t>The MTFS</w:t>
      </w:r>
      <w:r w:rsidR="00C832A6" w:rsidRPr="00263257">
        <w:rPr>
          <w:rFonts w:ascii="Arial" w:hAnsi="Arial" w:cs="Arial"/>
        </w:rPr>
        <w:t xml:space="preserve"> draws on a review of the local economic landscape, and the impacts of the wider national economic and political landscape. It </w:t>
      </w:r>
      <w:r w:rsidRPr="00263257">
        <w:rPr>
          <w:rFonts w:ascii="Arial" w:hAnsi="Arial" w:cs="Arial"/>
        </w:rPr>
        <w:t>looks ahead over the coming five financial years to identify the resource</w:t>
      </w:r>
      <w:r w:rsidR="001A544A" w:rsidRPr="00263257">
        <w:rPr>
          <w:rFonts w:ascii="Arial" w:hAnsi="Arial" w:cs="Arial"/>
        </w:rPr>
        <w:t>s</w:t>
      </w:r>
      <w:r w:rsidRPr="00263257">
        <w:rPr>
          <w:rFonts w:ascii="Arial" w:hAnsi="Arial" w:cs="Arial"/>
        </w:rPr>
        <w:t xml:space="preserve"> likely to be required by the Council to finance its priorities and meet </w:t>
      </w:r>
      <w:r w:rsidR="00A63330" w:rsidRPr="00263257">
        <w:rPr>
          <w:rFonts w:ascii="Arial" w:hAnsi="Arial" w:cs="Arial"/>
        </w:rPr>
        <w:t>the financial consequences of the demand for council services</w:t>
      </w:r>
      <w:r w:rsidRPr="00263257">
        <w:rPr>
          <w:rFonts w:ascii="Arial" w:hAnsi="Arial" w:cs="Arial"/>
        </w:rPr>
        <w:t xml:space="preserve">.  It also looks ahead to determine the resources likely to be available to the Council over the same period.  This plays a critical role in ensuring that </w:t>
      </w:r>
      <w:r w:rsidR="00FA3EAD" w:rsidRPr="00263257">
        <w:rPr>
          <w:rFonts w:ascii="Arial" w:hAnsi="Arial" w:cs="Arial"/>
        </w:rPr>
        <w:t xml:space="preserve">as </w:t>
      </w:r>
      <w:r w:rsidRPr="00263257">
        <w:rPr>
          <w:rFonts w:ascii="Arial" w:hAnsi="Arial" w:cs="Arial"/>
        </w:rPr>
        <w:t xml:space="preserve">the Council </w:t>
      </w:r>
      <w:r w:rsidR="00FA3EAD" w:rsidRPr="00263257">
        <w:rPr>
          <w:rFonts w:ascii="Arial" w:hAnsi="Arial" w:cs="Arial"/>
        </w:rPr>
        <w:t>develops</w:t>
      </w:r>
      <w:r w:rsidRPr="00263257">
        <w:rPr>
          <w:rFonts w:ascii="Arial" w:hAnsi="Arial" w:cs="Arial"/>
        </w:rPr>
        <w:t xml:space="preserve"> its key plans and strategies</w:t>
      </w:r>
      <w:r w:rsidR="00FA3EAD" w:rsidRPr="00263257">
        <w:rPr>
          <w:rFonts w:ascii="Arial" w:hAnsi="Arial" w:cs="Arial"/>
        </w:rPr>
        <w:t xml:space="preserve"> it has a sound understanding of the organisations longer term financial sustainability which </w:t>
      </w:r>
      <w:r w:rsidRPr="00263257">
        <w:rPr>
          <w:rFonts w:ascii="Arial" w:hAnsi="Arial" w:cs="Arial"/>
        </w:rPr>
        <w:t xml:space="preserve">enables decisions to be </w:t>
      </w:r>
      <w:r w:rsidR="00FA3EAD" w:rsidRPr="00263257">
        <w:rPr>
          <w:rFonts w:ascii="Arial" w:hAnsi="Arial" w:cs="Arial"/>
        </w:rPr>
        <w:t>made that balance the resource implications of the Council’s policies against financial constraints</w:t>
      </w:r>
      <w:r w:rsidRPr="00263257">
        <w:rPr>
          <w:rFonts w:ascii="Arial" w:hAnsi="Arial" w:cs="Arial"/>
        </w:rPr>
        <w:t>.</w:t>
      </w:r>
    </w:p>
    <w:p w14:paraId="64CF771F" w14:textId="77777777" w:rsidR="00D124C7" w:rsidRDefault="00D124C7" w:rsidP="0020593F">
      <w:pPr>
        <w:jc w:val="both"/>
        <w:rPr>
          <w:rFonts w:ascii="Arial" w:hAnsi="Arial" w:cs="Arial"/>
        </w:rPr>
      </w:pPr>
    </w:p>
    <w:p w14:paraId="287A75C7" w14:textId="5B689617" w:rsidR="00D124C7" w:rsidRPr="00263257" w:rsidRDefault="00D124C7" w:rsidP="0020593F">
      <w:pPr>
        <w:jc w:val="both"/>
        <w:rPr>
          <w:rFonts w:ascii="Arial" w:hAnsi="Arial" w:cs="Arial"/>
        </w:rPr>
      </w:pPr>
      <w:r w:rsidRPr="00AA0DFA">
        <w:rPr>
          <w:rFonts w:ascii="Arial" w:hAnsi="Arial" w:cs="Arial"/>
        </w:rPr>
        <w:t xml:space="preserve">Although under the Government’s </w:t>
      </w:r>
      <w:r w:rsidR="007646C1" w:rsidRPr="00AA0DFA">
        <w:rPr>
          <w:rFonts w:ascii="Arial" w:hAnsi="Arial" w:cs="Arial"/>
        </w:rPr>
        <w:t xml:space="preserve">current </w:t>
      </w:r>
      <w:r w:rsidRPr="00AA0DFA">
        <w:rPr>
          <w:rFonts w:ascii="Arial" w:hAnsi="Arial" w:cs="Arial"/>
        </w:rPr>
        <w:t>LGR</w:t>
      </w:r>
      <w:r w:rsidR="00996BD8">
        <w:rPr>
          <w:rFonts w:ascii="Arial" w:hAnsi="Arial" w:cs="Arial"/>
        </w:rPr>
        <w:t xml:space="preserve"> </w:t>
      </w:r>
      <w:r w:rsidRPr="00AA0DFA">
        <w:rPr>
          <w:rFonts w:ascii="Arial" w:hAnsi="Arial" w:cs="Arial"/>
        </w:rPr>
        <w:t>p</w:t>
      </w:r>
      <w:r w:rsidR="00996BD8">
        <w:rPr>
          <w:rFonts w:ascii="Arial" w:hAnsi="Arial" w:cs="Arial"/>
        </w:rPr>
        <w:t>rogramme</w:t>
      </w:r>
      <w:r w:rsidRPr="00AA0DFA">
        <w:rPr>
          <w:rFonts w:ascii="Arial" w:hAnsi="Arial" w:cs="Arial"/>
        </w:rPr>
        <w:t>, new</w:t>
      </w:r>
      <w:r w:rsidR="00996BD8">
        <w:rPr>
          <w:rFonts w:ascii="Arial" w:hAnsi="Arial" w:cs="Arial"/>
        </w:rPr>
        <w:t xml:space="preserve"> unitary</w:t>
      </w:r>
      <w:r w:rsidRPr="00AA0DFA">
        <w:rPr>
          <w:rFonts w:ascii="Arial" w:hAnsi="Arial" w:cs="Arial"/>
        </w:rPr>
        <w:t xml:space="preserve"> authorities are </w:t>
      </w:r>
      <w:r w:rsidR="00FF3D40" w:rsidRPr="00AA0DFA">
        <w:rPr>
          <w:rFonts w:ascii="Arial" w:hAnsi="Arial" w:cs="Arial"/>
        </w:rPr>
        <w:t xml:space="preserve">set </w:t>
      </w:r>
      <w:r w:rsidRPr="00AA0DFA">
        <w:rPr>
          <w:rFonts w:ascii="Arial" w:hAnsi="Arial" w:cs="Arial"/>
        </w:rPr>
        <w:t>to exist from 1</w:t>
      </w:r>
      <w:r w:rsidRPr="00AA0DFA">
        <w:rPr>
          <w:rFonts w:ascii="Arial" w:hAnsi="Arial" w:cs="Arial"/>
          <w:vertAlign w:val="superscript"/>
        </w:rPr>
        <w:t>st</w:t>
      </w:r>
      <w:r w:rsidRPr="00AA0DFA">
        <w:rPr>
          <w:rFonts w:ascii="Arial" w:hAnsi="Arial" w:cs="Arial"/>
        </w:rPr>
        <w:t xml:space="preserve"> April 2028, the 2026-2031 MTFS </w:t>
      </w:r>
      <w:r w:rsidR="00607ED1" w:rsidRPr="00AA0DFA">
        <w:rPr>
          <w:rFonts w:ascii="Arial" w:hAnsi="Arial" w:cs="Arial"/>
        </w:rPr>
        <w:t>has been developed</w:t>
      </w:r>
      <w:r w:rsidRPr="00AA0DFA">
        <w:rPr>
          <w:rFonts w:ascii="Arial" w:hAnsi="Arial" w:cs="Arial"/>
        </w:rPr>
        <w:t xml:space="preserve"> on the basis that the City of Lincoln Council will continue as a going concern until </w:t>
      </w:r>
      <w:r w:rsidR="00607ED1" w:rsidRPr="00AA0DFA">
        <w:rPr>
          <w:rFonts w:ascii="Arial" w:hAnsi="Arial" w:cs="Arial"/>
        </w:rPr>
        <w:t>the G</w:t>
      </w:r>
      <w:r w:rsidRPr="00AA0DFA">
        <w:rPr>
          <w:rFonts w:ascii="Arial" w:hAnsi="Arial" w:cs="Arial"/>
        </w:rPr>
        <w:t xml:space="preserve">overnment confirms </w:t>
      </w:r>
      <w:r w:rsidR="00FB2E21" w:rsidRPr="00AA0DFA">
        <w:rPr>
          <w:rFonts w:ascii="Arial" w:hAnsi="Arial" w:cs="Arial"/>
        </w:rPr>
        <w:t xml:space="preserve">the </w:t>
      </w:r>
      <w:r w:rsidR="007646C1" w:rsidRPr="00AA0DFA">
        <w:rPr>
          <w:rFonts w:ascii="Arial" w:hAnsi="Arial" w:cs="Arial"/>
        </w:rPr>
        <w:t>arrangements</w:t>
      </w:r>
      <w:r w:rsidRPr="00AA0DFA">
        <w:rPr>
          <w:rFonts w:ascii="Arial" w:hAnsi="Arial" w:cs="Arial"/>
        </w:rPr>
        <w:t xml:space="preserve"> for LGR</w:t>
      </w:r>
      <w:r w:rsidR="007646C1" w:rsidRPr="00AA0DFA">
        <w:rPr>
          <w:rFonts w:ascii="Arial" w:hAnsi="Arial" w:cs="Arial"/>
        </w:rPr>
        <w:t xml:space="preserve"> and </w:t>
      </w:r>
      <w:r w:rsidR="00DF6910">
        <w:rPr>
          <w:rFonts w:ascii="Arial" w:hAnsi="Arial" w:cs="Arial"/>
        </w:rPr>
        <w:t>the</w:t>
      </w:r>
      <w:r w:rsidR="007646C1">
        <w:rPr>
          <w:rFonts w:ascii="Arial" w:hAnsi="Arial" w:cs="Arial"/>
        </w:rPr>
        <w:t xml:space="preserve"> </w:t>
      </w:r>
      <w:r w:rsidR="007646C1" w:rsidRPr="00AA0DFA">
        <w:rPr>
          <w:rFonts w:ascii="Arial" w:hAnsi="Arial" w:cs="Arial"/>
        </w:rPr>
        <w:t xml:space="preserve">new structures that will be in </w:t>
      </w:r>
      <w:r w:rsidR="007646C1" w:rsidRPr="0039040B">
        <w:rPr>
          <w:rFonts w:ascii="Arial" w:hAnsi="Arial" w:cs="Arial"/>
        </w:rPr>
        <w:t>place.</w:t>
      </w:r>
      <w:r w:rsidR="00023473">
        <w:rPr>
          <w:rFonts w:ascii="Arial" w:hAnsi="Arial" w:cs="Arial"/>
        </w:rPr>
        <w:t xml:space="preserve"> </w:t>
      </w:r>
      <w:r w:rsidR="00EB364B" w:rsidRPr="0039040B">
        <w:rPr>
          <w:rFonts w:ascii="Arial" w:hAnsi="Arial" w:cs="Arial"/>
        </w:rPr>
        <w:t xml:space="preserve">However, </w:t>
      </w:r>
      <w:r w:rsidR="00A17CA6" w:rsidRPr="0039040B">
        <w:rPr>
          <w:rFonts w:ascii="Arial" w:hAnsi="Arial" w:cs="Arial"/>
        </w:rPr>
        <w:t xml:space="preserve">preparing for </w:t>
      </w:r>
      <w:r w:rsidR="00674FBF" w:rsidRPr="0039040B">
        <w:rPr>
          <w:rFonts w:ascii="Arial" w:hAnsi="Arial" w:cs="Arial"/>
        </w:rPr>
        <w:t>a new unitary authority in 2028</w:t>
      </w:r>
      <w:r w:rsidR="00EB01B7" w:rsidRPr="0039040B">
        <w:rPr>
          <w:rFonts w:ascii="Arial" w:hAnsi="Arial" w:cs="Arial"/>
        </w:rPr>
        <w:t xml:space="preserve"> will incur costs in 2026/27 and 2027/28</w:t>
      </w:r>
      <w:r w:rsidR="0095619B" w:rsidRPr="0039040B">
        <w:rPr>
          <w:rFonts w:ascii="Arial" w:hAnsi="Arial" w:cs="Arial"/>
        </w:rPr>
        <w:t>, and as there will be no</w:t>
      </w:r>
      <w:r w:rsidR="00DC4D92" w:rsidRPr="0039040B">
        <w:rPr>
          <w:rFonts w:ascii="Arial" w:hAnsi="Arial" w:cs="Arial"/>
        </w:rPr>
        <w:t xml:space="preserve"> additional government funding to cover the cost of LGR</w:t>
      </w:r>
      <w:r w:rsidR="00E814DE">
        <w:rPr>
          <w:rFonts w:ascii="Arial" w:hAnsi="Arial" w:cs="Arial"/>
        </w:rPr>
        <w:t>,</w:t>
      </w:r>
      <w:r w:rsidR="00DC4D92" w:rsidRPr="0039040B">
        <w:rPr>
          <w:rFonts w:ascii="Arial" w:hAnsi="Arial" w:cs="Arial"/>
        </w:rPr>
        <w:t xml:space="preserve"> then </w:t>
      </w:r>
      <w:r w:rsidR="00AD567C" w:rsidRPr="0039040B">
        <w:rPr>
          <w:rFonts w:ascii="Arial" w:hAnsi="Arial" w:cs="Arial"/>
        </w:rPr>
        <w:t xml:space="preserve">the MTFS will set aside </w:t>
      </w:r>
      <w:r w:rsidR="008C6B2D" w:rsidRPr="0039040B">
        <w:rPr>
          <w:rFonts w:ascii="Arial" w:hAnsi="Arial" w:cs="Arial"/>
        </w:rPr>
        <w:t>resources in readiness</w:t>
      </w:r>
      <w:r w:rsidR="000A46BD" w:rsidRPr="0039040B">
        <w:rPr>
          <w:rFonts w:ascii="Arial" w:hAnsi="Arial" w:cs="Arial"/>
        </w:rPr>
        <w:t>.</w:t>
      </w:r>
    </w:p>
    <w:p w14:paraId="295B1DCC" w14:textId="77777777" w:rsidR="0020593F" w:rsidRPr="007752B4" w:rsidRDefault="0020593F" w:rsidP="0020593F">
      <w:pPr>
        <w:ind w:left="60"/>
        <w:jc w:val="both"/>
        <w:rPr>
          <w:rFonts w:ascii="Arial" w:hAnsi="Arial" w:cs="Arial"/>
          <w:highlight w:val="yellow"/>
        </w:rPr>
      </w:pPr>
    </w:p>
    <w:p w14:paraId="2792E72A" w14:textId="77777777" w:rsidR="0020593F" w:rsidRPr="00607ED1" w:rsidRDefault="0020593F" w:rsidP="0020593F">
      <w:pPr>
        <w:pStyle w:val="BodyTextIndent"/>
        <w:ind w:left="0"/>
      </w:pPr>
      <w:r w:rsidRPr="00607ED1">
        <w:t xml:space="preserve">The MTFS integrates revenue allocations, savings targets, reserves and capital investment and provides indicative budgets and future Council Tax and Housing Rent levels for the period covered by the plan.  This approach has been in place for a number of years now and is an essential part of the budget setting process.  </w:t>
      </w:r>
    </w:p>
    <w:p w14:paraId="49BAF7BF" w14:textId="77777777" w:rsidR="0020593F" w:rsidRPr="00607ED1" w:rsidRDefault="0020593F" w:rsidP="0020593F">
      <w:pPr>
        <w:ind w:left="60"/>
        <w:jc w:val="both"/>
        <w:rPr>
          <w:rFonts w:ascii="Arial" w:hAnsi="Arial" w:cs="Arial"/>
        </w:rPr>
      </w:pPr>
    </w:p>
    <w:p w14:paraId="2C214231" w14:textId="7B75553D" w:rsidR="0020593F" w:rsidRPr="008C14A0" w:rsidRDefault="0020593F" w:rsidP="0020593F">
      <w:pPr>
        <w:autoSpaceDE w:val="0"/>
        <w:autoSpaceDN w:val="0"/>
        <w:adjustRightInd w:val="0"/>
        <w:jc w:val="both"/>
        <w:rPr>
          <w:rFonts w:ascii="Arial" w:hAnsi="Arial" w:cs="Arial"/>
        </w:rPr>
      </w:pPr>
      <w:r w:rsidRPr="008C14A0">
        <w:rPr>
          <w:rFonts w:ascii="Arial" w:hAnsi="Arial" w:cs="Arial"/>
          <w:lang w:val="en-US"/>
        </w:rPr>
        <w:t>Inevitably</w:t>
      </w:r>
      <w:r w:rsidR="0039040B">
        <w:rPr>
          <w:rFonts w:ascii="Arial" w:hAnsi="Arial" w:cs="Arial"/>
          <w:lang w:val="en-US"/>
        </w:rPr>
        <w:t xml:space="preserve"> though</w:t>
      </w:r>
      <w:r w:rsidRPr="008C14A0">
        <w:rPr>
          <w:rFonts w:ascii="Arial" w:hAnsi="Arial" w:cs="Arial"/>
          <w:lang w:val="en-US"/>
        </w:rPr>
        <w:t xml:space="preserve"> the Council’s plans will need to </w:t>
      </w:r>
      <w:r w:rsidRPr="008C14A0">
        <w:rPr>
          <w:rFonts w:ascii="Arial" w:hAnsi="Arial" w:cs="Arial"/>
        </w:rPr>
        <w:t>evolve and develop in response to new financial opportunities and risks</w:t>
      </w:r>
      <w:r w:rsidR="00FD5047" w:rsidRPr="008C14A0">
        <w:rPr>
          <w:rFonts w:ascii="Arial" w:hAnsi="Arial" w:cs="Arial"/>
        </w:rPr>
        <w:t xml:space="preserve"> and</w:t>
      </w:r>
      <w:r w:rsidR="00ED45FB" w:rsidRPr="008C14A0">
        <w:rPr>
          <w:rFonts w:ascii="Arial" w:hAnsi="Arial" w:cs="Arial"/>
        </w:rPr>
        <w:t xml:space="preserve"> </w:t>
      </w:r>
      <w:r w:rsidRPr="008C14A0">
        <w:rPr>
          <w:rFonts w:ascii="Arial" w:hAnsi="Arial" w:cs="Arial"/>
        </w:rPr>
        <w:t>new policy directions</w:t>
      </w:r>
      <w:r w:rsidR="0017578D" w:rsidRPr="008C14A0">
        <w:rPr>
          <w:rFonts w:ascii="Arial" w:hAnsi="Arial" w:cs="Arial"/>
        </w:rPr>
        <w:t>,</w:t>
      </w:r>
      <w:r w:rsidR="00A63330" w:rsidRPr="008C14A0">
        <w:rPr>
          <w:rFonts w:ascii="Arial" w:hAnsi="Arial" w:cs="Arial"/>
        </w:rPr>
        <w:t xml:space="preserve"> </w:t>
      </w:r>
      <w:r w:rsidR="0017578D" w:rsidRPr="008C14A0">
        <w:rPr>
          <w:rFonts w:ascii="Arial" w:hAnsi="Arial" w:cs="Arial"/>
        </w:rPr>
        <w:t>this</w:t>
      </w:r>
      <w:r w:rsidR="00FA3EAD" w:rsidRPr="008C14A0">
        <w:rPr>
          <w:rFonts w:ascii="Arial" w:hAnsi="Arial" w:cs="Arial"/>
        </w:rPr>
        <w:t xml:space="preserve"> has never</w:t>
      </w:r>
      <w:r w:rsidR="0017578D" w:rsidRPr="008C14A0">
        <w:rPr>
          <w:rFonts w:ascii="Arial" w:hAnsi="Arial" w:cs="Arial"/>
        </w:rPr>
        <w:t xml:space="preserve"> been more evident tha</w:t>
      </w:r>
      <w:r w:rsidR="00576FD0" w:rsidRPr="008C14A0">
        <w:rPr>
          <w:rFonts w:ascii="Arial" w:hAnsi="Arial" w:cs="Arial"/>
        </w:rPr>
        <w:t>n</w:t>
      </w:r>
      <w:r w:rsidR="0017578D" w:rsidRPr="008C14A0">
        <w:rPr>
          <w:rFonts w:ascii="Arial" w:hAnsi="Arial" w:cs="Arial"/>
        </w:rPr>
        <w:t xml:space="preserve"> in the current climate</w:t>
      </w:r>
      <w:r w:rsidR="008C14A0" w:rsidRPr="008C14A0">
        <w:rPr>
          <w:rFonts w:ascii="Arial" w:hAnsi="Arial" w:cs="Arial"/>
        </w:rPr>
        <w:t xml:space="preserve"> in light </w:t>
      </w:r>
      <w:r w:rsidR="00991AD9" w:rsidRPr="00991AD9">
        <w:rPr>
          <w:rFonts w:ascii="Arial" w:hAnsi="Arial" w:cs="Arial"/>
        </w:rPr>
        <w:t>of</w:t>
      </w:r>
      <w:r w:rsidR="008C14A0" w:rsidRPr="00991AD9">
        <w:rPr>
          <w:rFonts w:ascii="Arial" w:hAnsi="Arial" w:cs="Arial"/>
        </w:rPr>
        <w:t xml:space="preserve"> </w:t>
      </w:r>
      <w:r w:rsidR="008C14A0" w:rsidRPr="008C14A0">
        <w:rPr>
          <w:rFonts w:ascii="Arial" w:hAnsi="Arial" w:cs="Arial"/>
        </w:rPr>
        <w:t>LGR</w:t>
      </w:r>
      <w:r w:rsidR="00A63330" w:rsidRPr="008C14A0">
        <w:rPr>
          <w:rFonts w:ascii="Arial" w:hAnsi="Arial" w:cs="Arial"/>
        </w:rPr>
        <w:t>.</w:t>
      </w:r>
      <w:r w:rsidRPr="008C14A0">
        <w:rPr>
          <w:rFonts w:ascii="Arial" w:hAnsi="Arial" w:cs="Arial"/>
        </w:rPr>
        <w:t xml:space="preserve">  Therefore, the Strategy will be reviewed on a regular basis and at least annually.</w:t>
      </w:r>
    </w:p>
    <w:p w14:paraId="12F51730" w14:textId="77777777" w:rsidR="00C832A6" w:rsidRPr="008C14A0" w:rsidRDefault="00C832A6" w:rsidP="0020593F">
      <w:pPr>
        <w:autoSpaceDE w:val="0"/>
        <w:autoSpaceDN w:val="0"/>
        <w:adjustRightInd w:val="0"/>
        <w:jc w:val="both"/>
        <w:rPr>
          <w:rFonts w:ascii="Arial" w:hAnsi="Arial" w:cs="Arial"/>
        </w:rPr>
      </w:pPr>
    </w:p>
    <w:p w14:paraId="5F87478E" w14:textId="401BDE4D" w:rsidR="00C832A6" w:rsidRPr="008C14A0" w:rsidRDefault="00C832A6" w:rsidP="0020593F">
      <w:pPr>
        <w:autoSpaceDE w:val="0"/>
        <w:autoSpaceDN w:val="0"/>
        <w:adjustRightInd w:val="0"/>
        <w:jc w:val="both"/>
        <w:rPr>
          <w:rFonts w:ascii="Arial" w:hAnsi="Arial" w:cs="Arial"/>
        </w:rPr>
      </w:pPr>
      <w:r w:rsidRPr="008C14A0">
        <w:rPr>
          <w:rFonts w:ascii="Arial" w:hAnsi="Arial" w:cs="Arial"/>
        </w:rPr>
        <w:t>The MTFS is underpinned by a sound finance system, coupled with a solid internal control framework</w:t>
      </w:r>
      <w:r w:rsidR="003E1E9B">
        <w:rPr>
          <w:rFonts w:ascii="Arial" w:hAnsi="Arial" w:cs="Arial"/>
        </w:rPr>
        <w:t xml:space="preserve"> (</w:t>
      </w:r>
      <w:r w:rsidR="00577D03">
        <w:rPr>
          <w:rFonts w:ascii="Arial" w:hAnsi="Arial" w:cs="Arial"/>
        </w:rPr>
        <w:t xml:space="preserve">including the principles of the CIPFA Financial Management Code and the </w:t>
      </w:r>
      <w:r w:rsidR="00577D03" w:rsidRPr="00DA45C0">
        <w:rPr>
          <w:rFonts w:ascii="Arial" w:hAnsi="Arial" w:cs="Arial"/>
        </w:rPr>
        <w:t>National Audit Office’s Value for Money Standards</w:t>
      </w:r>
      <w:r w:rsidR="00577D03">
        <w:rPr>
          <w:rFonts w:ascii="Arial" w:hAnsi="Arial" w:cs="Arial"/>
        </w:rPr>
        <w:t>)</w:t>
      </w:r>
      <w:r w:rsidRPr="008C14A0">
        <w:rPr>
          <w:rFonts w:ascii="Arial" w:hAnsi="Arial" w:cs="Arial"/>
        </w:rPr>
        <w:t>, sufficiently flexible to allow the organisation to respond to changing demands over time and opportunities that arise.</w:t>
      </w:r>
    </w:p>
    <w:p w14:paraId="1ABE9826" w14:textId="77777777" w:rsidR="004128B0" w:rsidRDefault="004128B0" w:rsidP="0020593F">
      <w:pPr>
        <w:autoSpaceDE w:val="0"/>
        <w:autoSpaceDN w:val="0"/>
        <w:adjustRightInd w:val="0"/>
        <w:jc w:val="both"/>
        <w:rPr>
          <w:rFonts w:ascii="Arial" w:hAnsi="Arial" w:cs="Arial"/>
        </w:rPr>
      </w:pPr>
    </w:p>
    <w:p w14:paraId="62D9AE72" w14:textId="77777777" w:rsidR="0020593F" w:rsidRPr="005453CA" w:rsidRDefault="0020593F" w:rsidP="0020593F">
      <w:pPr>
        <w:pStyle w:val="Heading5"/>
        <w:rPr>
          <w:color w:val="C45911"/>
        </w:rPr>
      </w:pPr>
      <w:r w:rsidRPr="005453CA">
        <w:rPr>
          <w:color w:val="C45911" w:themeColor="accent2" w:themeShade="BF"/>
        </w:rPr>
        <w:t>Objectives</w:t>
      </w:r>
    </w:p>
    <w:p w14:paraId="54063FDA" w14:textId="77777777" w:rsidR="0020593F" w:rsidRPr="007646C1" w:rsidRDefault="0020593F" w:rsidP="0020593F">
      <w:pPr>
        <w:pStyle w:val="BodyTextIndent"/>
      </w:pPr>
    </w:p>
    <w:p w14:paraId="0ECC7261" w14:textId="376DB307" w:rsidR="0020593F" w:rsidRPr="007646C1" w:rsidRDefault="00AE4063" w:rsidP="0020593F">
      <w:pPr>
        <w:ind w:left="60"/>
        <w:jc w:val="both"/>
        <w:rPr>
          <w:rFonts w:ascii="Arial" w:hAnsi="Arial" w:cs="Arial"/>
        </w:rPr>
      </w:pPr>
      <w:r w:rsidRPr="007646C1">
        <w:rPr>
          <w:rFonts w:ascii="Arial" w:hAnsi="Arial" w:cs="Arial"/>
        </w:rPr>
        <w:t xml:space="preserve">In </w:t>
      </w:r>
      <w:r w:rsidR="00684BE3" w:rsidRPr="007646C1">
        <w:rPr>
          <w:rFonts w:ascii="Arial" w:hAnsi="Arial" w:cs="Arial"/>
        </w:rPr>
        <w:t>recent years</w:t>
      </w:r>
      <w:r w:rsidR="007A0E81" w:rsidRPr="007646C1">
        <w:rPr>
          <w:rFonts w:ascii="Arial" w:hAnsi="Arial" w:cs="Arial"/>
        </w:rPr>
        <w:t xml:space="preserve">, as a result of the significant budget </w:t>
      </w:r>
      <w:r w:rsidR="00234521" w:rsidRPr="007646C1">
        <w:rPr>
          <w:rFonts w:ascii="Arial" w:hAnsi="Arial" w:cs="Arial"/>
        </w:rPr>
        <w:t xml:space="preserve">gap </w:t>
      </w:r>
      <w:r w:rsidR="007A0E81" w:rsidRPr="007646C1">
        <w:rPr>
          <w:rFonts w:ascii="Arial" w:hAnsi="Arial" w:cs="Arial"/>
        </w:rPr>
        <w:t>it has the faced</w:t>
      </w:r>
      <w:r w:rsidR="00234521" w:rsidRPr="007646C1">
        <w:rPr>
          <w:rFonts w:ascii="Arial" w:hAnsi="Arial" w:cs="Arial"/>
        </w:rPr>
        <w:t>, the Council</w:t>
      </w:r>
      <w:r w:rsidR="00287EFF" w:rsidRPr="007646C1">
        <w:rPr>
          <w:rFonts w:ascii="Arial" w:hAnsi="Arial" w:cs="Arial"/>
        </w:rPr>
        <w:t>’s</w:t>
      </w:r>
      <w:r w:rsidR="00C756E5" w:rsidRPr="007646C1">
        <w:rPr>
          <w:rFonts w:ascii="Arial" w:hAnsi="Arial" w:cs="Arial"/>
        </w:rPr>
        <w:t xml:space="preserve"> </w:t>
      </w:r>
      <w:r w:rsidR="00684BE3" w:rsidRPr="007646C1">
        <w:rPr>
          <w:rFonts w:ascii="Arial" w:hAnsi="Arial" w:cs="Arial"/>
        </w:rPr>
        <w:t>overriding</w:t>
      </w:r>
      <w:r w:rsidR="00C756E5" w:rsidRPr="007646C1">
        <w:rPr>
          <w:rFonts w:ascii="Arial" w:hAnsi="Arial" w:cs="Arial"/>
        </w:rPr>
        <w:t xml:space="preserve"> objective has been </w:t>
      </w:r>
      <w:r w:rsidR="002C3069" w:rsidRPr="007646C1">
        <w:rPr>
          <w:rFonts w:ascii="Arial" w:hAnsi="Arial" w:cs="Arial"/>
        </w:rPr>
        <w:t>to drive do</w:t>
      </w:r>
      <w:r w:rsidR="00781246" w:rsidRPr="007646C1">
        <w:rPr>
          <w:rFonts w:ascii="Arial" w:hAnsi="Arial" w:cs="Arial"/>
        </w:rPr>
        <w:t xml:space="preserve">wn it’s net cost base.  </w:t>
      </w:r>
      <w:r w:rsidR="00BD65CC" w:rsidRPr="007646C1">
        <w:rPr>
          <w:rFonts w:ascii="Arial" w:hAnsi="Arial" w:cs="Arial"/>
        </w:rPr>
        <w:t xml:space="preserve">Due to the </w:t>
      </w:r>
      <w:r w:rsidR="00707BA6" w:rsidRPr="007646C1">
        <w:rPr>
          <w:rFonts w:ascii="Arial" w:hAnsi="Arial" w:cs="Arial"/>
        </w:rPr>
        <w:t>favourable</w:t>
      </w:r>
      <w:r w:rsidR="005355D0" w:rsidRPr="007646C1">
        <w:rPr>
          <w:rFonts w:ascii="Arial" w:hAnsi="Arial" w:cs="Arial"/>
        </w:rPr>
        <w:t xml:space="preserve"> outcome of the FFR 2.0 </w:t>
      </w:r>
      <w:r w:rsidR="005D57D0" w:rsidRPr="007646C1">
        <w:rPr>
          <w:rFonts w:ascii="Arial" w:hAnsi="Arial" w:cs="Arial"/>
        </w:rPr>
        <w:t xml:space="preserve">the objectives have been reviewed to ensure they remain relevant and have been </w:t>
      </w:r>
      <w:r w:rsidR="00111CF5" w:rsidRPr="007646C1">
        <w:rPr>
          <w:rFonts w:ascii="Arial" w:hAnsi="Arial" w:cs="Arial"/>
        </w:rPr>
        <w:t xml:space="preserve">amended where necessary to reflect a more positive financial position. </w:t>
      </w:r>
      <w:r w:rsidRPr="007646C1">
        <w:rPr>
          <w:rFonts w:ascii="Arial" w:hAnsi="Arial" w:cs="Arial"/>
        </w:rPr>
        <w:t xml:space="preserve"> </w:t>
      </w:r>
      <w:r w:rsidR="000D7D1F">
        <w:rPr>
          <w:rFonts w:ascii="Arial" w:hAnsi="Arial" w:cs="Arial"/>
        </w:rPr>
        <w:t>It has also been necessary to review the objectives in light of LGR</w:t>
      </w:r>
      <w:r w:rsidR="00195A1E">
        <w:rPr>
          <w:rFonts w:ascii="Arial" w:hAnsi="Arial" w:cs="Arial"/>
        </w:rPr>
        <w:t xml:space="preserve">, with the inclusion of a </w:t>
      </w:r>
      <w:r w:rsidR="003838DF">
        <w:rPr>
          <w:rFonts w:ascii="Arial" w:hAnsi="Arial" w:cs="Arial"/>
        </w:rPr>
        <w:t xml:space="preserve">specific, </w:t>
      </w:r>
      <w:r w:rsidR="00195A1E">
        <w:rPr>
          <w:rFonts w:ascii="Arial" w:hAnsi="Arial" w:cs="Arial"/>
        </w:rPr>
        <w:t>new</w:t>
      </w:r>
      <w:r w:rsidR="00B304E9">
        <w:rPr>
          <w:rFonts w:ascii="Arial" w:hAnsi="Arial" w:cs="Arial"/>
        </w:rPr>
        <w:t>,</w:t>
      </w:r>
      <w:r w:rsidR="00195A1E">
        <w:rPr>
          <w:rFonts w:ascii="Arial" w:hAnsi="Arial" w:cs="Arial"/>
        </w:rPr>
        <w:t xml:space="preserve"> objective</w:t>
      </w:r>
      <w:r w:rsidR="001F0548">
        <w:rPr>
          <w:rFonts w:ascii="Arial" w:hAnsi="Arial" w:cs="Arial"/>
        </w:rPr>
        <w:t xml:space="preserve"> </w:t>
      </w:r>
      <w:r w:rsidR="003838DF">
        <w:rPr>
          <w:rFonts w:ascii="Arial" w:hAnsi="Arial" w:cs="Arial"/>
        </w:rPr>
        <w:t xml:space="preserve">and </w:t>
      </w:r>
      <w:r w:rsidR="00B304E9">
        <w:rPr>
          <w:rFonts w:ascii="Arial" w:hAnsi="Arial" w:cs="Arial"/>
        </w:rPr>
        <w:t>amendments to others</w:t>
      </w:r>
      <w:r w:rsidR="007114B9">
        <w:rPr>
          <w:rFonts w:ascii="Arial" w:hAnsi="Arial" w:cs="Arial"/>
        </w:rPr>
        <w:t>.</w:t>
      </w:r>
      <w:r w:rsidRPr="007646C1">
        <w:rPr>
          <w:rFonts w:ascii="Arial" w:hAnsi="Arial" w:cs="Arial"/>
        </w:rPr>
        <w:t xml:space="preserve">  </w:t>
      </w:r>
      <w:r w:rsidR="006A58A6" w:rsidRPr="007646C1">
        <w:rPr>
          <w:rFonts w:ascii="Arial" w:hAnsi="Arial" w:cs="Arial"/>
        </w:rPr>
        <w:t>As a result, t</w:t>
      </w:r>
      <w:r w:rsidRPr="007646C1">
        <w:rPr>
          <w:rFonts w:ascii="Arial" w:hAnsi="Arial" w:cs="Arial"/>
        </w:rPr>
        <w:t xml:space="preserve">he </w:t>
      </w:r>
      <w:r w:rsidR="0016657C" w:rsidRPr="007646C1">
        <w:rPr>
          <w:rFonts w:ascii="Arial" w:hAnsi="Arial" w:cs="Arial"/>
        </w:rPr>
        <w:t>objectives that the MTFS seeks to achieve are as follows:</w:t>
      </w:r>
    </w:p>
    <w:p w14:paraId="544CA118" w14:textId="77777777" w:rsidR="0020593F" w:rsidRPr="007752B4" w:rsidRDefault="0020593F" w:rsidP="0020593F">
      <w:pPr>
        <w:pStyle w:val="BodyTextIndent"/>
        <w:rPr>
          <w:highlight w:val="yellow"/>
        </w:rPr>
      </w:pPr>
    </w:p>
    <w:p w14:paraId="188A0DF1" w14:textId="786FF7A5" w:rsidR="0016657C" w:rsidRPr="00D77C4D" w:rsidRDefault="00AE4063" w:rsidP="00CF25BB">
      <w:pPr>
        <w:numPr>
          <w:ilvl w:val="0"/>
          <w:numId w:val="31"/>
        </w:numPr>
        <w:jc w:val="both"/>
        <w:rPr>
          <w:rFonts w:ascii="Arial" w:hAnsi="Arial" w:cs="Arial"/>
        </w:rPr>
      </w:pPr>
      <w:r w:rsidRPr="00D77C4D">
        <w:rPr>
          <w:rFonts w:ascii="Arial" w:hAnsi="Arial" w:cs="Arial"/>
        </w:rPr>
        <w:t xml:space="preserve">To </w:t>
      </w:r>
      <w:r w:rsidR="0016657C" w:rsidRPr="00D77C4D">
        <w:rPr>
          <w:rFonts w:ascii="Arial" w:hAnsi="Arial" w:cs="Arial"/>
        </w:rPr>
        <w:t>ensure the Council uses its reserves and balances carefully, seeking to maintain robust levels and replenishing where necessary, to address any future risks and unforeseen events, without jeopardising key services and the delivery of outcomes;</w:t>
      </w:r>
    </w:p>
    <w:p w14:paraId="1430D7FC" w14:textId="77777777" w:rsidR="005A0D4B" w:rsidRPr="005A0D4B" w:rsidRDefault="005A0D4B" w:rsidP="005A0D4B">
      <w:pPr>
        <w:ind w:left="780"/>
        <w:jc w:val="both"/>
        <w:rPr>
          <w:rFonts w:ascii="Arial" w:hAnsi="Arial" w:cs="Arial"/>
        </w:rPr>
      </w:pPr>
    </w:p>
    <w:p w14:paraId="2F85B604" w14:textId="46DD8487" w:rsidR="001D6DED" w:rsidRPr="001C67CE" w:rsidRDefault="001D6DED" w:rsidP="00CF25BB">
      <w:pPr>
        <w:numPr>
          <w:ilvl w:val="0"/>
          <w:numId w:val="31"/>
        </w:numPr>
        <w:jc w:val="both"/>
        <w:rPr>
          <w:rFonts w:ascii="Arial" w:hAnsi="Arial" w:cs="Arial"/>
        </w:rPr>
      </w:pPr>
      <w:r>
        <w:rPr>
          <w:rFonts w:ascii="Arial" w:hAnsi="Arial" w:cs="Arial"/>
        </w:rPr>
        <w:t xml:space="preserve">To support the smooth transition to a new unitary authority, setting aside appropriate resources for transition activities, ensuring financial commitments made are sustainable with no </w:t>
      </w:r>
      <w:r w:rsidR="00E724F1">
        <w:rPr>
          <w:rFonts w:ascii="Arial" w:hAnsi="Arial" w:cs="Arial"/>
        </w:rPr>
        <w:t>additional</w:t>
      </w:r>
      <w:r w:rsidR="00BC1B65">
        <w:rPr>
          <w:rFonts w:ascii="Arial" w:hAnsi="Arial" w:cs="Arial"/>
        </w:rPr>
        <w:t xml:space="preserve"> </w:t>
      </w:r>
      <w:r>
        <w:rPr>
          <w:rFonts w:ascii="Arial" w:hAnsi="Arial" w:cs="Arial"/>
        </w:rPr>
        <w:t>legacy issues</w:t>
      </w:r>
      <w:r w:rsidR="00BC1B65">
        <w:rPr>
          <w:rFonts w:ascii="Arial" w:hAnsi="Arial" w:cs="Arial"/>
        </w:rPr>
        <w:t xml:space="preserve"> created</w:t>
      </w:r>
      <w:r>
        <w:rPr>
          <w:rFonts w:ascii="Arial" w:hAnsi="Arial" w:cs="Arial"/>
        </w:rPr>
        <w:t xml:space="preserve">, and </w:t>
      </w:r>
      <w:r w:rsidR="00EA137C">
        <w:rPr>
          <w:rFonts w:ascii="Arial" w:hAnsi="Arial" w:cs="Arial"/>
        </w:rPr>
        <w:t xml:space="preserve">continuing to </w:t>
      </w:r>
      <w:r>
        <w:rPr>
          <w:rFonts w:ascii="Arial" w:hAnsi="Arial" w:cs="Arial"/>
        </w:rPr>
        <w:t>manag</w:t>
      </w:r>
      <w:r w:rsidR="00EA137C">
        <w:rPr>
          <w:rFonts w:ascii="Arial" w:hAnsi="Arial" w:cs="Arial"/>
        </w:rPr>
        <w:t>e</w:t>
      </w:r>
      <w:r w:rsidRPr="001C67CE">
        <w:rPr>
          <w:rFonts w:ascii="Arial" w:hAnsi="Arial" w:cs="Arial"/>
        </w:rPr>
        <w:t xml:space="preserve"> the Council’s finances</w:t>
      </w:r>
      <w:r w:rsidR="001C67CE">
        <w:rPr>
          <w:rFonts w:ascii="Arial" w:hAnsi="Arial" w:cs="Arial"/>
        </w:rPr>
        <w:t xml:space="preserve"> with </w:t>
      </w:r>
      <w:r w:rsidR="00EA137C">
        <w:rPr>
          <w:rFonts w:ascii="Arial" w:hAnsi="Arial" w:cs="Arial"/>
        </w:rPr>
        <w:t>a longer-term outlook</w:t>
      </w:r>
      <w:r w:rsidRPr="001C67CE">
        <w:rPr>
          <w:rFonts w:ascii="Arial" w:hAnsi="Arial" w:cs="Arial"/>
        </w:rPr>
        <w:t>;</w:t>
      </w:r>
    </w:p>
    <w:p w14:paraId="1998595C" w14:textId="77777777" w:rsidR="001D6DED" w:rsidRPr="00D77C4D" w:rsidRDefault="001D6DED" w:rsidP="001D6DED">
      <w:pPr>
        <w:jc w:val="both"/>
        <w:rPr>
          <w:rFonts w:ascii="Arial" w:hAnsi="Arial" w:cs="Arial"/>
        </w:rPr>
      </w:pPr>
    </w:p>
    <w:p w14:paraId="2A56CD22" w14:textId="56CECB1A" w:rsidR="001D6DED" w:rsidRDefault="001D6DED" w:rsidP="00CF25BB">
      <w:pPr>
        <w:numPr>
          <w:ilvl w:val="0"/>
          <w:numId w:val="31"/>
        </w:numPr>
        <w:jc w:val="both"/>
        <w:rPr>
          <w:rFonts w:ascii="Arial" w:hAnsi="Arial" w:cs="Arial"/>
        </w:rPr>
      </w:pPr>
      <w:r w:rsidRPr="005B787C">
        <w:rPr>
          <w:rFonts w:ascii="Arial" w:hAnsi="Arial" w:cs="Arial"/>
        </w:rPr>
        <w:t xml:space="preserve">To ensure that the Council’s resources are directed towards its Vision and strategic priorities, </w:t>
      </w:r>
      <w:r w:rsidR="007B3ED9">
        <w:rPr>
          <w:rFonts w:ascii="Arial" w:hAnsi="Arial" w:cs="Arial"/>
        </w:rPr>
        <w:t xml:space="preserve">delivering outcomes that meet the </w:t>
      </w:r>
      <w:r w:rsidR="00E1465A">
        <w:rPr>
          <w:rFonts w:ascii="Arial" w:hAnsi="Arial" w:cs="Arial"/>
        </w:rPr>
        <w:t xml:space="preserve">needs and </w:t>
      </w:r>
      <w:r w:rsidR="005D226E">
        <w:rPr>
          <w:rFonts w:ascii="Arial" w:hAnsi="Arial" w:cs="Arial"/>
        </w:rPr>
        <w:t>aspirations of</w:t>
      </w:r>
      <w:r w:rsidR="0064741F">
        <w:rPr>
          <w:rFonts w:ascii="Arial" w:hAnsi="Arial" w:cs="Arial"/>
        </w:rPr>
        <w:t xml:space="preserve"> the City’s communities and </w:t>
      </w:r>
      <w:r w:rsidR="000D1B31">
        <w:rPr>
          <w:rFonts w:ascii="Arial" w:hAnsi="Arial" w:cs="Arial"/>
        </w:rPr>
        <w:t>partners;</w:t>
      </w:r>
    </w:p>
    <w:p w14:paraId="290C4377" w14:textId="77777777" w:rsidR="007B3ED9" w:rsidRPr="005B787C" w:rsidRDefault="007B3ED9" w:rsidP="007B3ED9">
      <w:pPr>
        <w:jc w:val="both"/>
        <w:rPr>
          <w:rFonts w:ascii="Arial" w:hAnsi="Arial" w:cs="Arial"/>
        </w:rPr>
      </w:pPr>
    </w:p>
    <w:p w14:paraId="54E39F5F" w14:textId="4DABC024" w:rsidR="0016657C" w:rsidRPr="00D77C4D" w:rsidRDefault="0016657C" w:rsidP="00CF25BB">
      <w:pPr>
        <w:numPr>
          <w:ilvl w:val="0"/>
          <w:numId w:val="31"/>
        </w:numPr>
        <w:autoSpaceDE w:val="0"/>
        <w:autoSpaceDN w:val="0"/>
        <w:adjustRightInd w:val="0"/>
        <w:jc w:val="both"/>
        <w:rPr>
          <w:rFonts w:ascii="Arial" w:hAnsi="Arial" w:cs="Arial"/>
          <w:lang w:eastAsia="en-GB"/>
        </w:rPr>
      </w:pPr>
      <w:r w:rsidRPr="00D77C4D">
        <w:rPr>
          <w:rFonts w:ascii="Arial" w:hAnsi="Arial" w:cs="Arial"/>
          <w:lang w:eastAsia="en-GB"/>
        </w:rPr>
        <w:t xml:space="preserve">To seek to maximise income levels, through </w:t>
      </w:r>
      <w:r w:rsidRPr="00AC099D">
        <w:rPr>
          <w:rFonts w:ascii="Arial" w:eastAsia="Arial" w:hAnsi="Arial" w:cs="Arial"/>
        </w:rPr>
        <w:t>maintaining in the short term and growing over the medium term</w:t>
      </w:r>
      <w:r w:rsidRPr="00D77C4D">
        <w:rPr>
          <w:rFonts w:ascii="Arial" w:hAnsi="Arial" w:cs="Arial"/>
          <w:lang w:eastAsia="en-GB"/>
        </w:rPr>
        <w:t xml:space="preserve"> the Council Tax and Business Rates tax bases</w:t>
      </w:r>
      <w:r w:rsidR="00F74A0B">
        <w:rPr>
          <w:rFonts w:ascii="Arial" w:hAnsi="Arial" w:cs="Arial"/>
          <w:lang w:eastAsia="en-GB"/>
        </w:rPr>
        <w:t xml:space="preserve"> and </w:t>
      </w:r>
      <w:r w:rsidR="005324CA">
        <w:rPr>
          <w:rFonts w:ascii="Arial" w:hAnsi="Arial" w:cs="Arial"/>
          <w:lang w:eastAsia="en-GB"/>
        </w:rPr>
        <w:t xml:space="preserve">Housing Rent </w:t>
      </w:r>
      <w:r w:rsidR="008A00CF">
        <w:rPr>
          <w:rFonts w:ascii="Arial" w:hAnsi="Arial" w:cs="Arial"/>
          <w:lang w:eastAsia="en-GB"/>
        </w:rPr>
        <w:t>yield</w:t>
      </w:r>
      <w:r w:rsidRPr="00D77C4D">
        <w:rPr>
          <w:rFonts w:ascii="Arial" w:hAnsi="Arial" w:cs="Arial"/>
          <w:lang w:eastAsia="en-GB"/>
        </w:rPr>
        <w:t xml:space="preserve">, whilst ensuring that Council Tax </w:t>
      </w:r>
      <w:r w:rsidR="005324CA">
        <w:rPr>
          <w:rFonts w:ascii="Arial" w:hAnsi="Arial" w:cs="Arial"/>
          <w:lang w:eastAsia="en-GB"/>
        </w:rPr>
        <w:t>and Housing Rent</w:t>
      </w:r>
      <w:r w:rsidRPr="00D77C4D">
        <w:rPr>
          <w:rFonts w:ascii="Arial" w:hAnsi="Arial" w:cs="Arial"/>
          <w:lang w:eastAsia="en-GB"/>
        </w:rPr>
        <w:t xml:space="preserve"> increases are kept an acceptable level;</w:t>
      </w:r>
    </w:p>
    <w:p w14:paraId="712EB35C" w14:textId="77777777" w:rsidR="0016657C" w:rsidRPr="00D77C4D" w:rsidRDefault="0016657C" w:rsidP="0016657C">
      <w:pPr>
        <w:ind w:left="709"/>
        <w:jc w:val="both"/>
        <w:rPr>
          <w:rFonts w:ascii="Arial" w:hAnsi="Arial" w:cs="Arial"/>
        </w:rPr>
      </w:pPr>
    </w:p>
    <w:p w14:paraId="69DE01EE" w14:textId="6B5DE181" w:rsidR="006B2F9A" w:rsidRDefault="00AE4063" w:rsidP="00CF25BB">
      <w:pPr>
        <w:numPr>
          <w:ilvl w:val="0"/>
          <w:numId w:val="31"/>
        </w:numPr>
        <w:jc w:val="both"/>
        <w:rPr>
          <w:rFonts w:ascii="Arial" w:hAnsi="Arial" w:cs="Arial"/>
        </w:rPr>
      </w:pPr>
      <w:r w:rsidRPr="00D77C4D">
        <w:rPr>
          <w:rFonts w:ascii="Arial" w:hAnsi="Arial" w:cs="Arial"/>
        </w:rPr>
        <w:t xml:space="preserve">To </w:t>
      </w:r>
      <w:r w:rsidR="00A90805" w:rsidRPr="00D77C4D">
        <w:rPr>
          <w:rFonts w:ascii="Arial" w:hAnsi="Arial" w:cs="Arial"/>
        </w:rPr>
        <w:t>maintain</w:t>
      </w:r>
      <w:r w:rsidRPr="00D77C4D">
        <w:rPr>
          <w:rFonts w:ascii="Arial" w:hAnsi="Arial" w:cs="Arial"/>
        </w:rPr>
        <w:t xml:space="preserve"> the </w:t>
      </w:r>
      <w:r w:rsidR="00C41CE8" w:rsidRPr="00D77C4D">
        <w:rPr>
          <w:rFonts w:ascii="Arial" w:hAnsi="Arial" w:cs="Arial"/>
        </w:rPr>
        <w:t xml:space="preserve">Council’s </w:t>
      </w:r>
      <w:r w:rsidRPr="00D77C4D">
        <w:rPr>
          <w:rFonts w:ascii="Arial" w:hAnsi="Arial" w:cs="Arial"/>
        </w:rPr>
        <w:t xml:space="preserve">net cost base, in line with available resources, to ensure </w:t>
      </w:r>
      <w:r w:rsidR="00C41CE8" w:rsidRPr="00D77C4D">
        <w:rPr>
          <w:rFonts w:ascii="Arial" w:hAnsi="Arial" w:cs="Arial"/>
        </w:rPr>
        <w:t xml:space="preserve">it </w:t>
      </w:r>
      <w:r w:rsidR="00576FD0" w:rsidRPr="00D77C4D">
        <w:rPr>
          <w:rFonts w:ascii="Arial" w:hAnsi="Arial" w:cs="Arial"/>
        </w:rPr>
        <w:t>maintain</w:t>
      </w:r>
      <w:r w:rsidRPr="00D77C4D">
        <w:rPr>
          <w:rFonts w:ascii="Arial" w:hAnsi="Arial" w:cs="Arial"/>
        </w:rPr>
        <w:t>s</w:t>
      </w:r>
      <w:r w:rsidR="00576FD0" w:rsidRPr="00D77C4D">
        <w:rPr>
          <w:rFonts w:ascii="Arial" w:hAnsi="Arial" w:cs="Arial"/>
        </w:rPr>
        <w:t xml:space="preserve"> a sound and sustainable financial base, delivering a balanced budget over the life of the MTFS</w:t>
      </w:r>
      <w:r w:rsidR="00FF0281">
        <w:rPr>
          <w:rFonts w:ascii="Arial" w:hAnsi="Arial" w:cs="Arial"/>
        </w:rPr>
        <w:t xml:space="preserve"> and </w:t>
      </w:r>
      <w:r w:rsidR="006B2F9A">
        <w:rPr>
          <w:rFonts w:ascii="Arial" w:hAnsi="Arial" w:cs="Arial"/>
        </w:rPr>
        <w:t>ensuring the Council’s finances are in an orderly state ready to merge into a new authority with no unmanaged deficits;</w:t>
      </w:r>
    </w:p>
    <w:p w14:paraId="0A36DDA6" w14:textId="77777777" w:rsidR="006B2F9A" w:rsidRPr="00D77C4D" w:rsidRDefault="006B2F9A" w:rsidP="006B2F9A">
      <w:pPr>
        <w:jc w:val="both"/>
        <w:rPr>
          <w:rFonts w:ascii="Arial" w:hAnsi="Arial" w:cs="Arial"/>
        </w:rPr>
      </w:pPr>
    </w:p>
    <w:p w14:paraId="1ACCF5DB" w14:textId="00FCA3A9" w:rsidR="00576FD0" w:rsidRPr="00D77C4D" w:rsidRDefault="0016657C" w:rsidP="00CF25BB">
      <w:pPr>
        <w:numPr>
          <w:ilvl w:val="0"/>
          <w:numId w:val="31"/>
        </w:numPr>
        <w:jc w:val="both"/>
        <w:rPr>
          <w:rFonts w:ascii="Arial" w:hAnsi="Arial" w:cs="Arial"/>
        </w:rPr>
      </w:pPr>
      <w:r w:rsidRPr="00FF0281">
        <w:rPr>
          <w:rFonts w:ascii="Arial" w:hAnsi="Arial" w:cs="Arial"/>
        </w:rPr>
        <w:t xml:space="preserve">To </w:t>
      </w:r>
      <w:r w:rsidR="00FF0281" w:rsidRPr="00FF0281">
        <w:rPr>
          <w:rFonts w:ascii="Arial" w:hAnsi="Arial" w:cs="Arial"/>
        </w:rPr>
        <w:t xml:space="preserve">continue to </w:t>
      </w:r>
      <w:r w:rsidRPr="00FF0281">
        <w:rPr>
          <w:rFonts w:ascii="Arial" w:hAnsi="Arial" w:cs="Arial"/>
        </w:rPr>
        <w:t>ensure the Council provides efficient, effective and economic services which demonstrate value for money</w:t>
      </w:r>
      <w:r w:rsidR="00FF0281" w:rsidRPr="00FF0281">
        <w:rPr>
          <w:rFonts w:ascii="Arial" w:hAnsi="Arial" w:cs="Arial"/>
        </w:rPr>
        <w:t>.</w:t>
      </w:r>
    </w:p>
    <w:p w14:paraId="34D77E01" w14:textId="65580326" w:rsidR="00AE4063" w:rsidRPr="007752B4" w:rsidRDefault="00AE4063" w:rsidP="00A90805">
      <w:pPr>
        <w:jc w:val="both"/>
        <w:rPr>
          <w:rFonts w:ascii="Arial" w:hAnsi="Arial" w:cs="Arial"/>
          <w:highlight w:val="yellow"/>
        </w:rPr>
      </w:pPr>
    </w:p>
    <w:p w14:paraId="4A09CEAB" w14:textId="77777777" w:rsidR="0020593F" w:rsidRPr="007752B4" w:rsidRDefault="0020593F" w:rsidP="0020593F">
      <w:pPr>
        <w:tabs>
          <w:tab w:val="num" w:pos="360"/>
        </w:tabs>
        <w:ind w:left="780" w:hanging="360"/>
        <w:jc w:val="both"/>
        <w:rPr>
          <w:rFonts w:ascii="Arial" w:hAnsi="Arial" w:cs="Arial"/>
          <w:highlight w:val="yellow"/>
        </w:rPr>
      </w:pPr>
    </w:p>
    <w:p w14:paraId="754A5BF2" w14:textId="77777777" w:rsidR="0020593F" w:rsidRPr="00DA319E" w:rsidRDefault="0020593F" w:rsidP="0020593F">
      <w:pPr>
        <w:pStyle w:val="Heading8"/>
        <w:rPr>
          <w:color w:val="C45911"/>
          <w:sz w:val="28"/>
          <w:szCs w:val="28"/>
        </w:rPr>
      </w:pPr>
      <w:r w:rsidRPr="00DA319E">
        <w:rPr>
          <w:color w:val="C45911" w:themeColor="accent2" w:themeShade="BF"/>
          <w:sz w:val="28"/>
          <w:szCs w:val="28"/>
        </w:rPr>
        <w:t>Policy and Financial Planning Framework</w:t>
      </w:r>
    </w:p>
    <w:p w14:paraId="40B64D59" w14:textId="77777777" w:rsidR="0020593F" w:rsidRPr="00DA319E" w:rsidRDefault="0020593F" w:rsidP="0020593F">
      <w:pPr>
        <w:rPr>
          <w:rFonts w:ascii="Arial" w:hAnsi="Arial" w:cs="Arial"/>
        </w:rPr>
      </w:pPr>
    </w:p>
    <w:p w14:paraId="2CC221AE" w14:textId="2FFC3703" w:rsidR="0020593F" w:rsidRPr="00DA319E" w:rsidRDefault="00290484" w:rsidP="0020593F">
      <w:pPr>
        <w:pStyle w:val="BodyText"/>
        <w:jc w:val="both"/>
        <w:rPr>
          <w:b w:val="0"/>
          <w:lang w:val="en-US"/>
        </w:rPr>
      </w:pPr>
      <w:r w:rsidRPr="00DA319E">
        <w:rPr>
          <w:b w:val="0"/>
          <w:lang w:val="en-US"/>
        </w:rPr>
        <w:t>The Council’s Strategic Plan</w:t>
      </w:r>
      <w:r w:rsidR="00125FA3" w:rsidRPr="00DA319E">
        <w:rPr>
          <w:b w:val="0"/>
          <w:lang w:val="en-US"/>
        </w:rPr>
        <w:t xml:space="preserve"> </w:t>
      </w:r>
      <w:r w:rsidR="0020593F" w:rsidRPr="00DA319E">
        <w:rPr>
          <w:b w:val="0"/>
          <w:lang w:val="en-US"/>
        </w:rPr>
        <w:t>is the thread that links the Council’s integrated policy and</w:t>
      </w:r>
      <w:r w:rsidR="00B107A9" w:rsidRPr="00DA319E">
        <w:rPr>
          <w:b w:val="0"/>
          <w:lang w:val="en-US"/>
        </w:rPr>
        <w:t xml:space="preserve"> financial planning framework. </w:t>
      </w:r>
      <w:r w:rsidR="0020593F" w:rsidRPr="00DA319E">
        <w:rPr>
          <w:b w:val="0"/>
          <w:lang w:val="en-US"/>
        </w:rPr>
        <w:t xml:space="preserve">It is underpinned by the MTFS, which </w:t>
      </w:r>
      <w:r w:rsidR="00125FA3" w:rsidRPr="00DA319E">
        <w:rPr>
          <w:b w:val="0"/>
          <w:lang w:val="en-US"/>
        </w:rPr>
        <w:t>aims to ensure</w:t>
      </w:r>
      <w:r w:rsidR="00A63330" w:rsidRPr="00DA319E">
        <w:rPr>
          <w:b w:val="0"/>
          <w:lang w:val="en-US"/>
        </w:rPr>
        <w:t xml:space="preserve"> that all financial resources are directed towards delivery of the </w:t>
      </w:r>
      <w:r w:rsidR="00B107A9" w:rsidRPr="00DA319E">
        <w:rPr>
          <w:b w:val="0"/>
          <w:lang w:val="en-US"/>
        </w:rPr>
        <w:t>v</w:t>
      </w:r>
      <w:r w:rsidR="00B2431E" w:rsidRPr="00DA319E">
        <w:rPr>
          <w:b w:val="0"/>
          <w:lang w:val="en-US"/>
        </w:rPr>
        <w:t>ision</w:t>
      </w:r>
      <w:r w:rsidR="00A63330" w:rsidRPr="00DA319E">
        <w:rPr>
          <w:b w:val="0"/>
          <w:lang w:val="en-US"/>
        </w:rPr>
        <w:t xml:space="preserve"> </w:t>
      </w:r>
      <w:r w:rsidR="0020593F" w:rsidRPr="00DA319E">
        <w:rPr>
          <w:b w:val="0"/>
        </w:rPr>
        <w:t xml:space="preserve">and </w:t>
      </w:r>
      <w:r w:rsidR="0020593F" w:rsidRPr="00DA319E">
        <w:rPr>
          <w:b w:val="0"/>
          <w:lang w:val="en-US"/>
        </w:rPr>
        <w:t>flows through to the Council’s other key plans and strategies, service planning and individual staff performance appraisals. This ensures that the Council’s vision and strategic priorities drive the activity and allocation of resources of the Council.</w:t>
      </w:r>
    </w:p>
    <w:p w14:paraId="2E92DB97" w14:textId="77777777" w:rsidR="0020593F" w:rsidRPr="00DA319E" w:rsidRDefault="0020593F" w:rsidP="0020593F">
      <w:pPr>
        <w:pStyle w:val="BodyText"/>
        <w:jc w:val="both"/>
        <w:rPr>
          <w:b w:val="0"/>
        </w:rPr>
      </w:pPr>
    </w:p>
    <w:p w14:paraId="52FEFF5B" w14:textId="6F0D23E8" w:rsidR="00425951" w:rsidRPr="00DA319E" w:rsidRDefault="00055409" w:rsidP="0020593F">
      <w:pPr>
        <w:pStyle w:val="BodyText"/>
        <w:jc w:val="both"/>
        <w:rPr>
          <w:b w:val="0"/>
        </w:rPr>
      </w:pPr>
      <w:r w:rsidRPr="00DA319E">
        <w:rPr>
          <w:b w:val="0"/>
        </w:rPr>
        <w:t>Vision 2030</w:t>
      </w:r>
      <w:r w:rsidR="00B2431E" w:rsidRPr="00DA319E">
        <w:rPr>
          <w:b w:val="0"/>
        </w:rPr>
        <w:t xml:space="preserve"> </w:t>
      </w:r>
      <w:r w:rsidR="00425951" w:rsidRPr="00DA319E">
        <w:rPr>
          <w:b w:val="0"/>
        </w:rPr>
        <w:t xml:space="preserve">promotes a clear view of the Council’s strategic focus and in particular its key priorities. These priorities are a commitment by the Council to use the resources it </w:t>
      </w:r>
      <w:r w:rsidR="00125FA3" w:rsidRPr="00DA319E">
        <w:rPr>
          <w:b w:val="0"/>
        </w:rPr>
        <w:t xml:space="preserve">employs over the coming years to a make a positive difference to the city and its residents. </w:t>
      </w:r>
    </w:p>
    <w:p w14:paraId="1B97152F" w14:textId="77777777" w:rsidR="00425951" w:rsidRPr="007752B4" w:rsidRDefault="00425951" w:rsidP="0020593F">
      <w:pPr>
        <w:pStyle w:val="BodyText"/>
        <w:jc w:val="both"/>
        <w:rPr>
          <w:b w:val="0"/>
          <w:bCs w:val="0"/>
          <w:highlight w:val="yellow"/>
        </w:rPr>
      </w:pPr>
    </w:p>
    <w:p w14:paraId="0E147EB9" w14:textId="77777777" w:rsidR="008C7776" w:rsidRPr="007752B4" w:rsidRDefault="008C7776" w:rsidP="0020593F">
      <w:pPr>
        <w:pStyle w:val="BodyText"/>
        <w:jc w:val="both"/>
        <w:rPr>
          <w:b w:val="0"/>
          <w:bCs w:val="0"/>
          <w:highlight w:val="yellow"/>
        </w:rPr>
      </w:pPr>
    </w:p>
    <w:p w14:paraId="434E4018" w14:textId="77777777" w:rsidR="008C7776" w:rsidRPr="007752B4" w:rsidRDefault="008C7776" w:rsidP="0020593F">
      <w:pPr>
        <w:pStyle w:val="BodyText"/>
        <w:jc w:val="both"/>
        <w:rPr>
          <w:b w:val="0"/>
          <w:bCs w:val="0"/>
          <w:highlight w:val="yellow"/>
        </w:rPr>
      </w:pPr>
    </w:p>
    <w:p w14:paraId="2BFDBE19" w14:textId="77777777" w:rsidR="00384776" w:rsidRPr="00F644D6" w:rsidRDefault="00EB2FB8" w:rsidP="00AF594D">
      <w:pPr>
        <w:pStyle w:val="Heading5"/>
        <w:ind w:left="0"/>
        <w:rPr>
          <w:color w:val="C45911"/>
          <w:sz w:val="32"/>
          <w:szCs w:val="32"/>
        </w:rPr>
      </w:pPr>
      <w:r w:rsidRPr="007752B4">
        <w:rPr>
          <w:highlight w:val="yellow"/>
        </w:rPr>
        <w:br w:type="page"/>
      </w:r>
      <w:r w:rsidR="00384776" w:rsidRPr="00F644D6">
        <w:rPr>
          <w:color w:val="C45911" w:themeColor="accent2" w:themeShade="BF"/>
          <w:sz w:val="32"/>
          <w:szCs w:val="32"/>
        </w:rPr>
        <w:t>Section 2 – Context</w:t>
      </w:r>
    </w:p>
    <w:p w14:paraId="407295B5" w14:textId="77777777" w:rsidR="00AF594D" w:rsidRPr="00F644D6" w:rsidRDefault="00AF594D" w:rsidP="00AF594D">
      <w:pPr>
        <w:rPr>
          <w:rFonts w:ascii="Arial" w:hAnsi="Arial" w:cs="Arial"/>
        </w:rPr>
      </w:pPr>
    </w:p>
    <w:p w14:paraId="06E60551" w14:textId="77777777" w:rsidR="00AF594D" w:rsidRPr="00F644D6" w:rsidRDefault="00AF594D" w:rsidP="00AF594D">
      <w:pPr>
        <w:autoSpaceDE w:val="0"/>
        <w:autoSpaceDN w:val="0"/>
        <w:adjustRightInd w:val="0"/>
        <w:jc w:val="both"/>
        <w:rPr>
          <w:rFonts w:ascii="Arial" w:hAnsi="Arial" w:cs="Arial"/>
        </w:rPr>
      </w:pPr>
      <w:r w:rsidRPr="00F644D6">
        <w:rPr>
          <w:rFonts w:ascii="Arial" w:hAnsi="Arial" w:cs="Arial"/>
          <w:lang w:eastAsia="en-GB"/>
        </w:rPr>
        <w:t xml:space="preserve">In order to set the framework for the Council’s approach to policy and financial planning it is important to understand the overall national policy context, and economic conditions as well as the policy and delivery priorities for the Council </w:t>
      </w:r>
      <w:r w:rsidR="00062CC3" w:rsidRPr="00F644D6">
        <w:rPr>
          <w:rFonts w:ascii="Arial" w:hAnsi="Arial" w:cs="Arial"/>
          <w:lang w:eastAsia="en-GB"/>
        </w:rPr>
        <w:t>over the MTFS period</w:t>
      </w:r>
      <w:r w:rsidRPr="00F644D6">
        <w:rPr>
          <w:rFonts w:ascii="Arial" w:hAnsi="Arial" w:cs="Arial"/>
          <w:lang w:eastAsia="en-GB"/>
        </w:rPr>
        <w:t xml:space="preserve">. </w:t>
      </w:r>
    </w:p>
    <w:p w14:paraId="4166AF9F" w14:textId="77777777" w:rsidR="000B60ED" w:rsidRPr="007752B4" w:rsidRDefault="000B60ED" w:rsidP="000B60ED">
      <w:pPr>
        <w:rPr>
          <w:rFonts w:ascii="Arial" w:hAnsi="Arial" w:cs="Arial"/>
          <w:color w:val="C45911"/>
          <w:highlight w:val="yellow"/>
        </w:rPr>
      </w:pPr>
    </w:p>
    <w:p w14:paraId="1B6C2D46" w14:textId="496E5D59" w:rsidR="000B60ED" w:rsidRPr="00A041FB" w:rsidRDefault="000B60ED" w:rsidP="001F70C5">
      <w:pPr>
        <w:pStyle w:val="Heading5"/>
        <w:ind w:left="0"/>
        <w:rPr>
          <w:color w:val="C45911"/>
        </w:rPr>
      </w:pPr>
      <w:r w:rsidRPr="00A041FB">
        <w:rPr>
          <w:color w:val="C45911"/>
        </w:rPr>
        <w:t>Economic Climate</w:t>
      </w:r>
    </w:p>
    <w:p w14:paraId="39FFFF15" w14:textId="77777777" w:rsidR="00014B91" w:rsidRPr="00A041FB" w:rsidRDefault="00014B91" w:rsidP="00DE62CB">
      <w:pPr>
        <w:jc w:val="both"/>
        <w:rPr>
          <w:rFonts w:ascii="Arial" w:hAnsi="Arial" w:cs="Arial"/>
        </w:rPr>
      </w:pPr>
    </w:p>
    <w:p w14:paraId="0B1AD10C" w14:textId="283CEC7F" w:rsidR="00F225EF" w:rsidRPr="00A041FB" w:rsidRDefault="0029551C" w:rsidP="00F225EF">
      <w:pPr>
        <w:jc w:val="both"/>
        <w:rPr>
          <w:rFonts w:ascii="Arial" w:hAnsi="Arial" w:cs="Arial"/>
        </w:rPr>
      </w:pPr>
      <w:r w:rsidRPr="00A041FB">
        <w:rPr>
          <w:rFonts w:ascii="Arial" w:hAnsi="Arial" w:cs="Arial"/>
        </w:rPr>
        <w:t xml:space="preserve">The </w:t>
      </w:r>
      <w:r w:rsidR="00670B70" w:rsidRPr="00A041FB">
        <w:rPr>
          <w:rFonts w:ascii="Arial" w:hAnsi="Arial" w:cs="Arial"/>
        </w:rPr>
        <w:t>UK continues to face longstanding economic challenges</w:t>
      </w:r>
      <w:r w:rsidR="00F225EF" w:rsidRPr="00A041FB">
        <w:rPr>
          <w:rFonts w:ascii="Arial" w:hAnsi="Arial" w:cs="Arial"/>
        </w:rPr>
        <w:t xml:space="preserve"> with persistently weak economic growth.  </w:t>
      </w:r>
      <w:r w:rsidR="00B96664" w:rsidRPr="00A041FB">
        <w:rPr>
          <w:rFonts w:ascii="Arial" w:hAnsi="Arial" w:cs="Arial"/>
        </w:rPr>
        <w:t>This</w:t>
      </w:r>
      <w:r w:rsidR="00F225EF" w:rsidRPr="00A041FB">
        <w:rPr>
          <w:rFonts w:ascii="Arial" w:hAnsi="Arial" w:cs="Arial"/>
        </w:rPr>
        <w:t xml:space="preserve"> </w:t>
      </w:r>
      <w:r w:rsidR="00A72C6A" w:rsidRPr="00A041FB">
        <w:rPr>
          <w:rFonts w:ascii="Arial" w:hAnsi="Arial" w:cs="Arial"/>
        </w:rPr>
        <w:t xml:space="preserve">has </w:t>
      </w:r>
      <w:r w:rsidR="00F225EF" w:rsidRPr="00A041FB">
        <w:rPr>
          <w:rFonts w:ascii="Arial" w:hAnsi="Arial" w:cs="Arial"/>
        </w:rPr>
        <w:t>been largely driven by under-investment, compounded by a series of economic shocks</w:t>
      </w:r>
      <w:r w:rsidR="002B14D4" w:rsidRPr="00A041FB">
        <w:rPr>
          <w:rFonts w:ascii="Arial" w:hAnsi="Arial" w:cs="Arial"/>
        </w:rPr>
        <w:t xml:space="preserve">, </w:t>
      </w:r>
      <w:r w:rsidR="000431B3" w:rsidRPr="00A041FB">
        <w:rPr>
          <w:rFonts w:ascii="Arial" w:hAnsi="Arial" w:cs="Arial"/>
        </w:rPr>
        <w:t>particularly in the first half of this decade;</w:t>
      </w:r>
      <w:r w:rsidR="00F225EF" w:rsidRPr="00A041FB">
        <w:rPr>
          <w:rFonts w:ascii="Arial" w:hAnsi="Arial" w:cs="Arial"/>
        </w:rPr>
        <w:t xml:space="preserve"> including recent trade disruption, the effect of Russia’s illegal invasion of Ukraine on energy prices, the COVID-19 pandemic and leaving the EU</w:t>
      </w:r>
      <w:r w:rsidR="007829EF" w:rsidRPr="00A041FB">
        <w:rPr>
          <w:rFonts w:ascii="Arial" w:hAnsi="Arial" w:cs="Arial"/>
        </w:rPr>
        <w:t>.</w:t>
      </w:r>
    </w:p>
    <w:p w14:paraId="00269001" w14:textId="1ED25D1A" w:rsidR="0029551C" w:rsidRPr="00A041FB" w:rsidRDefault="0029551C" w:rsidP="000057A7">
      <w:pPr>
        <w:jc w:val="both"/>
        <w:rPr>
          <w:rFonts w:ascii="Arial" w:hAnsi="Arial" w:cs="Arial"/>
        </w:rPr>
      </w:pPr>
    </w:p>
    <w:p w14:paraId="35FCCEAC" w14:textId="0763BE52" w:rsidR="00E01452" w:rsidRPr="00A041FB" w:rsidRDefault="004111F9" w:rsidP="000057A7">
      <w:pPr>
        <w:jc w:val="both"/>
        <w:rPr>
          <w:rFonts w:ascii="Arial" w:hAnsi="Arial" w:cs="Arial"/>
        </w:rPr>
      </w:pPr>
      <w:r w:rsidRPr="00A041FB">
        <w:rPr>
          <w:rFonts w:ascii="Arial" w:hAnsi="Arial" w:cs="Arial"/>
        </w:rPr>
        <w:t>As a result</w:t>
      </w:r>
      <w:r w:rsidR="003E71F7" w:rsidRPr="00A041FB">
        <w:rPr>
          <w:rFonts w:ascii="Arial" w:hAnsi="Arial" w:cs="Arial"/>
        </w:rPr>
        <w:t>, since 2021,</w:t>
      </w:r>
      <w:r w:rsidRPr="00A041FB">
        <w:rPr>
          <w:rFonts w:ascii="Arial" w:hAnsi="Arial" w:cs="Arial"/>
        </w:rPr>
        <w:t xml:space="preserve"> the </w:t>
      </w:r>
      <w:r w:rsidR="00666EFB" w:rsidRPr="00A041FB">
        <w:rPr>
          <w:rFonts w:ascii="Arial" w:hAnsi="Arial" w:cs="Arial"/>
        </w:rPr>
        <w:t>economy has</w:t>
      </w:r>
      <w:r w:rsidR="0010703C" w:rsidRPr="00A041FB">
        <w:rPr>
          <w:rFonts w:ascii="Arial" w:hAnsi="Arial" w:cs="Arial"/>
        </w:rPr>
        <w:t xml:space="preserve"> </w:t>
      </w:r>
      <w:r w:rsidR="00ED2415" w:rsidRPr="00A041FB">
        <w:rPr>
          <w:rFonts w:ascii="Arial" w:hAnsi="Arial" w:cs="Arial"/>
        </w:rPr>
        <w:t xml:space="preserve">dominated by </w:t>
      </w:r>
      <w:hyperlink r:id="rId20" w:history="1">
        <w:r w:rsidR="00ED2415" w:rsidRPr="00A041FB">
          <w:rPr>
            <w:rStyle w:val="Hyperlink"/>
            <w:rFonts w:ascii="Arial" w:hAnsi="Arial" w:cs="Arial"/>
            <w:color w:val="auto"/>
            <w:u w:val="none"/>
            <w:bdr w:val="none" w:sz="0" w:space="0" w:color="auto" w:frame="1"/>
          </w:rPr>
          <w:t>rising cost of living pressures for UK households</w:t>
        </w:r>
      </w:hyperlink>
      <w:r w:rsidR="00ED2415" w:rsidRPr="00A041FB">
        <w:rPr>
          <w:rFonts w:ascii="Arial" w:hAnsi="Arial" w:cs="Arial"/>
        </w:rPr>
        <w:t>, surging energy costs, high inflation</w:t>
      </w:r>
      <w:r w:rsidR="0010703C" w:rsidRPr="00A041FB">
        <w:rPr>
          <w:rFonts w:ascii="Arial" w:hAnsi="Arial" w:cs="Arial"/>
        </w:rPr>
        <w:t xml:space="preserve"> </w:t>
      </w:r>
      <w:r w:rsidR="00ED2415" w:rsidRPr="00A041FB">
        <w:rPr>
          <w:rFonts w:ascii="Arial" w:hAnsi="Arial" w:cs="Arial"/>
        </w:rPr>
        <w:t>and rising interest rates</w:t>
      </w:r>
      <w:r w:rsidR="0097612F" w:rsidRPr="00A041FB">
        <w:rPr>
          <w:rFonts w:ascii="Arial" w:hAnsi="Arial" w:cs="Arial"/>
        </w:rPr>
        <w:t xml:space="preserve">, </w:t>
      </w:r>
      <w:r w:rsidR="00B9757F" w:rsidRPr="00A041FB">
        <w:rPr>
          <w:rFonts w:ascii="Arial" w:hAnsi="Arial" w:cs="Arial"/>
        </w:rPr>
        <w:t xml:space="preserve"> </w:t>
      </w:r>
      <w:r w:rsidR="006F3DFF" w:rsidRPr="00A041FB">
        <w:rPr>
          <w:rFonts w:ascii="Arial" w:hAnsi="Arial" w:cs="Arial"/>
        </w:rPr>
        <w:t>enter</w:t>
      </w:r>
      <w:r w:rsidR="0097612F" w:rsidRPr="00A041FB">
        <w:rPr>
          <w:rFonts w:ascii="Arial" w:hAnsi="Arial" w:cs="Arial"/>
        </w:rPr>
        <w:t>ing</w:t>
      </w:r>
      <w:r w:rsidR="00B9757F" w:rsidRPr="00A041FB">
        <w:rPr>
          <w:rFonts w:ascii="Arial" w:hAnsi="Arial" w:cs="Arial"/>
        </w:rPr>
        <w:t xml:space="preserve"> a </w:t>
      </w:r>
      <w:r w:rsidR="000C73F1" w:rsidRPr="00A041FB">
        <w:rPr>
          <w:rFonts w:ascii="Arial" w:hAnsi="Arial" w:cs="Arial"/>
        </w:rPr>
        <w:t xml:space="preserve">mild </w:t>
      </w:r>
      <w:r w:rsidR="00B9757F" w:rsidRPr="00A041FB">
        <w:rPr>
          <w:rFonts w:ascii="Arial" w:hAnsi="Arial" w:cs="Arial"/>
        </w:rPr>
        <w:t>technical recession in the second half of 2023</w:t>
      </w:r>
      <w:r w:rsidR="0097612F" w:rsidRPr="00A041FB">
        <w:rPr>
          <w:rFonts w:ascii="Arial" w:hAnsi="Arial" w:cs="Arial"/>
        </w:rPr>
        <w:t>.</w:t>
      </w:r>
      <w:r w:rsidR="007C0ABC" w:rsidRPr="00A041FB">
        <w:rPr>
          <w:rFonts w:ascii="Arial" w:hAnsi="Arial" w:cs="Arial"/>
        </w:rPr>
        <w:t xml:space="preserve"> </w:t>
      </w:r>
      <w:r w:rsidR="004C76ED" w:rsidRPr="00A041FB">
        <w:rPr>
          <w:rFonts w:ascii="Arial" w:hAnsi="Arial" w:cs="Arial"/>
        </w:rPr>
        <w:t>A</w:t>
      </w:r>
      <w:r w:rsidR="00742772" w:rsidRPr="00A041FB">
        <w:rPr>
          <w:rFonts w:ascii="Arial" w:hAnsi="Arial" w:cs="Arial"/>
        </w:rPr>
        <w:t xml:space="preserve"> period of recovery </w:t>
      </w:r>
      <w:r w:rsidR="004C76ED" w:rsidRPr="00A041FB">
        <w:rPr>
          <w:rFonts w:ascii="Arial" w:hAnsi="Arial" w:cs="Arial"/>
        </w:rPr>
        <w:t xml:space="preserve">followed </w:t>
      </w:r>
      <w:r w:rsidR="00742772" w:rsidRPr="00A041FB">
        <w:rPr>
          <w:rFonts w:ascii="Arial" w:hAnsi="Arial" w:cs="Arial"/>
        </w:rPr>
        <w:t xml:space="preserve">during 2024, </w:t>
      </w:r>
      <w:r w:rsidR="00BD7EEC" w:rsidRPr="00A041FB">
        <w:rPr>
          <w:rFonts w:ascii="Arial" w:hAnsi="Arial" w:cs="Arial"/>
        </w:rPr>
        <w:t>emerging from the recession in</w:t>
      </w:r>
      <w:r w:rsidR="00E82D11">
        <w:rPr>
          <w:rFonts w:ascii="Arial" w:hAnsi="Arial" w:cs="Arial"/>
        </w:rPr>
        <w:t xml:space="preserve"> the </w:t>
      </w:r>
      <w:r w:rsidR="00BD7EEC" w:rsidRPr="00A041FB">
        <w:rPr>
          <w:rFonts w:ascii="Arial" w:hAnsi="Arial" w:cs="Arial"/>
        </w:rPr>
        <w:t xml:space="preserve"> first quarter, growing at the fastest pace in two years</w:t>
      </w:r>
      <w:r w:rsidR="00BC1476" w:rsidRPr="00A041FB">
        <w:rPr>
          <w:rFonts w:ascii="Arial" w:hAnsi="Arial" w:cs="Arial"/>
        </w:rPr>
        <w:t>, with o</w:t>
      </w:r>
      <w:r w:rsidR="00742772" w:rsidRPr="00A041FB">
        <w:rPr>
          <w:rFonts w:ascii="Arial" w:hAnsi="Arial" w:cs="Arial"/>
        </w:rPr>
        <w:t xml:space="preserve">verall growth </w:t>
      </w:r>
      <w:r w:rsidR="00BC1476" w:rsidRPr="00A041FB">
        <w:rPr>
          <w:rFonts w:ascii="Arial" w:hAnsi="Arial" w:cs="Arial"/>
        </w:rPr>
        <w:t>of</w:t>
      </w:r>
      <w:r w:rsidR="00742772" w:rsidRPr="00A041FB">
        <w:rPr>
          <w:rFonts w:ascii="Arial" w:hAnsi="Arial" w:cs="Arial"/>
        </w:rPr>
        <w:t xml:space="preserve"> 1.1%</w:t>
      </w:r>
      <w:r w:rsidR="00BC1476" w:rsidRPr="00A041FB">
        <w:rPr>
          <w:rFonts w:ascii="Arial" w:hAnsi="Arial" w:cs="Arial"/>
        </w:rPr>
        <w:t xml:space="preserve"> for the year</w:t>
      </w:r>
      <w:r w:rsidR="00BD7EEC" w:rsidRPr="00A041FB">
        <w:rPr>
          <w:rFonts w:ascii="Arial" w:hAnsi="Arial" w:cs="Arial"/>
        </w:rPr>
        <w:t xml:space="preserve">.  </w:t>
      </w:r>
      <w:r w:rsidR="00112CF3" w:rsidRPr="00A041FB">
        <w:rPr>
          <w:rFonts w:ascii="Arial" w:hAnsi="Arial" w:cs="Arial"/>
        </w:rPr>
        <w:t>However,</w:t>
      </w:r>
      <w:r w:rsidR="007C0ABC" w:rsidRPr="00A041FB">
        <w:rPr>
          <w:rFonts w:ascii="Arial" w:hAnsi="Arial" w:cs="Arial"/>
        </w:rPr>
        <w:t xml:space="preserve"> </w:t>
      </w:r>
      <w:r w:rsidR="00BD6576" w:rsidRPr="00A041FB">
        <w:rPr>
          <w:rFonts w:ascii="Arial" w:hAnsi="Arial" w:cs="Arial"/>
        </w:rPr>
        <w:t>the</w:t>
      </w:r>
      <w:r w:rsidR="00B6185C" w:rsidRPr="00A041FB">
        <w:rPr>
          <w:rFonts w:ascii="Arial" w:hAnsi="Arial" w:cs="Arial"/>
        </w:rPr>
        <w:t xml:space="preserve"> </w:t>
      </w:r>
      <w:r w:rsidR="00E01452" w:rsidRPr="00A041FB">
        <w:rPr>
          <w:rFonts w:ascii="Arial" w:hAnsi="Arial" w:cs="Arial"/>
        </w:rPr>
        <w:t xml:space="preserve">recovery </w:t>
      </w:r>
      <w:r w:rsidR="00D4474B" w:rsidRPr="00A041FB">
        <w:rPr>
          <w:rFonts w:ascii="Arial" w:hAnsi="Arial" w:cs="Arial"/>
        </w:rPr>
        <w:t xml:space="preserve">has </w:t>
      </w:r>
      <w:r w:rsidR="00E01452" w:rsidRPr="00A041FB">
        <w:rPr>
          <w:rFonts w:ascii="Arial" w:hAnsi="Arial" w:cs="Arial"/>
        </w:rPr>
        <w:t>prove</w:t>
      </w:r>
      <w:r w:rsidR="00D4474B" w:rsidRPr="00A041FB">
        <w:rPr>
          <w:rFonts w:ascii="Arial" w:hAnsi="Arial" w:cs="Arial"/>
        </w:rPr>
        <w:t>n</w:t>
      </w:r>
      <w:r w:rsidR="00E01452" w:rsidRPr="00A041FB">
        <w:rPr>
          <w:rFonts w:ascii="Arial" w:hAnsi="Arial" w:cs="Arial"/>
        </w:rPr>
        <w:t xml:space="preserve"> to be uneven</w:t>
      </w:r>
      <w:r w:rsidR="00112CF3" w:rsidRPr="00A041FB">
        <w:rPr>
          <w:rFonts w:ascii="Arial" w:hAnsi="Arial" w:cs="Arial"/>
        </w:rPr>
        <w:t xml:space="preserve"> and has </w:t>
      </w:r>
      <w:r w:rsidR="00D24348">
        <w:rPr>
          <w:rFonts w:ascii="Arial" w:hAnsi="Arial" w:cs="Arial"/>
        </w:rPr>
        <w:t xml:space="preserve">now </w:t>
      </w:r>
      <w:r w:rsidR="00112CF3" w:rsidRPr="00A041FB">
        <w:rPr>
          <w:rFonts w:ascii="Arial" w:hAnsi="Arial" w:cs="Arial"/>
        </w:rPr>
        <w:t xml:space="preserve">flatlined </w:t>
      </w:r>
      <w:r w:rsidR="00D24348">
        <w:rPr>
          <w:rFonts w:ascii="Arial" w:hAnsi="Arial" w:cs="Arial"/>
        </w:rPr>
        <w:t>in</w:t>
      </w:r>
      <w:r w:rsidR="00112CF3" w:rsidRPr="00A041FB">
        <w:rPr>
          <w:rFonts w:ascii="Arial" w:hAnsi="Arial" w:cs="Arial"/>
        </w:rPr>
        <w:t xml:space="preserve"> 2025</w:t>
      </w:r>
      <w:r w:rsidR="007550E6" w:rsidRPr="00A041FB">
        <w:rPr>
          <w:rFonts w:ascii="Arial" w:hAnsi="Arial" w:cs="Arial"/>
        </w:rPr>
        <w:t>,</w:t>
      </w:r>
      <w:r w:rsidR="00E01452" w:rsidRPr="00A041FB">
        <w:rPr>
          <w:rFonts w:ascii="Arial" w:hAnsi="Arial" w:cs="Arial"/>
        </w:rPr>
        <w:t xml:space="preserve"> </w:t>
      </w:r>
      <w:r w:rsidR="0012628A" w:rsidRPr="00A041FB">
        <w:rPr>
          <w:rFonts w:ascii="Arial" w:hAnsi="Arial" w:cs="Arial"/>
        </w:rPr>
        <w:t>with</w:t>
      </w:r>
      <w:r w:rsidR="007550E6" w:rsidRPr="00A041FB">
        <w:rPr>
          <w:rFonts w:ascii="Arial" w:hAnsi="Arial" w:cs="Arial"/>
        </w:rPr>
        <w:t xml:space="preserve"> the </w:t>
      </w:r>
      <w:r w:rsidR="00F87769" w:rsidRPr="00A041FB">
        <w:rPr>
          <w:rFonts w:ascii="Arial" w:hAnsi="Arial" w:cs="Arial"/>
        </w:rPr>
        <w:t>continued issue of</w:t>
      </w:r>
      <w:r w:rsidR="0012628A" w:rsidRPr="00A041FB">
        <w:rPr>
          <w:rFonts w:ascii="Arial" w:hAnsi="Arial" w:cs="Arial"/>
        </w:rPr>
        <w:t xml:space="preserve"> </w:t>
      </w:r>
      <w:r w:rsidR="00B6185C" w:rsidRPr="00A041FB">
        <w:rPr>
          <w:rFonts w:ascii="Arial" w:hAnsi="Arial" w:cs="Arial"/>
        </w:rPr>
        <w:t>low</w:t>
      </w:r>
      <w:r w:rsidR="00E01452" w:rsidRPr="00A041FB">
        <w:rPr>
          <w:rFonts w:ascii="Arial" w:hAnsi="Arial" w:cs="Arial"/>
        </w:rPr>
        <w:t xml:space="preserve"> productivity</w:t>
      </w:r>
      <w:r w:rsidR="008224C8" w:rsidRPr="00A041FB">
        <w:rPr>
          <w:rFonts w:ascii="Arial" w:hAnsi="Arial" w:cs="Arial"/>
        </w:rPr>
        <w:t xml:space="preserve"> growth</w:t>
      </w:r>
      <w:r w:rsidR="00E01452" w:rsidRPr="00A041FB">
        <w:rPr>
          <w:rFonts w:ascii="Arial" w:hAnsi="Arial" w:cs="Arial"/>
        </w:rPr>
        <w:t xml:space="preserve"> preventing a robust economic re</w:t>
      </w:r>
      <w:r w:rsidR="00D55AD9" w:rsidRPr="00A041FB">
        <w:rPr>
          <w:rFonts w:ascii="Arial" w:hAnsi="Arial" w:cs="Arial"/>
        </w:rPr>
        <w:t>surgence</w:t>
      </w:r>
      <w:r w:rsidR="00D4797A">
        <w:rPr>
          <w:rFonts w:ascii="Arial" w:hAnsi="Arial" w:cs="Arial"/>
        </w:rPr>
        <w:t xml:space="preserve">, </w:t>
      </w:r>
      <w:r w:rsidR="00B71C12">
        <w:rPr>
          <w:rFonts w:ascii="Arial" w:hAnsi="Arial" w:cs="Arial"/>
        </w:rPr>
        <w:t xml:space="preserve">and </w:t>
      </w:r>
      <w:r w:rsidR="0073575D">
        <w:rPr>
          <w:rFonts w:ascii="Arial" w:hAnsi="Arial" w:cs="Arial"/>
        </w:rPr>
        <w:t>the effects of th</w:t>
      </w:r>
      <w:r w:rsidR="00F2293D">
        <w:rPr>
          <w:rFonts w:ascii="Arial" w:hAnsi="Arial" w:cs="Arial"/>
        </w:rPr>
        <w:t>e Labour Government’s fiscal loosening in its October 2025 Budget.</w:t>
      </w:r>
    </w:p>
    <w:p w14:paraId="449D2192" w14:textId="414914D0" w:rsidR="0012628A" w:rsidRPr="00274A05" w:rsidRDefault="00F26C91" w:rsidP="00CF25BB">
      <w:pPr>
        <w:pStyle w:val="NormalWeb"/>
        <w:numPr>
          <w:ilvl w:val="0"/>
          <w:numId w:val="44"/>
        </w:numPr>
        <w:shd w:val="clear" w:color="auto" w:fill="FFFFFF" w:themeFill="background1"/>
        <w:spacing w:before="0"/>
        <w:jc w:val="both"/>
        <w:rPr>
          <w:rFonts w:ascii="Arial" w:hAnsi="Arial" w:cs="Arial"/>
          <w:lang w:val="en-GB"/>
        </w:rPr>
      </w:pPr>
      <w:r w:rsidRPr="00E3602E">
        <w:rPr>
          <w:rFonts w:ascii="Arial" w:hAnsi="Arial" w:cs="Arial"/>
        </w:rPr>
        <w:t xml:space="preserve">In terms of actual GDP growth, the UK economy experienced </w:t>
      </w:r>
      <w:r w:rsidR="00D24348">
        <w:rPr>
          <w:rFonts w:ascii="Arial" w:hAnsi="Arial" w:cs="Arial"/>
        </w:rPr>
        <w:t xml:space="preserve">a </w:t>
      </w:r>
      <w:r w:rsidRPr="00E3602E">
        <w:rPr>
          <w:rFonts w:ascii="Arial" w:hAnsi="Arial" w:cs="Arial"/>
        </w:rPr>
        <w:t>strong start to 2025, with Q1 growth being particularly robust at 0.7%.  Growth slowed during Q2, with the economy expanding by 0.3%</w:t>
      </w:r>
      <w:r w:rsidR="0000161B" w:rsidRPr="00E3602E">
        <w:rPr>
          <w:rFonts w:ascii="Arial" w:hAnsi="Arial" w:cs="Arial"/>
        </w:rPr>
        <w:t xml:space="preserve">, </w:t>
      </w:r>
      <w:r w:rsidR="00791484" w:rsidRPr="00E3602E">
        <w:rPr>
          <w:rFonts w:ascii="Arial" w:hAnsi="Arial" w:cs="Arial"/>
        </w:rPr>
        <w:t>slow</w:t>
      </w:r>
      <w:r w:rsidR="00F25A5B">
        <w:rPr>
          <w:rFonts w:ascii="Arial" w:hAnsi="Arial" w:cs="Arial"/>
        </w:rPr>
        <w:t>ing</w:t>
      </w:r>
      <w:r w:rsidR="00791484" w:rsidRPr="00E3602E">
        <w:rPr>
          <w:rFonts w:ascii="Arial" w:hAnsi="Arial" w:cs="Arial"/>
        </w:rPr>
        <w:t xml:space="preserve"> further to 0.1% for the third quarter to Septembe</w:t>
      </w:r>
      <w:r w:rsidR="00017001" w:rsidRPr="00E3602E">
        <w:rPr>
          <w:rFonts w:ascii="Arial" w:hAnsi="Arial" w:cs="Arial"/>
        </w:rPr>
        <w:t>r, near stagnati</w:t>
      </w:r>
      <w:r w:rsidR="00E96322">
        <w:rPr>
          <w:rFonts w:ascii="Arial" w:hAnsi="Arial" w:cs="Arial"/>
        </w:rPr>
        <w:t>on</w:t>
      </w:r>
      <w:r w:rsidR="00017001" w:rsidRPr="00E3602E">
        <w:rPr>
          <w:rFonts w:ascii="Arial" w:hAnsi="Arial" w:cs="Arial"/>
        </w:rPr>
        <w:t>.</w:t>
      </w:r>
      <w:r w:rsidR="00CC028C">
        <w:rPr>
          <w:rFonts w:ascii="Arial" w:hAnsi="Arial" w:cs="Arial"/>
        </w:rPr>
        <w:t xml:space="preserve"> Initial indications for October 2025 estimate GDP to have fallen by 0.1%</w:t>
      </w:r>
      <w:r w:rsidR="00274A05">
        <w:rPr>
          <w:rFonts w:ascii="Arial" w:hAnsi="Arial" w:cs="Arial"/>
        </w:rPr>
        <w:t>, the first consecutive monthly fall since late 2023.</w:t>
      </w:r>
      <w:r w:rsidR="00E3602E" w:rsidRPr="00E3602E">
        <w:rPr>
          <w:rFonts w:ascii="Arial" w:hAnsi="Arial" w:cs="Arial"/>
          <w:color w:val="141414"/>
          <w:lang w:eastAsia="en-GB"/>
        </w:rPr>
        <w:t xml:space="preserve"> </w:t>
      </w:r>
      <w:r w:rsidR="00E3602E" w:rsidRPr="00E3602E">
        <w:rPr>
          <w:rFonts w:ascii="Arial" w:hAnsi="Arial" w:cs="Arial"/>
          <w:lang w:val="en-GB"/>
        </w:rPr>
        <w:t xml:space="preserve">At the time of November's Budget, </w:t>
      </w:r>
      <w:r w:rsidR="00D869B7">
        <w:rPr>
          <w:rFonts w:ascii="Arial" w:hAnsi="Arial" w:cs="Arial"/>
          <w:lang w:val="en-GB"/>
        </w:rPr>
        <w:t xml:space="preserve">news on </w:t>
      </w:r>
      <w:r w:rsidR="00451126">
        <w:rPr>
          <w:rFonts w:ascii="Arial" w:hAnsi="Arial" w:cs="Arial"/>
          <w:lang w:val="en-GB"/>
        </w:rPr>
        <w:t>GDP growth was encouraging with</w:t>
      </w:r>
      <w:r w:rsidR="00E3602E" w:rsidRPr="00E3602E">
        <w:rPr>
          <w:rFonts w:ascii="Arial" w:hAnsi="Arial" w:cs="Arial"/>
          <w:lang w:val="en-GB"/>
        </w:rPr>
        <w:t xml:space="preserve"> the Office for Budget Responsibility (OBR)  predict</w:t>
      </w:r>
      <w:r w:rsidR="00451126">
        <w:rPr>
          <w:rFonts w:ascii="Arial" w:hAnsi="Arial" w:cs="Arial"/>
          <w:lang w:val="en-GB"/>
        </w:rPr>
        <w:t>ing</w:t>
      </w:r>
      <w:r w:rsidR="00E3602E" w:rsidRPr="00E3602E">
        <w:rPr>
          <w:rFonts w:ascii="Arial" w:hAnsi="Arial" w:cs="Arial"/>
          <w:lang w:val="en-GB"/>
        </w:rPr>
        <w:t xml:space="preserve"> that the UK's economy would expand by 1.5% this year</w:t>
      </w:r>
      <w:r w:rsidR="00B350B4">
        <w:rPr>
          <w:rFonts w:ascii="Arial" w:hAnsi="Arial" w:cs="Arial"/>
          <w:lang w:val="en-GB"/>
        </w:rPr>
        <w:t xml:space="preserve">, increased from </w:t>
      </w:r>
      <w:r w:rsidR="00C510F8">
        <w:rPr>
          <w:rFonts w:ascii="Arial" w:hAnsi="Arial" w:cs="Arial"/>
          <w:lang w:val="en-GB"/>
        </w:rPr>
        <w:t>it’s earlier forecast of 1%</w:t>
      </w:r>
      <w:r w:rsidR="00E3602E" w:rsidRPr="00E3602E">
        <w:rPr>
          <w:rFonts w:ascii="Arial" w:hAnsi="Arial" w:cs="Arial"/>
          <w:lang w:val="en-GB"/>
        </w:rPr>
        <w:t>.</w:t>
      </w:r>
      <w:r w:rsidR="00E3602E">
        <w:rPr>
          <w:rFonts w:ascii="Arial" w:hAnsi="Arial" w:cs="Arial"/>
          <w:lang w:val="en-GB"/>
        </w:rPr>
        <w:t xml:space="preserve">  </w:t>
      </w:r>
      <w:r w:rsidR="00331788" w:rsidRPr="00331788">
        <w:rPr>
          <w:rFonts w:ascii="Arial" w:hAnsi="Arial" w:cs="Arial"/>
          <w:lang w:val="en-GB"/>
        </w:rPr>
        <w:t>Longer term, however, the outlook was less positive. The OBR revised its forecast for annual average GDP growth in 2026-29 to +1.5% from its previously predicted +1.8%, reflecting the UK’s softer productivity growth.</w:t>
      </w:r>
      <w:r w:rsidR="00E3602E" w:rsidRPr="00E3602E">
        <w:rPr>
          <w:rFonts w:ascii="Arial" w:hAnsi="Arial" w:cs="Arial"/>
          <w:lang w:val="en-GB"/>
        </w:rPr>
        <w:t>.</w:t>
      </w:r>
    </w:p>
    <w:p w14:paraId="3C22CB99" w14:textId="3873F0AB" w:rsidR="00CA4325" w:rsidRPr="00A965D0" w:rsidRDefault="00217FD6" w:rsidP="00CF25BB">
      <w:pPr>
        <w:pStyle w:val="ListParagraph"/>
        <w:numPr>
          <w:ilvl w:val="0"/>
          <w:numId w:val="31"/>
        </w:numPr>
        <w:spacing w:after="0" w:line="240" w:lineRule="auto"/>
        <w:jc w:val="both"/>
        <w:rPr>
          <w:rFonts w:ascii="Arial" w:hAnsi="Arial" w:cs="Arial"/>
          <w:sz w:val="24"/>
          <w:szCs w:val="24"/>
        </w:rPr>
      </w:pPr>
      <w:r w:rsidRPr="00023A4A">
        <w:rPr>
          <w:rFonts w:ascii="Arial" w:hAnsi="Arial" w:cs="Arial"/>
          <w:sz w:val="24"/>
          <w:szCs w:val="24"/>
        </w:rPr>
        <w:t>The Consumer Price Index (CPI)</w:t>
      </w:r>
      <w:r w:rsidR="008F5BBD" w:rsidRPr="00023A4A">
        <w:rPr>
          <w:rFonts w:ascii="Arial" w:hAnsi="Arial" w:cs="Arial"/>
          <w:sz w:val="24"/>
          <w:szCs w:val="24"/>
        </w:rPr>
        <w:t xml:space="preserve"> </w:t>
      </w:r>
      <w:r w:rsidR="00CA4325" w:rsidRPr="00023A4A">
        <w:rPr>
          <w:rFonts w:ascii="Arial" w:hAnsi="Arial" w:cs="Arial"/>
          <w:sz w:val="24"/>
          <w:szCs w:val="24"/>
        </w:rPr>
        <w:t xml:space="preserve">performed with a downward trend through much of 2024, falling significantly from its </w:t>
      </w:r>
      <w:r w:rsidR="00502CA4" w:rsidRPr="00023A4A">
        <w:rPr>
          <w:rFonts w:ascii="Arial" w:hAnsi="Arial" w:cs="Arial"/>
          <w:sz w:val="24"/>
          <w:szCs w:val="24"/>
        </w:rPr>
        <w:t xml:space="preserve">41-year </w:t>
      </w:r>
      <w:r w:rsidR="003422CC" w:rsidRPr="00023A4A">
        <w:rPr>
          <w:rFonts w:ascii="Arial" w:hAnsi="Arial" w:cs="Arial"/>
          <w:sz w:val="24"/>
          <w:szCs w:val="24"/>
        </w:rPr>
        <w:t>high</w:t>
      </w:r>
      <w:r w:rsidR="00CA4325" w:rsidRPr="00023A4A">
        <w:rPr>
          <w:rFonts w:ascii="Arial" w:hAnsi="Arial" w:cs="Arial"/>
          <w:sz w:val="24"/>
          <w:szCs w:val="24"/>
        </w:rPr>
        <w:t xml:space="preserve">, but saw a rebound and volatility in 2025, driven by energy, food, and water bill hikes, with rates fluctuating around the 3-4% mark, dipping towards year-end but remaining </w:t>
      </w:r>
      <w:r w:rsidR="00CA4325" w:rsidRPr="00A965D0">
        <w:rPr>
          <w:rFonts w:ascii="Arial" w:hAnsi="Arial" w:cs="Arial"/>
          <w:sz w:val="24"/>
          <w:szCs w:val="24"/>
        </w:rPr>
        <w:t>above the Bank of England's</w:t>
      </w:r>
      <w:r w:rsidR="00652829" w:rsidRPr="00A965D0">
        <w:rPr>
          <w:rFonts w:ascii="Arial" w:hAnsi="Arial" w:cs="Arial"/>
          <w:sz w:val="24"/>
          <w:szCs w:val="24"/>
        </w:rPr>
        <w:t xml:space="preserve"> (BofE)</w:t>
      </w:r>
      <w:r w:rsidR="00CA4325" w:rsidRPr="00A965D0">
        <w:rPr>
          <w:rFonts w:ascii="Arial" w:hAnsi="Arial" w:cs="Arial"/>
          <w:sz w:val="24"/>
          <w:szCs w:val="24"/>
        </w:rPr>
        <w:t xml:space="preserve"> 2% target</w:t>
      </w:r>
      <w:r w:rsidR="0050582C" w:rsidRPr="00A965D0">
        <w:rPr>
          <w:rFonts w:ascii="Arial" w:hAnsi="Arial" w:cs="Arial"/>
          <w:sz w:val="24"/>
          <w:szCs w:val="24"/>
        </w:rPr>
        <w:t>,</w:t>
      </w:r>
      <w:r w:rsidR="003422CC" w:rsidRPr="00A965D0">
        <w:rPr>
          <w:rFonts w:ascii="Arial" w:hAnsi="Arial" w:cs="Arial"/>
          <w:sz w:val="24"/>
          <w:szCs w:val="24"/>
        </w:rPr>
        <w:t xml:space="preserve"> at 3.</w:t>
      </w:r>
      <w:r w:rsidR="00775484" w:rsidRPr="00A965D0">
        <w:rPr>
          <w:rFonts w:ascii="Arial" w:hAnsi="Arial" w:cs="Arial"/>
          <w:sz w:val="24"/>
          <w:szCs w:val="24"/>
        </w:rPr>
        <w:t>2%</w:t>
      </w:r>
      <w:r w:rsidR="0050582C" w:rsidRPr="00A965D0">
        <w:rPr>
          <w:rFonts w:ascii="Arial" w:hAnsi="Arial" w:cs="Arial"/>
          <w:sz w:val="24"/>
          <w:szCs w:val="24"/>
        </w:rPr>
        <w:t xml:space="preserve"> in November.</w:t>
      </w:r>
      <w:r w:rsidR="0050582C" w:rsidRPr="00023A4A">
        <w:rPr>
          <w:rFonts w:ascii="Arial" w:hAnsi="Arial" w:cs="Arial"/>
          <w:sz w:val="24"/>
          <w:szCs w:val="24"/>
        </w:rPr>
        <w:t xml:space="preserve">  </w:t>
      </w:r>
      <w:r w:rsidR="00D1097A" w:rsidRPr="00023A4A">
        <w:rPr>
          <w:rFonts w:ascii="Arial" w:hAnsi="Arial" w:cs="Arial"/>
          <w:sz w:val="24"/>
          <w:szCs w:val="24"/>
        </w:rPr>
        <w:t>The OBR</w:t>
      </w:r>
      <w:r w:rsidR="000D4167" w:rsidRPr="00023A4A">
        <w:rPr>
          <w:rFonts w:ascii="Arial" w:hAnsi="Arial" w:cs="Arial"/>
          <w:sz w:val="24"/>
          <w:szCs w:val="24"/>
        </w:rPr>
        <w:t xml:space="preserve"> </w:t>
      </w:r>
      <w:r w:rsidR="00595F36" w:rsidRPr="00023A4A">
        <w:rPr>
          <w:rFonts w:ascii="Arial" w:hAnsi="Arial" w:cs="Arial"/>
          <w:sz w:val="24"/>
          <w:szCs w:val="24"/>
        </w:rPr>
        <w:t>anticipate that</w:t>
      </w:r>
      <w:r w:rsidR="000D4167" w:rsidRPr="00023A4A">
        <w:rPr>
          <w:rFonts w:ascii="Arial" w:hAnsi="Arial" w:cs="Arial"/>
          <w:sz w:val="24"/>
          <w:szCs w:val="24"/>
        </w:rPr>
        <w:t xml:space="preserve"> CPI </w:t>
      </w:r>
      <w:r w:rsidR="00595F36" w:rsidRPr="00023A4A">
        <w:rPr>
          <w:rFonts w:ascii="Arial" w:hAnsi="Arial" w:cs="Arial"/>
          <w:sz w:val="24"/>
          <w:szCs w:val="24"/>
        </w:rPr>
        <w:t xml:space="preserve">will gradually </w:t>
      </w:r>
      <w:r w:rsidR="000D4167" w:rsidRPr="00023A4A">
        <w:rPr>
          <w:rFonts w:ascii="Arial" w:hAnsi="Arial" w:cs="Arial"/>
          <w:sz w:val="24"/>
          <w:szCs w:val="24"/>
        </w:rPr>
        <w:t xml:space="preserve">fall to 2.5% during </w:t>
      </w:r>
      <w:r w:rsidR="00595F36" w:rsidRPr="00023A4A">
        <w:rPr>
          <w:rFonts w:ascii="Arial" w:hAnsi="Arial" w:cs="Arial"/>
          <w:sz w:val="24"/>
          <w:szCs w:val="24"/>
        </w:rPr>
        <w:t>in 2026</w:t>
      </w:r>
      <w:r w:rsidR="009735FD" w:rsidRPr="00023A4A">
        <w:rPr>
          <w:rFonts w:ascii="Arial" w:hAnsi="Arial" w:cs="Arial"/>
          <w:sz w:val="24"/>
          <w:szCs w:val="24"/>
        </w:rPr>
        <w:t xml:space="preserve">, returning to </w:t>
      </w:r>
      <w:r w:rsidR="009735FD" w:rsidRPr="00A965D0">
        <w:rPr>
          <w:rFonts w:ascii="Arial" w:hAnsi="Arial" w:cs="Arial"/>
          <w:sz w:val="24"/>
          <w:szCs w:val="24"/>
        </w:rPr>
        <w:t>the target rate of 2% in 2027.</w:t>
      </w:r>
      <w:r w:rsidR="00B75CDF" w:rsidRPr="00A965D0">
        <w:rPr>
          <w:rFonts w:ascii="Arial" w:hAnsi="Arial" w:cs="Arial"/>
          <w:sz w:val="24"/>
          <w:szCs w:val="24"/>
        </w:rPr>
        <w:t xml:space="preserve"> However the Bank of England are </w:t>
      </w:r>
      <w:r w:rsidR="0065401A" w:rsidRPr="00A965D0">
        <w:rPr>
          <w:rFonts w:ascii="Arial" w:hAnsi="Arial" w:cs="Arial"/>
          <w:sz w:val="24"/>
          <w:szCs w:val="24"/>
        </w:rPr>
        <w:t>forecasting that the return to 2% will happen much earlier</w:t>
      </w:r>
      <w:r w:rsidR="00702419" w:rsidRPr="00A965D0">
        <w:rPr>
          <w:rFonts w:ascii="Arial" w:hAnsi="Arial" w:cs="Arial"/>
          <w:sz w:val="24"/>
          <w:szCs w:val="24"/>
        </w:rPr>
        <w:t xml:space="preserve"> with inflation predicted to reach close target by April 2026.</w:t>
      </w:r>
    </w:p>
    <w:p w14:paraId="771AB07E" w14:textId="3D2EE447" w:rsidR="00F96B50" w:rsidRPr="00A965D0" w:rsidRDefault="00F96B50" w:rsidP="00F96B50">
      <w:pPr>
        <w:pStyle w:val="ListParagraph"/>
        <w:tabs>
          <w:tab w:val="left" w:pos="142"/>
          <w:tab w:val="left" w:pos="1200"/>
        </w:tabs>
        <w:spacing w:after="0" w:line="240" w:lineRule="auto"/>
        <w:ind w:left="780"/>
        <w:jc w:val="both"/>
        <w:rPr>
          <w:rFonts w:ascii="Arial" w:hAnsi="Arial" w:cs="Arial"/>
          <w:sz w:val="24"/>
          <w:szCs w:val="24"/>
        </w:rPr>
      </w:pPr>
    </w:p>
    <w:p w14:paraId="7DEB572A" w14:textId="77777777" w:rsidR="0038671D" w:rsidRPr="0038671D" w:rsidRDefault="00F96B50" w:rsidP="0038671D">
      <w:pPr>
        <w:pStyle w:val="dcr-1vtk2mf"/>
        <w:numPr>
          <w:ilvl w:val="0"/>
          <w:numId w:val="31"/>
        </w:numPr>
        <w:shd w:val="clear" w:color="auto" w:fill="FFFFFF" w:themeFill="background1"/>
        <w:spacing w:before="0" w:beforeAutospacing="0" w:after="0" w:afterAutospacing="0"/>
        <w:jc w:val="both"/>
        <w:textAlignment w:val="baseline"/>
        <w:rPr>
          <w:rFonts w:ascii="Arial" w:hAnsi="Arial" w:cs="Arial"/>
          <w:shd w:val="clear" w:color="auto" w:fill="FFFFFF"/>
        </w:rPr>
      </w:pPr>
      <w:r w:rsidRPr="00A965D0">
        <w:rPr>
          <w:rFonts w:ascii="Arial" w:hAnsi="Arial" w:cs="Arial"/>
          <w:shd w:val="clear" w:color="auto" w:fill="FFFFFF"/>
        </w:rPr>
        <w:t>Amidst the competing concerns of subdued economic growth and sustained inflation</w:t>
      </w:r>
      <w:r w:rsidRPr="002E388F">
        <w:rPr>
          <w:rFonts w:ascii="Arial" w:hAnsi="Arial" w:cs="Arial"/>
          <w:shd w:val="clear" w:color="auto" w:fill="FFFFFF"/>
        </w:rPr>
        <w:t xml:space="preserve"> the B</w:t>
      </w:r>
      <w:r w:rsidR="00652829" w:rsidRPr="002E388F">
        <w:rPr>
          <w:rFonts w:ascii="Arial" w:hAnsi="Arial" w:cs="Arial"/>
          <w:shd w:val="clear" w:color="auto" w:fill="FFFFFF"/>
        </w:rPr>
        <w:t>ofE</w:t>
      </w:r>
      <w:r w:rsidRPr="002E388F">
        <w:rPr>
          <w:rFonts w:ascii="Arial" w:hAnsi="Arial" w:cs="Arial"/>
          <w:shd w:val="clear" w:color="auto" w:fill="FFFFFF"/>
        </w:rPr>
        <w:t xml:space="preserve"> reduced its base rate to </w:t>
      </w:r>
      <w:r w:rsidR="00141174" w:rsidRPr="007E5675">
        <w:rPr>
          <w:rFonts w:ascii="Arial" w:hAnsi="Arial" w:cs="Arial"/>
          <w:shd w:val="clear" w:color="auto" w:fill="FFFFFF"/>
        </w:rPr>
        <w:t>3.75</w:t>
      </w:r>
      <w:r w:rsidRPr="002E388F">
        <w:rPr>
          <w:rFonts w:ascii="Arial" w:hAnsi="Arial" w:cs="Arial"/>
          <w:shd w:val="clear" w:color="auto" w:fill="FFFFFF"/>
        </w:rPr>
        <w:t xml:space="preserve">% in </w:t>
      </w:r>
      <w:r w:rsidR="00141174" w:rsidRPr="007E5675">
        <w:rPr>
          <w:rFonts w:ascii="Arial" w:hAnsi="Arial" w:cs="Arial"/>
          <w:shd w:val="clear" w:color="auto" w:fill="FFFFFF"/>
        </w:rPr>
        <w:t>December</w:t>
      </w:r>
      <w:r w:rsidRPr="002E388F">
        <w:rPr>
          <w:rFonts w:ascii="Arial" w:hAnsi="Arial" w:cs="Arial"/>
          <w:shd w:val="clear" w:color="auto" w:fill="FFFFFF"/>
        </w:rPr>
        <w:t xml:space="preserve"> 2025, its </w:t>
      </w:r>
      <w:r w:rsidR="00141174" w:rsidRPr="007E5675">
        <w:rPr>
          <w:rFonts w:ascii="Arial" w:hAnsi="Arial" w:cs="Arial"/>
          <w:shd w:val="clear" w:color="auto" w:fill="FFFFFF"/>
        </w:rPr>
        <w:t>sixth</w:t>
      </w:r>
      <w:r w:rsidRPr="002E388F">
        <w:rPr>
          <w:rFonts w:ascii="Arial" w:hAnsi="Arial" w:cs="Arial"/>
          <w:shd w:val="clear" w:color="auto" w:fill="FFFFFF"/>
        </w:rPr>
        <w:t xml:space="preserve"> cut since August 2024, bringing the cost borrowing to its lowest level in </w:t>
      </w:r>
      <w:r w:rsidR="00BB06C7" w:rsidRPr="007E5675">
        <w:rPr>
          <w:rFonts w:ascii="Arial" w:hAnsi="Arial" w:cs="Arial"/>
          <w:shd w:val="clear" w:color="auto" w:fill="FFFFFF"/>
        </w:rPr>
        <w:t>nearly 3</w:t>
      </w:r>
      <w:r w:rsidRPr="002E388F">
        <w:rPr>
          <w:rFonts w:ascii="Arial" w:hAnsi="Arial" w:cs="Arial"/>
          <w:shd w:val="clear" w:color="auto" w:fill="FFFFFF"/>
        </w:rPr>
        <w:t xml:space="preserve"> years.  </w:t>
      </w:r>
      <w:r w:rsidR="00A94C7E">
        <w:rPr>
          <w:rFonts w:ascii="Arial" w:hAnsi="Arial" w:cs="Arial"/>
          <w:shd w:val="clear" w:color="auto" w:fill="FFFFFF"/>
        </w:rPr>
        <w:t>A</w:t>
      </w:r>
      <w:r w:rsidR="00231D58">
        <w:rPr>
          <w:rFonts w:ascii="Arial" w:hAnsi="Arial" w:cs="Arial"/>
          <w:shd w:val="clear" w:color="auto" w:fill="FFFFFF"/>
        </w:rPr>
        <w:t xml:space="preserve">t </w:t>
      </w:r>
      <w:r w:rsidR="00936716">
        <w:rPr>
          <w:rFonts w:ascii="Arial" w:hAnsi="Arial" w:cs="Arial"/>
          <w:shd w:val="clear" w:color="auto" w:fill="FFFFFF"/>
        </w:rPr>
        <w:t xml:space="preserve">it’s </w:t>
      </w:r>
      <w:r w:rsidR="00231D58">
        <w:rPr>
          <w:rFonts w:ascii="Arial" w:hAnsi="Arial" w:cs="Arial"/>
          <w:shd w:val="clear" w:color="auto" w:fill="FFFFFF"/>
        </w:rPr>
        <w:t>latest meeting</w:t>
      </w:r>
      <w:r w:rsidR="00A94C7E">
        <w:rPr>
          <w:rFonts w:ascii="Arial" w:hAnsi="Arial" w:cs="Arial"/>
          <w:shd w:val="clear" w:color="auto" w:fill="FFFFFF"/>
        </w:rPr>
        <w:t>,</w:t>
      </w:r>
      <w:r w:rsidR="00231D58">
        <w:rPr>
          <w:rFonts w:ascii="Arial" w:hAnsi="Arial" w:cs="Arial"/>
          <w:shd w:val="clear" w:color="auto" w:fill="FFFFFF"/>
        </w:rPr>
        <w:t xml:space="preserve"> in early February 2026</w:t>
      </w:r>
      <w:r w:rsidR="0078054C">
        <w:rPr>
          <w:rFonts w:ascii="Arial" w:hAnsi="Arial" w:cs="Arial"/>
          <w:shd w:val="clear" w:color="auto" w:fill="FFFFFF"/>
        </w:rPr>
        <w:t>, policymakers</w:t>
      </w:r>
      <w:r w:rsidR="00936716">
        <w:rPr>
          <w:rFonts w:ascii="Arial" w:hAnsi="Arial" w:cs="Arial"/>
          <w:shd w:val="clear" w:color="auto" w:fill="FFFFFF"/>
        </w:rPr>
        <w:t xml:space="preserve"> at the </w:t>
      </w:r>
      <w:r w:rsidR="0038671D">
        <w:rPr>
          <w:rFonts w:ascii="Arial" w:hAnsi="Arial" w:cs="Arial"/>
          <w:shd w:val="clear" w:color="auto" w:fill="FFFFFF"/>
        </w:rPr>
        <w:t>bank</w:t>
      </w:r>
      <w:r w:rsidR="0078054C">
        <w:rPr>
          <w:rFonts w:ascii="Arial" w:hAnsi="Arial" w:cs="Arial"/>
          <w:shd w:val="clear" w:color="auto" w:fill="FFFFFF"/>
        </w:rPr>
        <w:t xml:space="preserve"> were split </w:t>
      </w:r>
      <w:r w:rsidR="00936716">
        <w:rPr>
          <w:rFonts w:ascii="Arial" w:hAnsi="Arial" w:cs="Arial"/>
          <w:shd w:val="clear" w:color="auto" w:fill="FFFFFF"/>
        </w:rPr>
        <w:t>in favour o</w:t>
      </w:r>
      <w:r w:rsidR="00A10BC1">
        <w:rPr>
          <w:rFonts w:ascii="Arial" w:hAnsi="Arial" w:cs="Arial"/>
          <w:shd w:val="clear" w:color="auto" w:fill="FFFFFF"/>
        </w:rPr>
        <w:t>f</w:t>
      </w:r>
      <w:r w:rsidR="00936716">
        <w:rPr>
          <w:rFonts w:ascii="Arial" w:hAnsi="Arial" w:cs="Arial"/>
          <w:shd w:val="clear" w:color="auto" w:fill="FFFFFF"/>
        </w:rPr>
        <w:t xml:space="preserve"> holding </w:t>
      </w:r>
      <w:r w:rsidR="00A10BC1">
        <w:rPr>
          <w:rFonts w:ascii="Arial" w:hAnsi="Arial" w:cs="Arial"/>
          <w:shd w:val="clear" w:color="auto" w:fill="FFFFFF"/>
        </w:rPr>
        <w:t>rates at 3.</w:t>
      </w:r>
      <w:r w:rsidR="00772E7C">
        <w:rPr>
          <w:rFonts w:ascii="Arial" w:hAnsi="Arial" w:cs="Arial"/>
          <w:shd w:val="clear" w:color="auto" w:fill="FFFFFF"/>
        </w:rPr>
        <w:t xml:space="preserve">75%, with the Governor choosing to leave rates unchanged.  The </w:t>
      </w:r>
      <w:r w:rsidR="0038671D" w:rsidRPr="0038671D">
        <w:rPr>
          <w:rFonts w:ascii="Arial" w:hAnsi="Arial" w:cs="Arial"/>
          <w:shd w:val="clear" w:color="auto" w:fill="FFFFFF"/>
        </w:rPr>
        <w:t xml:space="preserve">bank's forecasts showed inflation returning to the 2% target in April and then falling below for much of 2027, with evidence of subdued economic growth and building slack in the labour market. Governor Andrew Bailey said "All going well, there should be scope for some further reduction in bank rate this year", indicating a potential rate cut in the future. </w:t>
      </w:r>
    </w:p>
    <w:p w14:paraId="0ED56B2F" w14:textId="77777777" w:rsidR="007E5675" w:rsidRPr="007E5675" w:rsidRDefault="007E5675" w:rsidP="007E5675">
      <w:pPr>
        <w:pStyle w:val="dcr-1vtk2mf"/>
        <w:shd w:val="clear" w:color="auto" w:fill="FFFFFF" w:themeFill="background1"/>
        <w:spacing w:before="0" w:beforeAutospacing="0" w:after="0" w:afterAutospacing="0"/>
        <w:jc w:val="both"/>
        <w:textAlignment w:val="baseline"/>
        <w:rPr>
          <w:rFonts w:ascii="Arial" w:hAnsi="Arial" w:cs="Arial"/>
          <w:highlight w:val="yellow"/>
        </w:rPr>
      </w:pPr>
    </w:p>
    <w:p w14:paraId="574756EA" w14:textId="61891EED" w:rsidR="0096492A" w:rsidRPr="005F1A2A" w:rsidRDefault="00541F75" w:rsidP="1A0A5CEF">
      <w:pPr>
        <w:pStyle w:val="NormalWeb"/>
        <w:shd w:val="clear" w:color="auto" w:fill="FFFFFF" w:themeFill="background1"/>
        <w:spacing w:before="0" w:beforeAutospacing="0" w:after="0" w:afterAutospacing="0"/>
        <w:jc w:val="both"/>
        <w:rPr>
          <w:rFonts w:ascii="Arial" w:hAnsi="Arial" w:cs="Arial"/>
        </w:rPr>
      </w:pPr>
      <w:r w:rsidRPr="005F1A2A">
        <w:rPr>
          <w:rFonts w:ascii="Arial" w:hAnsi="Arial" w:cs="Arial"/>
          <w:lang w:val="en-GB"/>
        </w:rPr>
        <w:t>In essence, 2025 saw the UK economy move from a stronger start to a more subdued finish, grappling with persistent inflation and investment challenges</w:t>
      </w:r>
      <w:r w:rsidR="00193965" w:rsidRPr="005F1A2A">
        <w:rPr>
          <w:rFonts w:ascii="Arial" w:hAnsi="Arial" w:cs="Arial"/>
          <w:lang w:val="en-GB"/>
        </w:rPr>
        <w:t>.  The</w:t>
      </w:r>
      <w:r w:rsidR="006A34D9" w:rsidRPr="005F1A2A">
        <w:rPr>
          <w:rFonts w:ascii="Arial" w:hAnsi="Arial" w:cs="Arial"/>
          <w:lang w:val="en-GB"/>
        </w:rPr>
        <w:t xml:space="preserve"> outlook point</w:t>
      </w:r>
      <w:r w:rsidR="00193965" w:rsidRPr="005F1A2A">
        <w:rPr>
          <w:rFonts w:ascii="Arial" w:hAnsi="Arial" w:cs="Arial"/>
          <w:lang w:val="en-GB"/>
        </w:rPr>
        <w:t xml:space="preserve">s </w:t>
      </w:r>
      <w:r w:rsidR="006A34D9" w:rsidRPr="005F1A2A">
        <w:rPr>
          <w:rFonts w:ascii="Arial" w:hAnsi="Arial" w:cs="Arial"/>
          <w:lang w:val="en-GB"/>
        </w:rPr>
        <w:t xml:space="preserve">to modest growth, </w:t>
      </w:r>
      <w:r w:rsidR="00D74297" w:rsidRPr="005F1A2A">
        <w:rPr>
          <w:rFonts w:ascii="Arial" w:hAnsi="Arial" w:cs="Arial"/>
          <w:lang w:val="en-GB"/>
        </w:rPr>
        <w:t>the easing of</w:t>
      </w:r>
      <w:r w:rsidR="006A34D9" w:rsidRPr="005F1A2A">
        <w:rPr>
          <w:rFonts w:ascii="Arial" w:hAnsi="Arial" w:cs="Arial"/>
          <w:lang w:val="en-GB"/>
        </w:rPr>
        <w:t xml:space="preserve"> </w:t>
      </w:r>
      <w:r w:rsidR="00D74297" w:rsidRPr="005F1A2A">
        <w:rPr>
          <w:rFonts w:ascii="Arial" w:hAnsi="Arial" w:cs="Arial"/>
          <w:lang w:val="en-GB"/>
        </w:rPr>
        <w:t>by</w:t>
      </w:r>
      <w:r w:rsidR="006A34D9" w:rsidRPr="005F1A2A">
        <w:rPr>
          <w:rFonts w:ascii="Arial" w:hAnsi="Arial" w:cs="Arial"/>
          <w:lang w:val="en-GB"/>
        </w:rPr>
        <w:t xml:space="preserve"> </w:t>
      </w:r>
      <w:r w:rsidR="001D6BE4" w:rsidRPr="005F1A2A">
        <w:rPr>
          <w:rFonts w:ascii="Arial" w:hAnsi="Arial" w:cs="Arial"/>
          <w:lang w:val="en-GB"/>
        </w:rPr>
        <w:t xml:space="preserve">inflation to target levels </w:t>
      </w:r>
      <w:r w:rsidR="00F329CA">
        <w:rPr>
          <w:rFonts w:ascii="Arial" w:hAnsi="Arial" w:cs="Arial"/>
          <w:lang w:val="en-GB"/>
        </w:rPr>
        <w:t>in 2026-</w:t>
      </w:r>
      <w:r w:rsidR="006A34D9" w:rsidRPr="005F1A2A">
        <w:rPr>
          <w:rFonts w:ascii="Arial" w:hAnsi="Arial" w:cs="Arial"/>
          <w:lang w:val="en-GB"/>
        </w:rPr>
        <w:t>2027</w:t>
      </w:r>
      <w:r w:rsidR="00D74297" w:rsidRPr="005F1A2A">
        <w:rPr>
          <w:rFonts w:ascii="Arial" w:hAnsi="Arial" w:cs="Arial"/>
          <w:lang w:val="en-GB"/>
        </w:rPr>
        <w:t xml:space="preserve"> and the likeli</w:t>
      </w:r>
      <w:r w:rsidR="00C06933" w:rsidRPr="005F1A2A">
        <w:rPr>
          <w:rFonts w:ascii="Arial" w:hAnsi="Arial" w:cs="Arial"/>
          <w:lang w:val="en-GB"/>
        </w:rPr>
        <w:t xml:space="preserve">hood of </w:t>
      </w:r>
      <w:r w:rsidR="00E90465" w:rsidRPr="005F1A2A">
        <w:rPr>
          <w:rFonts w:ascii="Arial" w:hAnsi="Arial" w:cs="Arial"/>
          <w:lang w:val="en-GB"/>
        </w:rPr>
        <w:t xml:space="preserve">further interest </w:t>
      </w:r>
      <w:r w:rsidR="00145DE2">
        <w:rPr>
          <w:rFonts w:ascii="Arial" w:hAnsi="Arial" w:cs="Arial"/>
          <w:lang w:val="en-GB"/>
        </w:rPr>
        <w:t>rate</w:t>
      </w:r>
      <w:r w:rsidR="00E90465" w:rsidRPr="005F1A2A">
        <w:rPr>
          <w:rFonts w:ascii="Arial" w:hAnsi="Arial" w:cs="Arial"/>
          <w:lang w:val="en-GB"/>
        </w:rPr>
        <w:t xml:space="preserve"> cuts,</w:t>
      </w:r>
      <w:r w:rsidR="005232F7" w:rsidRPr="005F1A2A">
        <w:rPr>
          <w:rFonts w:ascii="Arial" w:hAnsi="Arial" w:cs="Arial"/>
          <w:lang w:val="en-GB"/>
        </w:rPr>
        <w:t xml:space="preserve"> but </w:t>
      </w:r>
      <w:r w:rsidR="00145DE2">
        <w:rPr>
          <w:rFonts w:ascii="Arial" w:hAnsi="Arial" w:cs="Arial"/>
          <w:lang w:val="en-GB"/>
        </w:rPr>
        <w:t xml:space="preserve">the </w:t>
      </w:r>
      <w:r w:rsidR="005232F7" w:rsidRPr="005F1A2A">
        <w:rPr>
          <w:rFonts w:ascii="Arial" w:hAnsi="Arial" w:cs="Arial"/>
          <w:lang w:val="en-GB"/>
        </w:rPr>
        <w:t xml:space="preserve">path to recovery </w:t>
      </w:r>
      <w:r w:rsidR="00551C16" w:rsidRPr="005F1A2A">
        <w:rPr>
          <w:rFonts w:ascii="Arial" w:hAnsi="Arial" w:cs="Arial"/>
          <w:lang w:val="en-GB"/>
        </w:rPr>
        <w:t>remains long and uncertain</w:t>
      </w:r>
      <w:r w:rsidR="006A34D9" w:rsidRPr="005F1A2A">
        <w:rPr>
          <w:rFonts w:ascii="Arial" w:hAnsi="Arial" w:cs="Arial"/>
          <w:lang w:val="en-GB"/>
        </w:rPr>
        <w:t xml:space="preserve">. </w:t>
      </w:r>
    </w:p>
    <w:p w14:paraId="4B8E473B" w14:textId="77777777" w:rsidR="008A797E" w:rsidRPr="007752B4" w:rsidRDefault="008A797E" w:rsidP="008A797E">
      <w:pPr>
        <w:pStyle w:val="NormalWeb"/>
        <w:shd w:val="clear" w:color="auto" w:fill="FFFFFF"/>
        <w:spacing w:before="0" w:beforeAutospacing="0" w:after="0" w:afterAutospacing="0"/>
        <w:jc w:val="both"/>
        <w:rPr>
          <w:rFonts w:ascii="Arial" w:hAnsi="Arial" w:cs="Arial"/>
          <w:highlight w:val="yellow"/>
        </w:rPr>
      </w:pPr>
    </w:p>
    <w:p w14:paraId="42FB762A" w14:textId="7542EB0A" w:rsidR="009639E6" w:rsidRPr="0023059C" w:rsidRDefault="00384776" w:rsidP="00710C7D">
      <w:pPr>
        <w:pStyle w:val="Heading5"/>
        <w:ind w:left="0"/>
        <w:rPr>
          <w:color w:val="C45911"/>
        </w:rPr>
      </w:pPr>
      <w:r w:rsidRPr="0023059C">
        <w:rPr>
          <w:color w:val="C45911"/>
        </w:rPr>
        <w:t>National Priorities</w:t>
      </w:r>
    </w:p>
    <w:p w14:paraId="1DF7A0FE" w14:textId="77777777" w:rsidR="009639E6" w:rsidRPr="0023059C" w:rsidRDefault="009639E6" w:rsidP="00AB7FBF">
      <w:pPr>
        <w:jc w:val="both"/>
      </w:pPr>
    </w:p>
    <w:p w14:paraId="3E7F1DAA" w14:textId="3E67CA97" w:rsidR="004D4D36" w:rsidRPr="0023059C" w:rsidRDefault="005F1A2A" w:rsidP="004A53DB">
      <w:pPr>
        <w:keepLines/>
        <w:jc w:val="both"/>
        <w:rPr>
          <w:rFonts w:ascii="Arial" w:hAnsi="Arial" w:cs="Arial"/>
        </w:rPr>
      </w:pPr>
      <w:r w:rsidRPr="004A53DB">
        <w:rPr>
          <w:rFonts w:ascii="Arial" w:hAnsi="Arial" w:cs="Arial"/>
        </w:rPr>
        <w:t>The</w:t>
      </w:r>
      <w:r w:rsidR="00E207CD" w:rsidRPr="004A53DB">
        <w:rPr>
          <w:rFonts w:ascii="Arial" w:hAnsi="Arial" w:cs="Arial"/>
        </w:rPr>
        <w:t xml:space="preserve"> most recent major fiscal event</w:t>
      </w:r>
      <w:r w:rsidR="004D6295" w:rsidRPr="004A53DB">
        <w:rPr>
          <w:rFonts w:ascii="Arial" w:hAnsi="Arial" w:cs="Arial"/>
        </w:rPr>
        <w:t>s</w:t>
      </w:r>
      <w:r w:rsidR="009B43E7" w:rsidRPr="004A53DB">
        <w:rPr>
          <w:rFonts w:ascii="Arial" w:hAnsi="Arial" w:cs="Arial"/>
        </w:rPr>
        <w:t xml:space="preserve"> have </w:t>
      </w:r>
      <w:r w:rsidR="005A4391" w:rsidRPr="004A53DB">
        <w:rPr>
          <w:rFonts w:ascii="Arial" w:hAnsi="Arial" w:cs="Arial"/>
        </w:rPr>
        <w:t xml:space="preserve">been the Spending Review </w:t>
      </w:r>
      <w:r w:rsidR="000019F7">
        <w:rPr>
          <w:rFonts w:ascii="Arial" w:hAnsi="Arial" w:cs="Arial"/>
        </w:rPr>
        <w:t>2025 (SR25)</w:t>
      </w:r>
      <w:r w:rsidR="005A4391" w:rsidRPr="004A53DB">
        <w:rPr>
          <w:rFonts w:ascii="Arial" w:hAnsi="Arial" w:cs="Arial"/>
        </w:rPr>
        <w:t xml:space="preserve"> announced in June 2025, and</w:t>
      </w:r>
      <w:r w:rsidR="00E207CD" w:rsidRPr="0023059C">
        <w:rPr>
          <w:rFonts w:ascii="Arial" w:hAnsi="Arial" w:cs="Arial"/>
        </w:rPr>
        <w:t xml:space="preserve"> the </w:t>
      </w:r>
      <w:r w:rsidR="005A4391">
        <w:rPr>
          <w:rFonts w:ascii="Arial" w:hAnsi="Arial" w:cs="Arial"/>
        </w:rPr>
        <w:t>Autumn</w:t>
      </w:r>
      <w:r w:rsidR="00E207CD" w:rsidRPr="0023059C">
        <w:rPr>
          <w:rFonts w:ascii="Arial" w:hAnsi="Arial" w:cs="Arial"/>
        </w:rPr>
        <w:t xml:space="preserve"> Budget 202</w:t>
      </w:r>
      <w:r w:rsidR="008B75B3" w:rsidRPr="0023059C">
        <w:rPr>
          <w:rFonts w:ascii="Arial" w:hAnsi="Arial" w:cs="Arial"/>
        </w:rPr>
        <w:t>5</w:t>
      </w:r>
      <w:r w:rsidR="00E207CD" w:rsidRPr="0023059C">
        <w:rPr>
          <w:rFonts w:ascii="Arial" w:hAnsi="Arial" w:cs="Arial"/>
        </w:rPr>
        <w:t xml:space="preserve">, announced in </w:t>
      </w:r>
      <w:r w:rsidR="0023059C" w:rsidRPr="0023059C">
        <w:rPr>
          <w:rFonts w:ascii="Arial" w:hAnsi="Arial" w:cs="Arial"/>
        </w:rPr>
        <w:t>November</w:t>
      </w:r>
      <w:r w:rsidR="00E207CD" w:rsidRPr="0023059C">
        <w:rPr>
          <w:rFonts w:ascii="Arial" w:hAnsi="Arial" w:cs="Arial"/>
        </w:rPr>
        <w:t xml:space="preserve">. </w:t>
      </w:r>
    </w:p>
    <w:p w14:paraId="735A2A0D" w14:textId="5A034ACD" w:rsidR="00F22EAB" w:rsidRDefault="00F22EAB" w:rsidP="1A0A5CEF">
      <w:pPr>
        <w:pStyle w:val="ListParagraph"/>
        <w:keepLines/>
        <w:spacing w:after="0" w:line="240" w:lineRule="auto"/>
        <w:jc w:val="both"/>
        <w:rPr>
          <w:rFonts w:ascii="Arial" w:hAnsi="Arial" w:cs="Arial"/>
          <w:sz w:val="24"/>
          <w:szCs w:val="24"/>
        </w:rPr>
      </w:pPr>
    </w:p>
    <w:p w14:paraId="1E0CD43B" w14:textId="2732E6D1" w:rsidR="00F22EAB" w:rsidRPr="006D74D1" w:rsidRDefault="00750F46" w:rsidP="004A53DB">
      <w:pPr>
        <w:keepLines/>
        <w:jc w:val="both"/>
        <w:rPr>
          <w:rFonts w:ascii="Arial" w:hAnsi="Arial" w:cs="Arial"/>
        </w:rPr>
      </w:pPr>
      <w:r w:rsidRPr="004A53DB">
        <w:rPr>
          <w:rFonts w:ascii="Arial" w:eastAsia="Arial" w:hAnsi="Arial" w:cs="Arial"/>
          <w:lang w:eastAsia="en-GB"/>
        </w:rPr>
        <w:t xml:space="preserve">The Chancellor </w:t>
      </w:r>
      <w:r>
        <w:rPr>
          <w:rFonts w:ascii="Arial" w:eastAsia="Arial" w:hAnsi="Arial" w:cs="Arial"/>
          <w:lang w:eastAsia="en-GB"/>
        </w:rPr>
        <w:t xml:space="preserve">presented </w:t>
      </w:r>
      <w:r w:rsidR="00483CE6">
        <w:rPr>
          <w:rFonts w:ascii="Arial" w:eastAsia="Arial" w:hAnsi="Arial" w:cs="Arial"/>
          <w:lang w:eastAsia="en-GB"/>
        </w:rPr>
        <w:t>the SR25</w:t>
      </w:r>
      <w:r>
        <w:rPr>
          <w:rFonts w:ascii="Arial" w:eastAsia="Arial" w:hAnsi="Arial" w:cs="Arial"/>
          <w:lang w:eastAsia="en-GB"/>
        </w:rPr>
        <w:t xml:space="preserve"> </w:t>
      </w:r>
      <w:r w:rsidRPr="004A53DB">
        <w:rPr>
          <w:rFonts w:ascii="Arial" w:eastAsia="Arial" w:hAnsi="Arial" w:cs="Arial"/>
          <w:lang w:eastAsia="en-GB"/>
        </w:rPr>
        <w:t xml:space="preserve">in June 2025 and billed it as focussing on long-term investment to deliver economic growth and support working people.  The </w:t>
      </w:r>
      <w:r w:rsidR="00483CE6">
        <w:rPr>
          <w:rFonts w:ascii="Arial" w:eastAsia="Arial" w:hAnsi="Arial" w:cs="Arial"/>
          <w:lang w:eastAsia="en-GB"/>
        </w:rPr>
        <w:t>SR</w:t>
      </w:r>
      <w:r w:rsidRPr="004A53DB">
        <w:rPr>
          <w:rFonts w:ascii="Arial" w:eastAsia="Arial" w:hAnsi="Arial" w:cs="Arial"/>
          <w:lang w:eastAsia="en-GB"/>
        </w:rPr>
        <w:t xml:space="preserve"> set out the medium term path for public finances, covering departmental settlements for 2026/27, 2027/28 and 2028/29 (going into 2029/30 for capital budgets only), with total departmental budgets growing by 2.4% across the period. </w:t>
      </w:r>
      <w:r w:rsidRPr="004A53DB">
        <w:rPr>
          <w:rFonts w:ascii="Arial" w:hAnsi="Arial" w:cs="Arial"/>
        </w:rPr>
        <w:t xml:space="preserve">The </w:t>
      </w:r>
      <w:r w:rsidR="00483CE6">
        <w:rPr>
          <w:rFonts w:ascii="Arial" w:hAnsi="Arial" w:cs="Arial"/>
        </w:rPr>
        <w:t>SR</w:t>
      </w:r>
      <w:r w:rsidRPr="004A53DB">
        <w:rPr>
          <w:rFonts w:ascii="Arial" w:hAnsi="Arial" w:cs="Arial"/>
        </w:rPr>
        <w:t xml:space="preserve"> figures for 2028/29 and beyond are provisional only and will be subject to review as part of a Spending Review in 2027.</w:t>
      </w:r>
    </w:p>
    <w:p w14:paraId="11C1E046" w14:textId="4199EC30" w:rsidR="00750F46" w:rsidRPr="006D74D1" w:rsidRDefault="00750F46" w:rsidP="1A0A5CEF">
      <w:pPr>
        <w:pStyle w:val="ListParagraph"/>
        <w:keepLines/>
        <w:spacing w:after="0" w:line="240" w:lineRule="auto"/>
        <w:jc w:val="both"/>
        <w:rPr>
          <w:rFonts w:ascii="Arial" w:hAnsi="Arial" w:cs="Arial"/>
          <w:sz w:val="24"/>
          <w:szCs w:val="24"/>
        </w:rPr>
      </w:pPr>
    </w:p>
    <w:p w14:paraId="3180869C" w14:textId="72B8EC86" w:rsidR="006D74D1" w:rsidRPr="006D74D1" w:rsidRDefault="006D74D1" w:rsidP="006D74D1">
      <w:pPr>
        <w:jc w:val="both"/>
        <w:rPr>
          <w:rFonts w:ascii="Arial" w:hAnsi="Arial" w:cs="Arial"/>
        </w:rPr>
      </w:pPr>
      <w:r w:rsidRPr="006D74D1">
        <w:rPr>
          <w:rFonts w:ascii="Arial" w:hAnsi="Arial" w:cs="Arial"/>
        </w:rPr>
        <w:t xml:space="preserve">Departmental day-to-day revenue spending (RDEL) is set to increase by an annual average of 1.2% in real terms between 2025/26 and 2028/29. Over half of the increase will go to health, with defence the other big winner. In contrast to the spending reviews of the 2000’s and 2010’s, local government and justice were also protected and received above average settlements. Conversely the Home Office and oversees aid were tasked with finding some of the biggest cuts.  Investment spending (CDEL) will increase from £131.3bn in 2025/26 to £151.9bn in 2029/30, an average real terms increase of 1.8% a year. About half of the increase will go to defence.  In general, the increases in spending at this Spending Review were smaller than those in the previous two Spending Reviews. </w:t>
      </w:r>
      <w:r w:rsidR="005A74CE">
        <w:rPr>
          <w:rFonts w:ascii="Arial" w:hAnsi="Arial" w:cs="Arial"/>
        </w:rPr>
        <w:t>Further details on the departmental expenditure limit for local government is set out in the Local Government section below.</w:t>
      </w:r>
    </w:p>
    <w:p w14:paraId="07AA7B0B" w14:textId="77777777" w:rsidR="004D4D36" w:rsidRDefault="004D4D36" w:rsidP="006D74D1">
      <w:pPr>
        <w:jc w:val="both"/>
        <w:rPr>
          <w:rFonts w:ascii="Arial" w:hAnsi="Arial" w:cs="Arial"/>
        </w:rPr>
      </w:pPr>
    </w:p>
    <w:p w14:paraId="34A5791E" w14:textId="006EC4E4" w:rsidR="003A0070" w:rsidRDefault="00CC31AB" w:rsidP="006D74D1">
      <w:pPr>
        <w:jc w:val="both"/>
        <w:rPr>
          <w:rFonts w:ascii="Arial" w:hAnsi="Arial" w:cs="Arial"/>
        </w:rPr>
      </w:pPr>
      <w:r>
        <w:rPr>
          <w:rFonts w:ascii="Arial" w:hAnsi="Arial" w:cs="Arial"/>
        </w:rPr>
        <w:t>While the S</w:t>
      </w:r>
      <w:r w:rsidR="000019F7">
        <w:rPr>
          <w:rFonts w:ascii="Arial" w:hAnsi="Arial" w:cs="Arial"/>
        </w:rPr>
        <w:t>R25</w:t>
      </w:r>
      <w:r>
        <w:rPr>
          <w:rFonts w:ascii="Arial" w:hAnsi="Arial" w:cs="Arial"/>
        </w:rPr>
        <w:t xml:space="preserve"> </w:t>
      </w:r>
      <w:r w:rsidR="00EA2E9F">
        <w:rPr>
          <w:rFonts w:ascii="Arial" w:hAnsi="Arial" w:cs="Arial"/>
        </w:rPr>
        <w:t xml:space="preserve">set out allocations of departmental funding over the </w:t>
      </w:r>
      <w:r w:rsidR="0010011E">
        <w:rPr>
          <w:rFonts w:ascii="Arial" w:hAnsi="Arial" w:cs="Arial"/>
        </w:rPr>
        <w:t>lifetime of the current parliament</w:t>
      </w:r>
      <w:r w:rsidR="0043317B">
        <w:rPr>
          <w:rFonts w:ascii="Arial" w:hAnsi="Arial" w:cs="Arial"/>
        </w:rPr>
        <w:t xml:space="preserve"> (outlining long-term spending envelopes and priorities)</w:t>
      </w:r>
      <w:r w:rsidR="0010011E">
        <w:rPr>
          <w:rFonts w:ascii="Arial" w:hAnsi="Arial" w:cs="Arial"/>
        </w:rPr>
        <w:t>, the</w:t>
      </w:r>
      <w:r w:rsidR="003A0070">
        <w:rPr>
          <w:rFonts w:ascii="Arial" w:hAnsi="Arial" w:cs="Arial"/>
        </w:rPr>
        <w:t xml:space="preserve"> Autumn</w:t>
      </w:r>
      <w:r w:rsidR="00E25E90">
        <w:rPr>
          <w:rFonts w:ascii="Arial" w:hAnsi="Arial" w:cs="Arial"/>
        </w:rPr>
        <w:t xml:space="preserve"> Budget 2025</w:t>
      </w:r>
      <w:r w:rsidR="00054511">
        <w:rPr>
          <w:rFonts w:ascii="Arial" w:hAnsi="Arial" w:cs="Arial"/>
        </w:rPr>
        <w:t xml:space="preserve"> </w:t>
      </w:r>
      <w:r w:rsidR="00DD05DC">
        <w:rPr>
          <w:rFonts w:ascii="Arial" w:hAnsi="Arial" w:cs="Arial"/>
        </w:rPr>
        <w:t xml:space="preserve">set out a detailed fiscal plan with specific tax and </w:t>
      </w:r>
      <w:r w:rsidR="0088234A">
        <w:rPr>
          <w:rFonts w:ascii="Arial" w:hAnsi="Arial" w:cs="Arial"/>
        </w:rPr>
        <w:t>spending measures</w:t>
      </w:r>
      <w:r w:rsidR="0078497E">
        <w:rPr>
          <w:rFonts w:ascii="Arial" w:hAnsi="Arial" w:cs="Arial"/>
        </w:rPr>
        <w:t xml:space="preserve"> for the immediate future</w:t>
      </w:r>
      <w:r w:rsidR="0088234A">
        <w:rPr>
          <w:rFonts w:ascii="Arial" w:hAnsi="Arial" w:cs="Arial"/>
        </w:rPr>
        <w:t>.</w:t>
      </w:r>
    </w:p>
    <w:p w14:paraId="71812378" w14:textId="77777777" w:rsidR="00FD5A32" w:rsidRDefault="00FD5A32" w:rsidP="00FD5A32">
      <w:pPr>
        <w:jc w:val="both"/>
        <w:rPr>
          <w:rFonts w:ascii="Arial" w:hAnsi="Arial" w:cs="Arial"/>
        </w:rPr>
      </w:pPr>
    </w:p>
    <w:p w14:paraId="416D2059" w14:textId="77777777" w:rsidR="00684CD4" w:rsidRDefault="00FD5A32" w:rsidP="006D74D1">
      <w:pPr>
        <w:jc w:val="both"/>
        <w:rPr>
          <w:rFonts w:ascii="Arial" w:hAnsi="Arial" w:cs="Arial"/>
        </w:rPr>
      </w:pPr>
      <w:r>
        <w:rPr>
          <w:rFonts w:ascii="Arial" w:hAnsi="Arial" w:cs="Arial"/>
        </w:rPr>
        <w:t>Set in the context of t</w:t>
      </w:r>
      <w:r w:rsidRPr="002A0DA7">
        <w:rPr>
          <w:rFonts w:ascii="Arial" w:hAnsi="Arial" w:cs="Arial"/>
        </w:rPr>
        <w:t>he government’s number one mission is to achieve higher economic growth and raise living standards by creating strong foundations today to secure Britain’s long-term future</w:t>
      </w:r>
      <w:r>
        <w:rPr>
          <w:rFonts w:ascii="Arial" w:hAnsi="Arial" w:cs="Arial"/>
        </w:rPr>
        <w:t xml:space="preserve">, </w:t>
      </w:r>
    </w:p>
    <w:p w14:paraId="2469EC27" w14:textId="77777777" w:rsidR="00684CD4" w:rsidRDefault="00684CD4" w:rsidP="006D74D1">
      <w:pPr>
        <w:jc w:val="both"/>
        <w:rPr>
          <w:rFonts w:ascii="Arial" w:hAnsi="Arial" w:cs="Arial"/>
        </w:rPr>
      </w:pPr>
    </w:p>
    <w:p w14:paraId="0A6C2D79" w14:textId="30A87CE0" w:rsidR="00684CD4" w:rsidRPr="00684CD4" w:rsidRDefault="00684CD4" w:rsidP="006B3AF0">
      <w:pPr>
        <w:jc w:val="both"/>
        <w:rPr>
          <w:rFonts w:ascii="Arial" w:hAnsi="Arial" w:cs="Arial"/>
        </w:rPr>
      </w:pPr>
      <w:r w:rsidRPr="00684CD4">
        <w:rPr>
          <w:rFonts w:ascii="Arial" w:hAnsi="Arial" w:cs="Arial"/>
        </w:rPr>
        <w:t>The Autumn Budget 2025 presents a series of fiscal measures aimed at stabilising the UK economy, addressing the ongoing cost-of-living crisis, and ensuring long-term growth. With public finances under pressure, the Chancellor outlined a plan to</w:t>
      </w:r>
      <w:r w:rsidR="005D3BD0">
        <w:rPr>
          <w:rFonts w:ascii="Arial" w:hAnsi="Arial" w:cs="Arial"/>
        </w:rPr>
        <w:t xml:space="preserve"> address fiscal challenges </w:t>
      </w:r>
      <w:r w:rsidRPr="00684CD4">
        <w:rPr>
          <w:rFonts w:ascii="Arial" w:hAnsi="Arial" w:cs="Arial"/>
        </w:rPr>
        <w:t>through targeted tax increases</w:t>
      </w:r>
      <w:r w:rsidR="002040D4">
        <w:rPr>
          <w:rFonts w:ascii="Arial" w:hAnsi="Arial" w:cs="Arial"/>
        </w:rPr>
        <w:t xml:space="preserve"> </w:t>
      </w:r>
      <w:r w:rsidR="005D3BD0">
        <w:rPr>
          <w:rFonts w:ascii="Arial" w:hAnsi="Arial" w:cs="Arial"/>
        </w:rPr>
        <w:t>(totalling £26bn)</w:t>
      </w:r>
      <w:r w:rsidR="005D3BD0" w:rsidRPr="00684CD4">
        <w:rPr>
          <w:rFonts w:ascii="Arial" w:hAnsi="Arial" w:cs="Arial"/>
        </w:rPr>
        <w:t xml:space="preserve">, </w:t>
      </w:r>
      <w:r w:rsidRPr="00684CD4">
        <w:rPr>
          <w:rFonts w:ascii="Arial" w:hAnsi="Arial" w:cs="Arial"/>
        </w:rPr>
        <w:t xml:space="preserve">while also providing </w:t>
      </w:r>
      <w:r w:rsidR="005D3BD0">
        <w:rPr>
          <w:rFonts w:ascii="Arial" w:hAnsi="Arial" w:cs="Arial"/>
        </w:rPr>
        <w:t xml:space="preserve">targeted </w:t>
      </w:r>
      <w:r w:rsidRPr="00684CD4">
        <w:rPr>
          <w:rFonts w:ascii="Arial" w:hAnsi="Arial" w:cs="Arial"/>
        </w:rPr>
        <w:t>support  for low-income households and smaller businesses</w:t>
      </w:r>
      <w:r w:rsidR="001E0BCA">
        <w:rPr>
          <w:rFonts w:ascii="Arial" w:hAnsi="Arial" w:cs="Arial"/>
        </w:rPr>
        <w:t>.  Th</w:t>
      </w:r>
      <w:r w:rsidR="00786613">
        <w:rPr>
          <w:rFonts w:ascii="Arial" w:hAnsi="Arial" w:cs="Arial"/>
        </w:rPr>
        <w:t>ese</w:t>
      </w:r>
      <w:r w:rsidR="001E0BCA">
        <w:rPr>
          <w:rFonts w:ascii="Arial" w:hAnsi="Arial" w:cs="Arial"/>
        </w:rPr>
        <w:t xml:space="preserve"> ta</w:t>
      </w:r>
      <w:r w:rsidR="003D53AE">
        <w:rPr>
          <w:rFonts w:ascii="Arial" w:hAnsi="Arial" w:cs="Arial"/>
        </w:rPr>
        <w:t xml:space="preserve">x rises however </w:t>
      </w:r>
      <w:r w:rsidR="003D53AE" w:rsidRPr="00F22711">
        <w:rPr>
          <w:rFonts w:ascii="Arial" w:hAnsi="Arial" w:cs="Arial"/>
        </w:rPr>
        <w:t>resul</w:t>
      </w:r>
      <w:r w:rsidR="003D53AE">
        <w:rPr>
          <w:rFonts w:ascii="Arial" w:hAnsi="Arial" w:cs="Arial"/>
        </w:rPr>
        <w:t xml:space="preserve">t </w:t>
      </w:r>
      <w:r w:rsidR="003D53AE" w:rsidRPr="00F22711">
        <w:rPr>
          <w:rFonts w:ascii="Arial" w:hAnsi="Arial" w:cs="Arial"/>
        </w:rPr>
        <w:t>in the UK's tax burden reaching a record high</w:t>
      </w:r>
      <w:r w:rsidR="003D53AE">
        <w:rPr>
          <w:rFonts w:ascii="Arial" w:hAnsi="Arial" w:cs="Arial"/>
        </w:rPr>
        <w:t>.</w:t>
      </w:r>
    </w:p>
    <w:p w14:paraId="654CDB51" w14:textId="77777777" w:rsidR="00175C46" w:rsidRDefault="00175C46" w:rsidP="006D74D1">
      <w:pPr>
        <w:jc w:val="both"/>
        <w:rPr>
          <w:rFonts w:ascii="Arial" w:hAnsi="Arial" w:cs="Arial"/>
        </w:rPr>
      </w:pPr>
    </w:p>
    <w:p w14:paraId="09B08C99" w14:textId="74162A29" w:rsidR="009F012E" w:rsidRDefault="0015341A" w:rsidP="006D74D1">
      <w:pPr>
        <w:jc w:val="both"/>
        <w:rPr>
          <w:rFonts w:ascii="Arial" w:hAnsi="Arial" w:cs="Arial"/>
        </w:rPr>
      </w:pPr>
      <w:r>
        <w:rPr>
          <w:rFonts w:ascii="Arial" w:hAnsi="Arial" w:cs="Arial"/>
        </w:rPr>
        <w:t>The tax rises, rather than being needed to address a weaker forecast</w:t>
      </w:r>
      <w:r w:rsidR="008835B5">
        <w:rPr>
          <w:rFonts w:ascii="Arial" w:hAnsi="Arial" w:cs="Arial"/>
        </w:rPr>
        <w:t xml:space="preserve">, build greater headroom </w:t>
      </w:r>
      <w:r w:rsidR="00175C46">
        <w:rPr>
          <w:rFonts w:ascii="Arial" w:hAnsi="Arial" w:cs="Arial"/>
        </w:rPr>
        <w:t xml:space="preserve">to allow the </w:t>
      </w:r>
      <w:r w:rsidR="009F012E" w:rsidRPr="009F012E">
        <w:rPr>
          <w:rFonts w:ascii="Arial" w:hAnsi="Arial" w:cs="Arial"/>
        </w:rPr>
        <w:t xml:space="preserve">Chancellor </w:t>
      </w:r>
      <w:r w:rsidR="00BA668A">
        <w:rPr>
          <w:rFonts w:ascii="Arial" w:hAnsi="Arial" w:cs="Arial"/>
        </w:rPr>
        <w:t xml:space="preserve">to </w:t>
      </w:r>
      <w:r w:rsidR="009F012E" w:rsidRPr="009F012E">
        <w:rPr>
          <w:rFonts w:ascii="Arial" w:hAnsi="Arial" w:cs="Arial"/>
        </w:rPr>
        <w:t>ma</w:t>
      </w:r>
      <w:r w:rsidR="00BA668A">
        <w:rPr>
          <w:rFonts w:ascii="Arial" w:hAnsi="Arial" w:cs="Arial"/>
        </w:rPr>
        <w:t xml:space="preserve">ke </w:t>
      </w:r>
      <w:r w:rsidR="009F012E" w:rsidRPr="009F012E">
        <w:rPr>
          <w:rFonts w:ascii="Arial" w:hAnsi="Arial" w:cs="Arial"/>
        </w:rPr>
        <w:t xml:space="preserve">several changes to public spending– in total, public spending will now be about £32 billion a year higher in 2029/30 than had previously been forecast. This is largely the result of much higher welfare spending, which is itself mostly driven by the reversal of previous reforms to disability benefits, and the removal of the two-child benefit cap. </w:t>
      </w:r>
    </w:p>
    <w:p w14:paraId="31A14630" w14:textId="77777777" w:rsidR="00D52022" w:rsidRDefault="00D52022" w:rsidP="006D74D1">
      <w:pPr>
        <w:jc w:val="both"/>
        <w:rPr>
          <w:rFonts w:ascii="Arial" w:hAnsi="Arial" w:cs="Arial"/>
        </w:rPr>
      </w:pPr>
    </w:p>
    <w:p w14:paraId="2A304E6B" w14:textId="4368207B" w:rsidR="00D52022" w:rsidRDefault="00D52022" w:rsidP="006D74D1">
      <w:pPr>
        <w:jc w:val="both"/>
        <w:rPr>
          <w:rFonts w:ascii="Arial" w:hAnsi="Arial" w:cs="Arial"/>
        </w:rPr>
      </w:pPr>
      <w:r w:rsidRPr="00D52022">
        <w:rPr>
          <w:rFonts w:ascii="Arial" w:hAnsi="Arial" w:cs="Arial"/>
        </w:rPr>
        <w:t xml:space="preserve">The </w:t>
      </w:r>
      <w:r w:rsidR="000C0C50">
        <w:rPr>
          <w:rFonts w:ascii="Arial" w:hAnsi="Arial" w:cs="Arial"/>
        </w:rPr>
        <w:t>B</w:t>
      </w:r>
      <w:r w:rsidRPr="00D52022">
        <w:rPr>
          <w:rFonts w:ascii="Arial" w:hAnsi="Arial" w:cs="Arial"/>
        </w:rPr>
        <w:t xml:space="preserve">udget adds further costs for businesses at a time when employment-related expenses are already rising. Headline tax increases included an extended freeze on income tax and National Insurance thresholds, as well as plans to limit pension contributions made through salary sacrifice schemes. Days before the </w:t>
      </w:r>
      <w:r w:rsidR="00014209">
        <w:rPr>
          <w:rFonts w:ascii="Arial" w:hAnsi="Arial" w:cs="Arial"/>
        </w:rPr>
        <w:t>B</w:t>
      </w:r>
      <w:r w:rsidRPr="00D52022">
        <w:rPr>
          <w:rFonts w:ascii="Arial" w:hAnsi="Arial" w:cs="Arial"/>
        </w:rPr>
        <w:t>udget, the government announced an increase in national living and minimum wages, jumping +8.5% for those aged 18-20 and +4.1% for those aged over 21.</w:t>
      </w:r>
    </w:p>
    <w:p w14:paraId="25D271CA" w14:textId="77777777" w:rsidR="009F012E" w:rsidRDefault="009F012E" w:rsidP="006D74D1">
      <w:pPr>
        <w:jc w:val="both"/>
        <w:rPr>
          <w:rFonts w:ascii="Arial" w:hAnsi="Arial" w:cs="Arial"/>
        </w:rPr>
      </w:pPr>
    </w:p>
    <w:p w14:paraId="7B21CDC7" w14:textId="40974C1E" w:rsidR="009F012E" w:rsidRDefault="00DE541C" w:rsidP="006D74D1">
      <w:pPr>
        <w:jc w:val="both"/>
        <w:rPr>
          <w:rFonts w:ascii="Arial" w:hAnsi="Arial" w:cs="Arial"/>
        </w:rPr>
      </w:pPr>
      <w:r>
        <w:rPr>
          <w:rFonts w:ascii="Arial" w:hAnsi="Arial" w:cs="Arial"/>
        </w:rPr>
        <w:t>In relation to d</w:t>
      </w:r>
      <w:r w:rsidR="009F012E" w:rsidRPr="009F012E">
        <w:rPr>
          <w:rFonts w:ascii="Arial" w:hAnsi="Arial" w:cs="Arial"/>
        </w:rPr>
        <w:t>epartmental spending allocations</w:t>
      </w:r>
      <w:r>
        <w:rPr>
          <w:rFonts w:ascii="Arial" w:hAnsi="Arial" w:cs="Arial"/>
        </w:rPr>
        <w:t>, these</w:t>
      </w:r>
      <w:r w:rsidR="009F012E" w:rsidRPr="009F012E">
        <w:rPr>
          <w:rFonts w:ascii="Arial" w:hAnsi="Arial" w:cs="Arial"/>
        </w:rPr>
        <w:t xml:space="preserve"> </w:t>
      </w:r>
      <w:r w:rsidR="009D0DDF">
        <w:rPr>
          <w:rFonts w:ascii="Arial" w:hAnsi="Arial" w:cs="Arial"/>
        </w:rPr>
        <w:t>were largely left</w:t>
      </w:r>
      <w:r w:rsidR="009F012E" w:rsidRPr="009F012E">
        <w:rPr>
          <w:rFonts w:ascii="Arial" w:hAnsi="Arial" w:cs="Arial"/>
        </w:rPr>
        <w:t xml:space="preserve"> unchanged</w:t>
      </w:r>
      <w:r w:rsidRPr="00DE541C">
        <w:rPr>
          <w:rFonts w:ascii="Arial" w:hAnsi="Arial" w:cs="Arial"/>
        </w:rPr>
        <w:t xml:space="preserve"> </w:t>
      </w:r>
      <w:r w:rsidRPr="009F012E">
        <w:rPr>
          <w:rFonts w:ascii="Arial" w:hAnsi="Arial" w:cs="Arial"/>
        </w:rPr>
        <w:t>up to 2028/29</w:t>
      </w:r>
      <w:r w:rsidR="009F012E" w:rsidRPr="009F012E">
        <w:rPr>
          <w:rFonts w:ascii="Arial" w:hAnsi="Arial" w:cs="Arial"/>
        </w:rPr>
        <w:t>,</w:t>
      </w:r>
      <w:r w:rsidR="00571908">
        <w:rPr>
          <w:rFonts w:ascii="Arial" w:hAnsi="Arial" w:cs="Arial"/>
        </w:rPr>
        <w:t xml:space="preserve"> </w:t>
      </w:r>
      <w:r w:rsidR="006D0DF0">
        <w:rPr>
          <w:rFonts w:ascii="Arial" w:hAnsi="Arial" w:cs="Arial"/>
        </w:rPr>
        <w:t>however</w:t>
      </w:r>
      <w:r w:rsidR="00174207" w:rsidRPr="00174207">
        <w:rPr>
          <w:rFonts w:ascii="Arial" w:hAnsi="Arial" w:cs="Arial"/>
        </w:rPr>
        <w:t xml:space="preserve"> </w:t>
      </w:r>
      <w:r w:rsidR="00174207">
        <w:rPr>
          <w:rFonts w:ascii="Arial" w:hAnsi="Arial" w:cs="Arial"/>
        </w:rPr>
        <w:t xml:space="preserve">the Budget set a trajectory for tighter public spending beyond this period with </w:t>
      </w:r>
      <w:r w:rsidR="00174207" w:rsidRPr="00D53989">
        <w:rPr>
          <w:rFonts w:ascii="Arial" w:hAnsi="Arial" w:cs="Arial"/>
        </w:rPr>
        <w:t>efficiencies and savings in day-to-day spending from 2028</w:t>
      </w:r>
      <w:r w:rsidR="00174207">
        <w:rPr>
          <w:rFonts w:ascii="Arial" w:hAnsi="Arial" w:cs="Arial"/>
        </w:rPr>
        <w:t>/</w:t>
      </w:r>
      <w:r w:rsidR="00174207" w:rsidRPr="00D53989">
        <w:rPr>
          <w:rFonts w:ascii="Arial" w:hAnsi="Arial" w:cs="Arial"/>
        </w:rPr>
        <w:t>29 onwards, saving £2.8 billion in 2028</w:t>
      </w:r>
      <w:r w:rsidR="001B79A0">
        <w:rPr>
          <w:rFonts w:ascii="Arial" w:hAnsi="Arial" w:cs="Arial"/>
        </w:rPr>
        <w:t>/</w:t>
      </w:r>
      <w:r w:rsidR="00174207" w:rsidRPr="00D53989">
        <w:rPr>
          <w:rFonts w:ascii="Arial" w:hAnsi="Arial" w:cs="Arial"/>
        </w:rPr>
        <w:t>29, £4.0 billion in 2029</w:t>
      </w:r>
      <w:r w:rsidR="001B79A0">
        <w:rPr>
          <w:rFonts w:ascii="Arial" w:hAnsi="Arial" w:cs="Arial"/>
        </w:rPr>
        <w:t>/</w:t>
      </w:r>
      <w:r w:rsidR="00174207" w:rsidRPr="00D53989">
        <w:rPr>
          <w:rFonts w:ascii="Arial" w:hAnsi="Arial" w:cs="Arial"/>
        </w:rPr>
        <w:t>30; and £4.9 billion in 2030</w:t>
      </w:r>
      <w:r w:rsidR="001B79A0">
        <w:rPr>
          <w:rFonts w:ascii="Arial" w:hAnsi="Arial" w:cs="Arial"/>
        </w:rPr>
        <w:t>/</w:t>
      </w:r>
      <w:r w:rsidR="00174207" w:rsidRPr="00D53989">
        <w:rPr>
          <w:rFonts w:ascii="Arial" w:hAnsi="Arial" w:cs="Arial"/>
        </w:rPr>
        <w:t>31. For 2028</w:t>
      </w:r>
      <w:r w:rsidR="001B79A0">
        <w:rPr>
          <w:rFonts w:ascii="Arial" w:hAnsi="Arial" w:cs="Arial"/>
        </w:rPr>
        <w:t>/</w:t>
      </w:r>
      <w:r w:rsidR="00174207" w:rsidRPr="00D53989">
        <w:rPr>
          <w:rFonts w:ascii="Arial" w:hAnsi="Arial" w:cs="Arial"/>
        </w:rPr>
        <w:t xml:space="preserve">29 this represents 0.5% of departmental budgets set at </w:t>
      </w:r>
      <w:r w:rsidR="001B79A0">
        <w:rPr>
          <w:rFonts w:ascii="Arial" w:hAnsi="Arial" w:cs="Arial"/>
        </w:rPr>
        <w:t xml:space="preserve"> the </w:t>
      </w:r>
      <w:r w:rsidR="00174207" w:rsidRPr="00D53989">
        <w:rPr>
          <w:rFonts w:ascii="Arial" w:hAnsi="Arial" w:cs="Arial"/>
        </w:rPr>
        <w:t>SR25 – the NHS and Ministry of Defence will be able to retain and reinvest their savings. Over the three years from 2028</w:t>
      </w:r>
      <w:r w:rsidR="00B37EEC">
        <w:rPr>
          <w:rFonts w:ascii="Arial" w:hAnsi="Arial" w:cs="Arial"/>
        </w:rPr>
        <w:t>/</w:t>
      </w:r>
      <w:r w:rsidR="00174207" w:rsidRPr="00D53989">
        <w:rPr>
          <w:rFonts w:ascii="Arial" w:hAnsi="Arial" w:cs="Arial"/>
        </w:rPr>
        <w:t>29 to 2030</w:t>
      </w:r>
      <w:r w:rsidR="00B37EEC">
        <w:rPr>
          <w:rFonts w:ascii="Arial" w:hAnsi="Arial" w:cs="Arial"/>
        </w:rPr>
        <w:t>/</w:t>
      </w:r>
      <w:r w:rsidR="00174207" w:rsidRPr="00D53989">
        <w:rPr>
          <w:rFonts w:ascii="Arial" w:hAnsi="Arial" w:cs="Arial"/>
        </w:rPr>
        <w:t xml:space="preserve">31, </w:t>
      </w:r>
      <w:r w:rsidR="00B37EEC">
        <w:rPr>
          <w:rFonts w:ascii="Arial" w:hAnsi="Arial" w:cs="Arial"/>
        </w:rPr>
        <w:t>RDEL’s</w:t>
      </w:r>
      <w:r w:rsidR="00174207" w:rsidRPr="00D53989">
        <w:rPr>
          <w:rFonts w:ascii="Arial" w:hAnsi="Arial" w:cs="Arial"/>
        </w:rPr>
        <w:t xml:space="preserve"> will grow at an average of 0.8% per year in real terms.</w:t>
      </w:r>
      <w:r w:rsidR="00B37EEC">
        <w:rPr>
          <w:rFonts w:ascii="Arial" w:hAnsi="Arial" w:cs="Arial"/>
        </w:rPr>
        <w:t xml:space="preserve"> </w:t>
      </w:r>
      <w:r w:rsidR="00D256FF">
        <w:rPr>
          <w:rFonts w:ascii="Arial" w:hAnsi="Arial" w:cs="Arial"/>
        </w:rPr>
        <w:t xml:space="preserve"> </w:t>
      </w:r>
      <w:r w:rsidR="00B37EEC">
        <w:rPr>
          <w:rFonts w:ascii="Arial" w:hAnsi="Arial" w:cs="Arial"/>
        </w:rPr>
        <w:t>I</w:t>
      </w:r>
      <w:r w:rsidR="002718CB">
        <w:rPr>
          <w:rFonts w:ascii="Arial" w:hAnsi="Arial" w:cs="Arial"/>
        </w:rPr>
        <w:t xml:space="preserve">n it’s accompanying </w:t>
      </w:r>
      <w:r w:rsidR="00506CD3">
        <w:rPr>
          <w:rFonts w:ascii="Arial" w:hAnsi="Arial" w:cs="Arial"/>
        </w:rPr>
        <w:t>Economic and Fiscal Outlook</w:t>
      </w:r>
      <w:r w:rsidR="00F22F6F">
        <w:rPr>
          <w:rFonts w:ascii="Arial" w:hAnsi="Arial" w:cs="Arial"/>
        </w:rPr>
        <w:t>,</w:t>
      </w:r>
      <w:r w:rsidR="00B37EEC">
        <w:rPr>
          <w:rFonts w:ascii="Arial" w:hAnsi="Arial" w:cs="Arial"/>
        </w:rPr>
        <w:t xml:space="preserve"> the OBR</w:t>
      </w:r>
      <w:r w:rsidR="00506CD3">
        <w:rPr>
          <w:rFonts w:ascii="Arial" w:hAnsi="Arial" w:cs="Arial"/>
        </w:rPr>
        <w:t xml:space="preserve"> </w:t>
      </w:r>
      <w:r w:rsidR="00E77440">
        <w:rPr>
          <w:rFonts w:ascii="Arial" w:hAnsi="Arial" w:cs="Arial"/>
        </w:rPr>
        <w:t xml:space="preserve">sets out that </w:t>
      </w:r>
      <w:r w:rsidR="009F012E" w:rsidRPr="009F012E">
        <w:rPr>
          <w:rFonts w:ascii="Arial" w:hAnsi="Arial" w:cs="Arial"/>
        </w:rPr>
        <w:t>pressures on public spending may make these reductions difficult to implemen</w:t>
      </w:r>
      <w:r w:rsidR="00523EDE">
        <w:rPr>
          <w:rFonts w:ascii="Arial" w:hAnsi="Arial" w:cs="Arial"/>
        </w:rPr>
        <w:t>t</w:t>
      </w:r>
      <w:r w:rsidR="00E77440">
        <w:rPr>
          <w:rFonts w:ascii="Arial" w:hAnsi="Arial" w:cs="Arial"/>
        </w:rPr>
        <w:t xml:space="preserve"> in reality.</w:t>
      </w:r>
    </w:p>
    <w:p w14:paraId="5B841F2F" w14:textId="77777777" w:rsidR="000D0FEF" w:rsidRDefault="000D0FEF" w:rsidP="006D74D1">
      <w:pPr>
        <w:jc w:val="both"/>
        <w:rPr>
          <w:rFonts w:ascii="Arial" w:hAnsi="Arial" w:cs="Arial"/>
        </w:rPr>
      </w:pPr>
    </w:p>
    <w:p w14:paraId="6E876F28" w14:textId="6E00CACC" w:rsidR="000D0FEF" w:rsidRPr="006D74D1" w:rsidRDefault="00CF1F37" w:rsidP="006D74D1">
      <w:pPr>
        <w:jc w:val="both"/>
        <w:rPr>
          <w:rFonts w:ascii="Arial" w:hAnsi="Arial" w:cs="Arial"/>
        </w:rPr>
      </w:pPr>
      <w:r>
        <w:rPr>
          <w:rFonts w:ascii="Arial" w:hAnsi="Arial" w:cs="Arial"/>
        </w:rPr>
        <w:t xml:space="preserve">While the OBR will continue to make twice yearly </w:t>
      </w:r>
      <w:r w:rsidR="0076046B">
        <w:rPr>
          <w:rFonts w:ascii="Arial" w:hAnsi="Arial" w:cs="Arial"/>
        </w:rPr>
        <w:t>five-years forecasts,</w:t>
      </w:r>
      <w:r w:rsidR="008039AA">
        <w:rPr>
          <w:rFonts w:ascii="Arial" w:hAnsi="Arial" w:cs="Arial"/>
        </w:rPr>
        <w:t xml:space="preserve"> providing an update on the economy and public finance</w:t>
      </w:r>
      <w:r w:rsidR="00E7768C">
        <w:rPr>
          <w:rFonts w:ascii="Arial" w:hAnsi="Arial" w:cs="Arial"/>
        </w:rPr>
        <w:t>s</w:t>
      </w:r>
      <w:r w:rsidR="008039AA">
        <w:rPr>
          <w:rFonts w:ascii="Arial" w:hAnsi="Arial" w:cs="Arial"/>
        </w:rPr>
        <w:t>,</w:t>
      </w:r>
      <w:r w:rsidR="0076046B">
        <w:rPr>
          <w:rFonts w:ascii="Arial" w:hAnsi="Arial" w:cs="Arial"/>
        </w:rPr>
        <w:t xml:space="preserve"> the Government</w:t>
      </w:r>
      <w:r w:rsidR="00471AEB">
        <w:rPr>
          <w:rFonts w:ascii="Arial" w:hAnsi="Arial" w:cs="Arial"/>
        </w:rPr>
        <w:t xml:space="preserve"> is legislating</w:t>
      </w:r>
      <w:r w:rsidR="00E7768C">
        <w:rPr>
          <w:rFonts w:ascii="Arial" w:hAnsi="Arial" w:cs="Arial"/>
        </w:rPr>
        <w:t xml:space="preserve"> that </w:t>
      </w:r>
      <w:r w:rsidR="00615DF2">
        <w:rPr>
          <w:rFonts w:ascii="Arial" w:hAnsi="Arial" w:cs="Arial"/>
        </w:rPr>
        <w:t>it’s Spring forecast will be an “update”</w:t>
      </w:r>
      <w:r w:rsidR="00C20F62">
        <w:rPr>
          <w:rFonts w:ascii="Arial" w:hAnsi="Arial" w:cs="Arial"/>
        </w:rPr>
        <w:t xml:space="preserve">  and it</w:t>
      </w:r>
      <w:r w:rsidR="00471AEB">
        <w:rPr>
          <w:rFonts w:ascii="Arial" w:hAnsi="Arial" w:cs="Arial"/>
        </w:rPr>
        <w:t xml:space="preserve"> </w:t>
      </w:r>
      <w:r w:rsidR="0076046B">
        <w:rPr>
          <w:rFonts w:ascii="Arial" w:hAnsi="Arial" w:cs="Arial"/>
        </w:rPr>
        <w:t xml:space="preserve"> will </w:t>
      </w:r>
      <w:r w:rsidR="008039AA">
        <w:rPr>
          <w:rFonts w:ascii="Arial" w:hAnsi="Arial" w:cs="Arial"/>
        </w:rPr>
        <w:t xml:space="preserve">not formally respond </w:t>
      </w:r>
      <w:r w:rsidR="00C360EF">
        <w:rPr>
          <w:rFonts w:ascii="Arial" w:hAnsi="Arial" w:cs="Arial"/>
        </w:rPr>
        <w:t xml:space="preserve">to </w:t>
      </w:r>
      <w:r w:rsidR="00C20F62">
        <w:rPr>
          <w:rFonts w:ascii="Arial" w:hAnsi="Arial" w:cs="Arial"/>
        </w:rPr>
        <w:t>this</w:t>
      </w:r>
      <w:r w:rsidR="00C360EF">
        <w:rPr>
          <w:rFonts w:ascii="Arial" w:hAnsi="Arial" w:cs="Arial"/>
        </w:rPr>
        <w:t xml:space="preserve"> w</w:t>
      </w:r>
      <w:r w:rsidR="008039AA">
        <w:rPr>
          <w:rFonts w:ascii="Arial" w:hAnsi="Arial" w:cs="Arial"/>
        </w:rPr>
        <w:t xml:space="preserve">ith fiscal policy </w:t>
      </w:r>
      <w:r w:rsidR="00C360EF">
        <w:rPr>
          <w:rFonts w:ascii="Arial" w:hAnsi="Arial" w:cs="Arial"/>
        </w:rPr>
        <w:t xml:space="preserve">unless there is a significant change to the economic look that requires a response.  The next update in fiscal policy </w:t>
      </w:r>
      <w:r w:rsidR="004E6EF8">
        <w:rPr>
          <w:rFonts w:ascii="Arial" w:hAnsi="Arial" w:cs="Arial"/>
        </w:rPr>
        <w:t>will be in the Autumn Budget 2026.</w:t>
      </w:r>
    </w:p>
    <w:p w14:paraId="78812776" w14:textId="77777777" w:rsidR="009639E6" w:rsidRPr="007752B4" w:rsidRDefault="009639E6" w:rsidP="001F5E1E">
      <w:pPr>
        <w:jc w:val="both"/>
        <w:rPr>
          <w:rFonts w:ascii="Arial" w:hAnsi="Arial" w:cs="Arial"/>
          <w:highlight w:val="yellow"/>
        </w:rPr>
      </w:pPr>
    </w:p>
    <w:p w14:paraId="651800B1" w14:textId="4DD22DF4" w:rsidR="00710C7D" w:rsidRPr="00494E7F" w:rsidRDefault="00710C7D" w:rsidP="001F5E1E">
      <w:pPr>
        <w:jc w:val="both"/>
        <w:rPr>
          <w:rFonts w:ascii="Arial" w:hAnsi="Arial" w:cs="Arial"/>
          <w:b/>
        </w:rPr>
      </w:pPr>
      <w:r w:rsidRPr="00494E7F">
        <w:rPr>
          <w:rFonts w:ascii="Arial" w:hAnsi="Arial" w:cs="Arial"/>
          <w:b/>
        </w:rPr>
        <w:t>Local Government</w:t>
      </w:r>
      <w:r w:rsidR="002E6E3C">
        <w:rPr>
          <w:rFonts w:ascii="Arial" w:hAnsi="Arial" w:cs="Arial"/>
          <w:b/>
          <w:bCs/>
        </w:rPr>
        <w:t xml:space="preserve"> Financial </w:t>
      </w:r>
      <w:r w:rsidR="0029255E">
        <w:rPr>
          <w:rFonts w:ascii="Arial" w:hAnsi="Arial" w:cs="Arial"/>
          <w:b/>
          <w:bCs/>
        </w:rPr>
        <w:t>Resilience</w:t>
      </w:r>
    </w:p>
    <w:p w14:paraId="6A60918B" w14:textId="77777777" w:rsidR="009639E6" w:rsidRPr="00494E7F" w:rsidRDefault="009639E6" w:rsidP="001F5E1E">
      <w:pPr>
        <w:jc w:val="both"/>
        <w:rPr>
          <w:rFonts w:ascii="Arial" w:hAnsi="Arial" w:cs="Arial"/>
        </w:rPr>
      </w:pPr>
    </w:p>
    <w:p w14:paraId="758335BB" w14:textId="25E2DF59" w:rsidR="00886534" w:rsidRDefault="00886534" w:rsidP="00886534">
      <w:pPr>
        <w:autoSpaceDE w:val="0"/>
        <w:autoSpaceDN w:val="0"/>
        <w:adjustRightInd w:val="0"/>
        <w:jc w:val="both"/>
        <w:rPr>
          <w:rFonts w:ascii="Arial" w:eastAsia="Calibri" w:hAnsi="Arial" w:cs="Arial"/>
        </w:rPr>
      </w:pPr>
      <w:r w:rsidRPr="00494E7F">
        <w:rPr>
          <w:rFonts w:ascii="Arial" w:hAnsi="Arial" w:cs="Arial"/>
        </w:rPr>
        <w:t xml:space="preserve">There has been great deal uncertainty in local government finance for a number of years due to a delay in the implementation of </w:t>
      </w:r>
      <w:r w:rsidR="00FC7352" w:rsidRPr="00494E7F">
        <w:rPr>
          <w:rFonts w:ascii="Arial" w:hAnsi="Arial" w:cs="Arial"/>
        </w:rPr>
        <w:t xml:space="preserve">local authority </w:t>
      </w:r>
      <w:r w:rsidRPr="00494E7F">
        <w:rPr>
          <w:rFonts w:ascii="Arial" w:hAnsi="Arial" w:cs="Arial"/>
        </w:rPr>
        <w:t xml:space="preserve">funding reforms, volatile economic factors, and fears of a new round of austerity measures.  While </w:t>
      </w:r>
      <w:r w:rsidR="00B241DF">
        <w:rPr>
          <w:rFonts w:ascii="Arial" w:hAnsi="Arial" w:cs="Arial"/>
        </w:rPr>
        <w:t xml:space="preserve">funding levels have </w:t>
      </w:r>
      <w:r w:rsidR="00F40C58">
        <w:rPr>
          <w:rFonts w:ascii="Arial" w:hAnsi="Arial" w:cs="Arial"/>
        </w:rPr>
        <w:t>increased in recent,</w:t>
      </w:r>
      <w:r w:rsidRPr="00494E7F">
        <w:rPr>
          <w:rFonts w:ascii="Arial" w:hAnsi="Arial" w:cs="Arial"/>
        </w:rPr>
        <w:t xml:space="preserve"> </w:t>
      </w:r>
      <w:r w:rsidR="00FE5A3C" w:rsidRPr="00494E7F">
        <w:rPr>
          <w:rFonts w:ascii="Arial" w:hAnsi="Arial" w:cs="Arial"/>
        </w:rPr>
        <w:t>and with the announcement of a multi-year Settlement</w:t>
      </w:r>
      <w:r w:rsidR="007F45A9">
        <w:rPr>
          <w:rFonts w:ascii="Arial" w:hAnsi="Arial" w:cs="Arial"/>
        </w:rPr>
        <w:t xml:space="preserve"> and</w:t>
      </w:r>
      <w:r w:rsidR="00FE5A3C" w:rsidRPr="00494E7F">
        <w:rPr>
          <w:rFonts w:ascii="Arial" w:hAnsi="Arial" w:cs="Arial"/>
        </w:rPr>
        <w:t xml:space="preserve"> </w:t>
      </w:r>
      <w:r w:rsidR="00B2105F" w:rsidRPr="00494E7F">
        <w:rPr>
          <w:rFonts w:ascii="Arial" w:hAnsi="Arial" w:cs="Arial"/>
        </w:rPr>
        <w:t xml:space="preserve">of implementation of the FFR 2.0 </w:t>
      </w:r>
      <w:r w:rsidR="009107D9" w:rsidRPr="00494E7F">
        <w:rPr>
          <w:rFonts w:ascii="Arial" w:hAnsi="Arial" w:cs="Arial"/>
        </w:rPr>
        <w:t xml:space="preserve">bringing certainty to funding levels, </w:t>
      </w:r>
      <w:r w:rsidR="00F40C58">
        <w:rPr>
          <w:rFonts w:ascii="Arial" w:hAnsi="Arial" w:cs="Arial"/>
        </w:rPr>
        <w:t>the SR</w:t>
      </w:r>
      <w:r w:rsidR="007D667F">
        <w:rPr>
          <w:rFonts w:ascii="Arial" w:hAnsi="Arial" w:cs="Arial"/>
        </w:rPr>
        <w:t>25</w:t>
      </w:r>
      <w:r w:rsidR="00F40C58">
        <w:rPr>
          <w:rFonts w:ascii="Arial" w:hAnsi="Arial" w:cs="Arial"/>
        </w:rPr>
        <w:t xml:space="preserve"> and subsequent Budget </w:t>
      </w:r>
      <w:r w:rsidR="00A049C0">
        <w:rPr>
          <w:rFonts w:ascii="Arial" w:hAnsi="Arial" w:cs="Arial"/>
        </w:rPr>
        <w:t>d</w:t>
      </w:r>
      <w:r w:rsidR="00FF4D7D">
        <w:rPr>
          <w:rFonts w:ascii="Arial" w:hAnsi="Arial" w:cs="Arial"/>
        </w:rPr>
        <w:t>id</w:t>
      </w:r>
      <w:r w:rsidR="00F2487E">
        <w:rPr>
          <w:rFonts w:ascii="Arial" w:hAnsi="Arial" w:cs="Arial"/>
        </w:rPr>
        <w:t xml:space="preserve"> not provide the increase in funding that councils desperately need to ensure their financial sustainability. </w:t>
      </w:r>
      <w:r w:rsidR="00D74C21" w:rsidRPr="00B112C1">
        <w:rPr>
          <w:rFonts w:ascii="Arial" w:hAnsi="Arial" w:cs="Arial"/>
        </w:rPr>
        <w:t xml:space="preserve">  </w:t>
      </w:r>
    </w:p>
    <w:p w14:paraId="475CCB19" w14:textId="77777777" w:rsidR="00886534" w:rsidRDefault="00886534" w:rsidP="00886534">
      <w:pPr>
        <w:autoSpaceDE w:val="0"/>
        <w:autoSpaceDN w:val="0"/>
        <w:adjustRightInd w:val="0"/>
        <w:jc w:val="both"/>
        <w:rPr>
          <w:rFonts w:ascii="Arial" w:hAnsi="Arial" w:cs="Arial"/>
        </w:rPr>
      </w:pPr>
    </w:p>
    <w:p w14:paraId="31A3AA31" w14:textId="60E9B84A" w:rsidR="008420C4" w:rsidRDefault="008420C4" w:rsidP="008420C4">
      <w:pPr>
        <w:jc w:val="both"/>
        <w:rPr>
          <w:rFonts w:ascii="Arial" w:hAnsi="Arial" w:cs="Arial"/>
        </w:rPr>
      </w:pPr>
      <w:r>
        <w:rPr>
          <w:rFonts w:ascii="Arial" w:hAnsi="Arial" w:cs="Arial"/>
        </w:rPr>
        <w:t>Council finances as a whole, in England, are under severe financial strain.</w:t>
      </w:r>
      <w:r w:rsidRPr="00750385">
        <w:rPr>
          <w:rFonts w:ascii="Arial" w:hAnsi="Arial" w:cs="Arial"/>
        </w:rPr>
        <w:t xml:space="preserve"> </w:t>
      </w:r>
      <w:r>
        <w:rPr>
          <w:rFonts w:ascii="Arial" w:hAnsi="Arial" w:cs="Arial"/>
        </w:rPr>
        <w:t xml:space="preserve">Vast </w:t>
      </w:r>
      <w:r w:rsidRPr="00750385">
        <w:rPr>
          <w:rFonts w:ascii="Arial" w:hAnsi="Arial" w:cs="Arial"/>
        </w:rPr>
        <w:t xml:space="preserve">increases </w:t>
      </w:r>
      <w:r>
        <w:rPr>
          <w:rFonts w:ascii="Arial" w:hAnsi="Arial" w:cs="Arial"/>
        </w:rPr>
        <w:t xml:space="preserve">in the </w:t>
      </w:r>
      <w:r w:rsidRPr="00750385">
        <w:rPr>
          <w:rFonts w:ascii="Arial" w:hAnsi="Arial" w:cs="Arial"/>
        </w:rPr>
        <w:t>demand for services</w:t>
      </w:r>
      <w:r>
        <w:rPr>
          <w:rFonts w:ascii="Arial" w:hAnsi="Arial" w:cs="Arial"/>
        </w:rPr>
        <w:t xml:space="preserve"> and </w:t>
      </w:r>
      <w:r w:rsidR="00657D57">
        <w:rPr>
          <w:rFonts w:ascii="Arial" w:hAnsi="Arial" w:cs="Arial"/>
        </w:rPr>
        <w:t xml:space="preserve">the </w:t>
      </w:r>
      <w:r>
        <w:rPr>
          <w:rFonts w:ascii="Arial" w:hAnsi="Arial" w:cs="Arial"/>
        </w:rPr>
        <w:t xml:space="preserve">complexity of support required along with </w:t>
      </w:r>
      <w:r w:rsidR="005D74AB">
        <w:rPr>
          <w:rFonts w:ascii="Arial" w:hAnsi="Arial" w:cs="Arial"/>
        </w:rPr>
        <w:t xml:space="preserve">rampant inflation </w:t>
      </w:r>
      <w:r w:rsidR="00CA2757">
        <w:rPr>
          <w:rFonts w:ascii="Arial" w:hAnsi="Arial" w:cs="Arial"/>
        </w:rPr>
        <w:t>and</w:t>
      </w:r>
      <w:r w:rsidR="005D74AB">
        <w:rPr>
          <w:rFonts w:ascii="Arial" w:hAnsi="Arial" w:cs="Arial"/>
        </w:rPr>
        <w:t xml:space="preserve"> the impacts of Brexit and Covid19 </w:t>
      </w:r>
      <w:r>
        <w:rPr>
          <w:rFonts w:ascii="Arial" w:hAnsi="Arial" w:cs="Arial"/>
        </w:rPr>
        <w:t xml:space="preserve">have resulted in costs escalating faster than funding.  These challenges have been exacerbated by a local government funding system which has not been subject to significant reform since 2013/14 and has consisted of long standing funding reductions.   Councils have been operating in an outdated funding system where financial planning has been hindered by one year finance settlements and with financial sustainability increasingly secured by one-off grant or </w:t>
      </w:r>
      <w:r w:rsidR="0029255E">
        <w:rPr>
          <w:rFonts w:ascii="Arial" w:hAnsi="Arial" w:cs="Arial"/>
        </w:rPr>
        <w:t>Exceptional Financial Support (</w:t>
      </w:r>
      <w:r>
        <w:rPr>
          <w:rFonts w:ascii="Arial" w:hAnsi="Arial" w:cs="Arial"/>
        </w:rPr>
        <w:t>EFS</w:t>
      </w:r>
      <w:r w:rsidR="0029255E">
        <w:rPr>
          <w:rFonts w:ascii="Arial" w:hAnsi="Arial" w:cs="Arial"/>
        </w:rPr>
        <w:t>)</w:t>
      </w:r>
      <w:r>
        <w:rPr>
          <w:rFonts w:ascii="Arial" w:hAnsi="Arial" w:cs="Arial"/>
        </w:rPr>
        <w:t xml:space="preserve"> from Government.  </w:t>
      </w:r>
    </w:p>
    <w:p w14:paraId="6EC4F9A2" w14:textId="77777777" w:rsidR="008420C4" w:rsidRPr="007752B4" w:rsidRDefault="008420C4" w:rsidP="008420C4">
      <w:pPr>
        <w:autoSpaceDE w:val="0"/>
        <w:autoSpaceDN w:val="0"/>
        <w:adjustRightInd w:val="0"/>
        <w:jc w:val="both"/>
        <w:rPr>
          <w:rFonts w:ascii="Arial" w:eastAsia="MS Mincho" w:hAnsi="Arial" w:cs="Arial"/>
          <w:b/>
          <w:bCs/>
          <w:highlight w:val="yellow"/>
          <w:lang w:eastAsia="ja-JP"/>
        </w:rPr>
      </w:pPr>
    </w:p>
    <w:p w14:paraId="15A9A1E8" w14:textId="77777777" w:rsidR="008420C4" w:rsidRPr="00F82BA3" w:rsidRDefault="008420C4" w:rsidP="008420C4">
      <w:pPr>
        <w:jc w:val="both"/>
        <w:rPr>
          <w:rFonts w:ascii="Arial" w:hAnsi="Arial" w:cs="Arial"/>
        </w:rPr>
      </w:pPr>
      <w:r>
        <w:rPr>
          <w:rFonts w:ascii="Arial" w:hAnsi="Arial" w:cs="Arial"/>
        </w:rPr>
        <w:t>S</w:t>
      </w:r>
      <w:r w:rsidRPr="00F82BA3">
        <w:rPr>
          <w:rFonts w:ascii="Arial" w:hAnsi="Arial" w:cs="Arial"/>
        </w:rPr>
        <w:t xml:space="preserve">ince 2020, </w:t>
      </w:r>
      <w:r>
        <w:rPr>
          <w:rFonts w:ascii="Arial" w:hAnsi="Arial" w:cs="Arial"/>
        </w:rPr>
        <w:t>30 (out of 317)</w:t>
      </w:r>
      <w:r w:rsidRPr="00F82BA3">
        <w:rPr>
          <w:rFonts w:ascii="Arial" w:hAnsi="Arial" w:cs="Arial"/>
        </w:rPr>
        <w:t xml:space="preserve"> councils have received EFS from the Government and 14 councils have issued at least one S114 notice, in some cases multiple notices have been issued. In addition, there are several authorities who have recently warned that they are at risk of issuing a S114 notice, and arguably more </w:t>
      </w:r>
      <w:r>
        <w:rPr>
          <w:rFonts w:ascii="Arial" w:hAnsi="Arial" w:cs="Arial"/>
        </w:rPr>
        <w:t>councils</w:t>
      </w:r>
      <w:r w:rsidRPr="00F82BA3">
        <w:rPr>
          <w:rFonts w:ascii="Arial" w:hAnsi="Arial" w:cs="Arial"/>
        </w:rPr>
        <w:t xml:space="preserve"> would already have issued a S114 if it wasn’t for the l</w:t>
      </w:r>
      <w:r>
        <w:rPr>
          <w:rFonts w:ascii="Arial" w:hAnsi="Arial" w:cs="Arial"/>
        </w:rPr>
        <w:t>ast</w:t>
      </w:r>
      <w:r w:rsidRPr="00F82BA3">
        <w:rPr>
          <w:rFonts w:ascii="Arial" w:hAnsi="Arial" w:cs="Arial"/>
        </w:rPr>
        <w:t xml:space="preserve"> government’s extensive use of EFS. </w:t>
      </w:r>
      <w:r w:rsidRPr="00E641D0">
        <w:rPr>
          <w:rFonts w:ascii="Arial" w:hAnsi="Arial" w:cs="Arial"/>
        </w:rPr>
        <w:t>The total EFS allocated in the 2024/25 financial year was worth £1.5bn</w:t>
      </w:r>
      <w:r>
        <w:rPr>
          <w:rFonts w:ascii="Arial" w:hAnsi="Arial" w:cs="Arial"/>
        </w:rPr>
        <w:t xml:space="preserve"> and stands at £1.3bn to date in 2025/26.</w:t>
      </w:r>
    </w:p>
    <w:p w14:paraId="27B5040B" w14:textId="77777777" w:rsidR="008420C4" w:rsidRDefault="008420C4" w:rsidP="008420C4">
      <w:pPr>
        <w:autoSpaceDE w:val="0"/>
        <w:autoSpaceDN w:val="0"/>
        <w:adjustRightInd w:val="0"/>
        <w:jc w:val="both"/>
        <w:rPr>
          <w:rFonts w:ascii="Arial" w:eastAsia="MS Mincho" w:hAnsi="Arial" w:cs="Arial"/>
          <w:highlight w:val="yellow"/>
          <w:lang w:eastAsia="ja-JP"/>
        </w:rPr>
      </w:pPr>
    </w:p>
    <w:p w14:paraId="6668EDC4" w14:textId="77777777" w:rsidR="008420C4" w:rsidRDefault="008420C4" w:rsidP="008420C4">
      <w:pPr>
        <w:pStyle w:val="NormalWeb"/>
        <w:shd w:val="clear" w:color="auto" w:fill="FFFFFF"/>
        <w:spacing w:before="0" w:beforeAutospacing="0" w:after="0" w:afterAutospacing="0"/>
        <w:jc w:val="both"/>
        <w:rPr>
          <w:rFonts w:ascii="Arial" w:hAnsi="Arial" w:cs="Arial"/>
        </w:rPr>
      </w:pPr>
      <w:r>
        <w:rPr>
          <w:rFonts w:ascii="Arial" w:hAnsi="Arial" w:cs="Arial"/>
        </w:rPr>
        <w:t xml:space="preserve">While the underlying reasons for the unprecedented level of emergency support varies across the councils, the sheer scale of this intervention by the Government and number of councils that have been in receipt of EFS for more than one year, reveals the extraordinary funding emergency facing local government and indicates the risk of financial failure is potentially becoming systematic. </w:t>
      </w:r>
    </w:p>
    <w:p w14:paraId="627654E3" w14:textId="77777777" w:rsidR="008420C4" w:rsidRDefault="008420C4" w:rsidP="008420C4">
      <w:pPr>
        <w:autoSpaceDE w:val="0"/>
        <w:autoSpaceDN w:val="0"/>
        <w:adjustRightInd w:val="0"/>
        <w:jc w:val="both"/>
        <w:rPr>
          <w:rFonts w:ascii="Arial" w:eastAsia="MS Mincho" w:hAnsi="Arial" w:cs="Arial"/>
          <w:highlight w:val="yellow"/>
          <w:lang w:eastAsia="ja-JP"/>
        </w:rPr>
      </w:pPr>
    </w:p>
    <w:p w14:paraId="70A37CC0" w14:textId="23604890" w:rsidR="008420C4" w:rsidRDefault="008420C4" w:rsidP="008420C4">
      <w:pPr>
        <w:jc w:val="both"/>
        <w:rPr>
          <w:rFonts w:ascii="Arial" w:hAnsi="Arial" w:cs="Arial"/>
        </w:rPr>
      </w:pPr>
      <w:r w:rsidRPr="00853946">
        <w:rPr>
          <w:rFonts w:ascii="Arial" w:hAnsi="Arial" w:cs="Arial"/>
        </w:rPr>
        <w:t xml:space="preserve">Recent analysis by the </w:t>
      </w:r>
      <w:r>
        <w:rPr>
          <w:rFonts w:ascii="Arial" w:hAnsi="Arial" w:cs="Arial"/>
        </w:rPr>
        <w:t>LGA shows that i</w:t>
      </w:r>
      <w:r w:rsidRPr="009662C4">
        <w:rPr>
          <w:rFonts w:ascii="Arial" w:hAnsi="Arial" w:cs="Arial"/>
        </w:rPr>
        <w:t>nflation, wage pressures and growing demand and complexity of need mean that councils face a funding gap of £1.9</w:t>
      </w:r>
      <w:r>
        <w:rPr>
          <w:rFonts w:ascii="Arial" w:hAnsi="Arial" w:cs="Arial"/>
        </w:rPr>
        <w:t>bn</w:t>
      </w:r>
      <w:r w:rsidRPr="009662C4">
        <w:rPr>
          <w:rFonts w:ascii="Arial" w:hAnsi="Arial" w:cs="Arial"/>
        </w:rPr>
        <w:t xml:space="preserve"> in 2025/26, rising to £8.4bn by the end of the </w:t>
      </w:r>
      <w:r w:rsidR="00695351">
        <w:rPr>
          <w:rFonts w:ascii="Arial" w:hAnsi="Arial" w:cs="Arial"/>
        </w:rPr>
        <w:t>SR25</w:t>
      </w:r>
      <w:r w:rsidRPr="009662C4">
        <w:rPr>
          <w:rFonts w:ascii="Arial" w:hAnsi="Arial" w:cs="Arial"/>
        </w:rPr>
        <w:t xml:space="preserve"> period in 2028/29.</w:t>
      </w:r>
      <w:r>
        <w:rPr>
          <w:rFonts w:ascii="Arial" w:hAnsi="Arial" w:cs="Arial"/>
        </w:rPr>
        <w:t xml:space="preserve"> The c</w:t>
      </w:r>
      <w:r w:rsidRPr="0067308C">
        <w:rPr>
          <w:rFonts w:ascii="Arial" w:hAnsi="Arial" w:cs="Arial"/>
        </w:rPr>
        <w:t>ost and demand pressures will have added £21.4b</w:t>
      </w:r>
      <w:r>
        <w:rPr>
          <w:rFonts w:ascii="Arial" w:hAnsi="Arial" w:cs="Arial"/>
        </w:rPr>
        <w:t>n</w:t>
      </w:r>
      <w:r w:rsidRPr="0067308C">
        <w:rPr>
          <w:rFonts w:ascii="Arial" w:hAnsi="Arial" w:cs="Arial"/>
        </w:rPr>
        <w:t xml:space="preserve"> to the cost of delivering council services since 2024/25</w:t>
      </w:r>
      <w:r>
        <w:rPr>
          <w:rFonts w:ascii="Arial" w:hAnsi="Arial" w:cs="Arial"/>
        </w:rPr>
        <w:t>, equivalent to</w:t>
      </w:r>
      <w:r w:rsidRPr="0067308C">
        <w:rPr>
          <w:rFonts w:ascii="Arial" w:hAnsi="Arial" w:cs="Arial"/>
        </w:rPr>
        <w:t xml:space="preserve"> 29.8</w:t>
      </w:r>
      <w:r>
        <w:rPr>
          <w:rFonts w:ascii="Arial" w:hAnsi="Arial" w:cs="Arial"/>
        </w:rPr>
        <w:t>%</w:t>
      </w:r>
      <w:r w:rsidRPr="0067308C">
        <w:rPr>
          <w:rFonts w:ascii="Arial" w:hAnsi="Arial" w:cs="Arial"/>
        </w:rPr>
        <w:t xml:space="preserve"> in additional service costs.</w:t>
      </w:r>
      <w:r>
        <w:rPr>
          <w:rFonts w:ascii="Arial" w:hAnsi="Arial" w:cs="Arial"/>
        </w:rPr>
        <w:t xml:space="preserve"> </w:t>
      </w:r>
      <w:r w:rsidRPr="00691291">
        <w:rPr>
          <w:rFonts w:ascii="Arial" w:hAnsi="Arial" w:cs="Arial"/>
        </w:rPr>
        <w:t xml:space="preserve">Councils’ ability to cope with current cost and demand pressures is hampered by the years of funding reductions in the 2010s. Councils’ core revenue funding has begun to rise in recent years, but </w:t>
      </w:r>
      <w:r>
        <w:rPr>
          <w:rFonts w:ascii="Arial" w:hAnsi="Arial" w:cs="Arial"/>
        </w:rPr>
        <w:t>it is</w:t>
      </w:r>
      <w:r w:rsidRPr="00691291">
        <w:rPr>
          <w:rFonts w:ascii="Arial" w:hAnsi="Arial" w:cs="Arial"/>
        </w:rPr>
        <w:t xml:space="preserve"> estimate</w:t>
      </w:r>
      <w:r>
        <w:rPr>
          <w:rFonts w:ascii="Arial" w:hAnsi="Arial" w:cs="Arial"/>
        </w:rPr>
        <w:t>d</w:t>
      </w:r>
      <w:r w:rsidRPr="00691291">
        <w:rPr>
          <w:rFonts w:ascii="Arial" w:hAnsi="Arial" w:cs="Arial"/>
        </w:rPr>
        <w:t xml:space="preserve"> that </w:t>
      </w:r>
      <w:r>
        <w:rPr>
          <w:rFonts w:ascii="Arial" w:hAnsi="Arial" w:cs="Arial"/>
        </w:rPr>
        <w:t>CSP</w:t>
      </w:r>
      <w:r w:rsidRPr="00691291">
        <w:rPr>
          <w:rFonts w:ascii="Arial" w:hAnsi="Arial" w:cs="Arial"/>
        </w:rPr>
        <w:t xml:space="preserve"> is still 16.4</w:t>
      </w:r>
      <w:r>
        <w:rPr>
          <w:rFonts w:ascii="Arial" w:hAnsi="Arial" w:cs="Arial"/>
        </w:rPr>
        <w:t>%</w:t>
      </w:r>
      <w:r w:rsidRPr="00691291">
        <w:rPr>
          <w:rFonts w:ascii="Arial" w:hAnsi="Arial" w:cs="Arial"/>
        </w:rPr>
        <w:t xml:space="preserve"> lower in real terms in 2025/26 compared to 2010/11</w:t>
      </w:r>
      <w:r>
        <w:rPr>
          <w:rFonts w:ascii="Arial" w:hAnsi="Arial" w:cs="Arial"/>
        </w:rPr>
        <w:t xml:space="preserve">.  </w:t>
      </w:r>
      <w:r w:rsidRPr="00A56E77">
        <w:rPr>
          <w:rFonts w:ascii="Arial" w:hAnsi="Arial" w:cs="Arial"/>
        </w:rPr>
        <w:t>This combination of past and ongoing pressures means that financial resilience in the sector is low. </w:t>
      </w:r>
    </w:p>
    <w:p w14:paraId="4AF5CE5B" w14:textId="77777777" w:rsidR="008420C4" w:rsidRDefault="008420C4" w:rsidP="008420C4">
      <w:pPr>
        <w:autoSpaceDE w:val="0"/>
        <w:autoSpaceDN w:val="0"/>
        <w:adjustRightInd w:val="0"/>
        <w:jc w:val="both"/>
        <w:rPr>
          <w:rFonts w:ascii="Arial" w:eastAsia="MS Mincho" w:hAnsi="Arial" w:cs="Arial"/>
          <w:highlight w:val="yellow"/>
          <w:lang w:eastAsia="ja-JP"/>
        </w:rPr>
      </w:pPr>
    </w:p>
    <w:p w14:paraId="52FA5598" w14:textId="1AA4117E" w:rsidR="008420C4" w:rsidRPr="00741E7B" w:rsidRDefault="008420C4" w:rsidP="008420C4">
      <w:pPr>
        <w:jc w:val="both"/>
        <w:rPr>
          <w:rFonts w:ascii="Arial" w:hAnsi="Arial" w:cs="Arial"/>
        </w:rPr>
      </w:pPr>
      <w:r w:rsidRPr="00573E3F">
        <w:rPr>
          <w:rFonts w:ascii="Arial" w:hAnsi="Arial" w:cs="Arial"/>
        </w:rPr>
        <w:t xml:space="preserve">In its submission to the </w:t>
      </w:r>
      <w:r>
        <w:rPr>
          <w:rFonts w:ascii="Arial" w:hAnsi="Arial" w:cs="Arial"/>
        </w:rPr>
        <w:t xml:space="preserve">Chancellor </w:t>
      </w:r>
      <w:r w:rsidRPr="00573E3F">
        <w:rPr>
          <w:rFonts w:ascii="Arial" w:hAnsi="Arial" w:cs="Arial"/>
        </w:rPr>
        <w:t xml:space="preserve">ahead of the </w:t>
      </w:r>
      <w:r w:rsidR="00251B7C">
        <w:rPr>
          <w:rFonts w:ascii="Arial" w:hAnsi="Arial" w:cs="Arial"/>
        </w:rPr>
        <w:t>SR25</w:t>
      </w:r>
      <w:r>
        <w:rPr>
          <w:rFonts w:ascii="Arial" w:hAnsi="Arial" w:cs="Arial"/>
        </w:rPr>
        <w:t>,</w:t>
      </w:r>
      <w:r w:rsidRPr="00573E3F">
        <w:rPr>
          <w:rFonts w:ascii="Arial" w:hAnsi="Arial" w:cs="Arial"/>
        </w:rPr>
        <w:t xml:space="preserve"> the Chair of the LGA said </w:t>
      </w:r>
      <w:r w:rsidRPr="00573E3F">
        <w:rPr>
          <w:rFonts w:ascii="Arial" w:hAnsi="Arial" w:cs="Arial"/>
          <w:b/>
          <w:bCs/>
        </w:rPr>
        <w:t>“</w:t>
      </w:r>
      <w:r w:rsidRPr="003B3E86">
        <w:rPr>
          <w:rFonts w:ascii="Arial" w:hAnsi="Arial" w:cs="Arial"/>
        </w:rPr>
        <w:t>we recognise that MHCLG has recently made efforts to increase funding for the sector and has announced the introduction of multi-year funding settlements and a review of needs and resources. Whilst these are a welcome starting point, they do not address the fact that the sector is increasingly reliant on EFS and temporary adjustments to accounting rules to remain solvent. A substantial increase in funding and the introduction of more significant reforms to the local government financial framework are urgently needed</w:t>
      </w:r>
      <w:r w:rsidRPr="00741E7B">
        <w:rPr>
          <w:rFonts w:ascii="Arial" w:hAnsi="Arial" w:cs="Arial"/>
        </w:rPr>
        <w:t>.”</w:t>
      </w:r>
    </w:p>
    <w:p w14:paraId="68B28E92" w14:textId="77777777" w:rsidR="008420C4" w:rsidRDefault="008420C4" w:rsidP="008420C4">
      <w:pPr>
        <w:autoSpaceDE w:val="0"/>
        <w:autoSpaceDN w:val="0"/>
        <w:adjustRightInd w:val="0"/>
        <w:jc w:val="both"/>
        <w:rPr>
          <w:rFonts w:ascii="Arial" w:eastAsia="MS Mincho" w:hAnsi="Arial" w:cs="Arial"/>
          <w:highlight w:val="yellow"/>
          <w:lang w:eastAsia="ja-JP"/>
        </w:rPr>
      </w:pPr>
    </w:p>
    <w:p w14:paraId="25145587" w14:textId="77777777" w:rsidR="008420C4" w:rsidRDefault="008420C4" w:rsidP="008420C4">
      <w:pPr>
        <w:autoSpaceDE w:val="0"/>
        <w:autoSpaceDN w:val="0"/>
        <w:adjustRightInd w:val="0"/>
        <w:jc w:val="both"/>
        <w:rPr>
          <w:rFonts w:ascii="Arial" w:hAnsi="Arial" w:cs="Arial"/>
        </w:rPr>
      </w:pPr>
      <w:r>
        <w:rPr>
          <w:rFonts w:ascii="Arial" w:hAnsi="Arial" w:cs="Arial"/>
        </w:rPr>
        <w:t>In addition, in July 2025, the House of Commons Housing, Communities and Local Government Select Committee published its report on the f</w:t>
      </w:r>
      <w:r w:rsidRPr="006A4DED">
        <w:rPr>
          <w:rFonts w:ascii="Arial" w:hAnsi="Arial" w:cs="Arial"/>
        </w:rPr>
        <w:t>unding and sustainability of local government finances</w:t>
      </w:r>
      <w:r>
        <w:rPr>
          <w:rFonts w:ascii="Arial" w:hAnsi="Arial" w:cs="Arial"/>
        </w:rPr>
        <w:t>.  The report provides further evidence that local government finances remain in a fragile position and makes a clear conclusion, reinforcing the sectors calls for change,</w:t>
      </w:r>
      <w:r w:rsidRPr="0048092A">
        <w:rPr>
          <w:rFonts w:ascii="Arial" w:hAnsi="Arial" w:cs="Arial"/>
        </w:rPr>
        <w:t xml:space="preserve"> that the </w:t>
      </w:r>
      <w:r>
        <w:rPr>
          <w:rFonts w:ascii="Arial" w:hAnsi="Arial" w:cs="Arial"/>
        </w:rPr>
        <w:t xml:space="preserve">local government funding </w:t>
      </w:r>
      <w:r w:rsidRPr="0048092A">
        <w:rPr>
          <w:rFonts w:ascii="Arial" w:hAnsi="Arial" w:cs="Arial"/>
        </w:rPr>
        <w:t xml:space="preserve">system is widely considered outdated and in need of </w:t>
      </w:r>
      <w:r>
        <w:rPr>
          <w:rFonts w:ascii="Arial" w:hAnsi="Arial" w:cs="Arial"/>
        </w:rPr>
        <w:t xml:space="preserve">urgent </w:t>
      </w:r>
      <w:r w:rsidRPr="0048092A">
        <w:rPr>
          <w:rFonts w:ascii="Arial" w:hAnsi="Arial" w:cs="Arial"/>
        </w:rPr>
        <w:t>reform, facing challenges from surging service demand and complex funding structures.</w:t>
      </w:r>
      <w:r>
        <w:rPr>
          <w:rFonts w:ascii="Arial" w:hAnsi="Arial" w:cs="Arial"/>
        </w:rPr>
        <w:t xml:space="preserve">  The Committee called for</w:t>
      </w:r>
      <w:r w:rsidRPr="00062916">
        <w:rPr>
          <w:rFonts w:ascii="Arial" w:hAnsi="Arial" w:cs="Arial"/>
        </w:rPr>
        <w:t> fairness, sustainability and greater local autonomy in funding — including reforming council tax, addressing deprivation and housing costs, expanding fiscal devolution and urgently resolving the ongoing SEND funding crisis</w:t>
      </w:r>
      <w:r>
        <w:rPr>
          <w:rFonts w:ascii="Arial" w:hAnsi="Arial" w:cs="Arial"/>
        </w:rPr>
        <w:t>.</w:t>
      </w:r>
    </w:p>
    <w:p w14:paraId="1821D165" w14:textId="77777777" w:rsidR="008420C4" w:rsidRDefault="008420C4" w:rsidP="008420C4">
      <w:pPr>
        <w:autoSpaceDE w:val="0"/>
        <w:autoSpaceDN w:val="0"/>
        <w:adjustRightInd w:val="0"/>
        <w:jc w:val="both"/>
        <w:rPr>
          <w:rFonts w:ascii="Arial" w:hAnsi="Arial" w:cs="Arial"/>
        </w:rPr>
      </w:pPr>
    </w:p>
    <w:p w14:paraId="646ACFC1" w14:textId="77777777" w:rsidR="008420C4" w:rsidRDefault="008420C4" w:rsidP="008420C4">
      <w:pPr>
        <w:jc w:val="both"/>
        <w:rPr>
          <w:rFonts w:ascii="Arial" w:hAnsi="Arial" w:cs="Arial"/>
        </w:rPr>
      </w:pPr>
      <w:r w:rsidRPr="00772A6A">
        <w:rPr>
          <w:rFonts w:ascii="Arial" w:hAnsi="Arial" w:cs="Arial"/>
        </w:rPr>
        <w:t xml:space="preserve">The growing risks to the financial sustainability of local government was further echoed by the OBR in its </w:t>
      </w:r>
      <w:r>
        <w:rPr>
          <w:rFonts w:ascii="Arial" w:hAnsi="Arial" w:cs="Arial"/>
        </w:rPr>
        <w:t>F</w:t>
      </w:r>
      <w:r w:rsidRPr="00772A6A">
        <w:rPr>
          <w:rFonts w:ascii="Arial" w:hAnsi="Arial" w:cs="Arial"/>
        </w:rPr>
        <w:t xml:space="preserve">iscal </w:t>
      </w:r>
      <w:r>
        <w:rPr>
          <w:rFonts w:ascii="Arial" w:hAnsi="Arial" w:cs="Arial"/>
        </w:rPr>
        <w:t>R</w:t>
      </w:r>
      <w:r w:rsidRPr="00772A6A">
        <w:rPr>
          <w:rFonts w:ascii="Arial" w:hAnsi="Arial" w:cs="Arial"/>
        </w:rPr>
        <w:t xml:space="preserve">isks and </w:t>
      </w:r>
      <w:r>
        <w:rPr>
          <w:rFonts w:ascii="Arial" w:hAnsi="Arial" w:cs="Arial"/>
        </w:rPr>
        <w:t>S</w:t>
      </w:r>
      <w:r w:rsidRPr="00772A6A">
        <w:rPr>
          <w:rFonts w:ascii="Arial" w:hAnsi="Arial" w:cs="Arial"/>
        </w:rPr>
        <w:t>ustainability report, published in July 2025.  The report, which was based on it</w:t>
      </w:r>
      <w:r>
        <w:rPr>
          <w:rFonts w:ascii="Arial" w:hAnsi="Arial" w:cs="Arial"/>
        </w:rPr>
        <w:t xml:space="preserve">s </w:t>
      </w:r>
      <w:r w:rsidRPr="00772A6A">
        <w:rPr>
          <w:rFonts w:ascii="Arial" w:hAnsi="Arial" w:cs="Arial"/>
        </w:rPr>
        <w:t>latest assessment of the current pressures on public finances, said that despite recent increases in local government grants, real council funding per resident in 2024/25 was 18% below the level it was in 2010/11.  The OBR noted “significant” increases in demand for certain services, with a “concentration of spending” on social care, as well as special educational needs and temporary accommodation, resulting in “significant pressure on other local services, particularly in the context of real-terms reductions in core grant funding”.</w:t>
      </w:r>
      <w:r>
        <w:rPr>
          <w:rFonts w:ascii="Arial" w:hAnsi="Arial" w:cs="Arial"/>
        </w:rPr>
        <w:t xml:space="preserve">  </w:t>
      </w:r>
      <w:r w:rsidRPr="00772A6A">
        <w:rPr>
          <w:rFonts w:ascii="Arial" w:hAnsi="Arial" w:cs="Arial"/>
        </w:rPr>
        <w:t>The body also acknowledged limitations on local authorities’ ability to raise revenue, affordability constraints on borrowing, and some councils’ issuance of section 114 notices, “these pressures have already led to the government needing to provide additional support to local authority finances, both through explicit increases to core grants and through less transparent mechanisms such as statutory overrides and capitalisation directions”.</w:t>
      </w:r>
    </w:p>
    <w:p w14:paraId="70B10490" w14:textId="77777777" w:rsidR="008420C4" w:rsidRDefault="008420C4" w:rsidP="008420C4">
      <w:pPr>
        <w:autoSpaceDE w:val="0"/>
        <w:autoSpaceDN w:val="0"/>
        <w:adjustRightInd w:val="0"/>
        <w:jc w:val="both"/>
        <w:rPr>
          <w:rFonts w:ascii="Arial" w:eastAsia="MS Mincho" w:hAnsi="Arial" w:cs="Arial"/>
          <w:highlight w:val="yellow"/>
          <w:lang w:eastAsia="ja-JP"/>
        </w:rPr>
      </w:pPr>
    </w:p>
    <w:p w14:paraId="465A2030" w14:textId="242993C6" w:rsidR="00DC34B5" w:rsidRPr="00DC34B5" w:rsidRDefault="00DC34B5" w:rsidP="00886534">
      <w:pPr>
        <w:autoSpaceDE w:val="0"/>
        <w:autoSpaceDN w:val="0"/>
        <w:adjustRightInd w:val="0"/>
        <w:jc w:val="both"/>
        <w:rPr>
          <w:rFonts w:ascii="Arial" w:eastAsia="Calibri" w:hAnsi="Arial" w:cs="Arial"/>
          <w:b/>
          <w:bCs/>
          <w:color w:val="000000"/>
        </w:rPr>
      </w:pPr>
      <w:r>
        <w:rPr>
          <w:rFonts w:ascii="Arial" w:eastAsia="Calibri" w:hAnsi="Arial" w:cs="Arial"/>
          <w:b/>
          <w:bCs/>
          <w:color w:val="000000"/>
        </w:rPr>
        <w:t>Local Government Funding</w:t>
      </w:r>
    </w:p>
    <w:p w14:paraId="117013F3" w14:textId="77777777" w:rsidR="00DC34B5" w:rsidRPr="00494E7F" w:rsidRDefault="00DC34B5" w:rsidP="00886534">
      <w:pPr>
        <w:autoSpaceDE w:val="0"/>
        <w:autoSpaceDN w:val="0"/>
        <w:adjustRightInd w:val="0"/>
        <w:jc w:val="both"/>
        <w:rPr>
          <w:rFonts w:ascii="Arial" w:eastAsia="Calibri" w:hAnsi="Arial" w:cs="Arial"/>
          <w:color w:val="000000"/>
          <w:u w:val="single"/>
        </w:rPr>
      </w:pPr>
    </w:p>
    <w:p w14:paraId="215FCA9A" w14:textId="5A304C76" w:rsidR="007D7FCA" w:rsidRPr="00B112C1" w:rsidRDefault="007D7FCA" w:rsidP="00017082">
      <w:pPr>
        <w:pStyle w:val="ListParagraph"/>
        <w:numPr>
          <w:ilvl w:val="1"/>
          <w:numId w:val="0"/>
        </w:numPr>
        <w:spacing w:after="0" w:line="240" w:lineRule="auto"/>
        <w:jc w:val="both"/>
        <w:rPr>
          <w:rFonts w:ascii="Arial" w:hAnsi="Arial" w:cs="Arial"/>
          <w:sz w:val="24"/>
          <w:szCs w:val="24"/>
        </w:rPr>
      </w:pPr>
      <w:r w:rsidRPr="00B112C1">
        <w:rPr>
          <w:rFonts w:ascii="Arial" w:hAnsi="Arial" w:cs="Arial"/>
          <w:sz w:val="24"/>
          <w:szCs w:val="24"/>
        </w:rPr>
        <w:t>The SR</w:t>
      </w:r>
      <w:r w:rsidR="008254E7" w:rsidRPr="00B112C1">
        <w:rPr>
          <w:rFonts w:ascii="Arial" w:hAnsi="Arial" w:cs="Arial"/>
          <w:sz w:val="24"/>
          <w:szCs w:val="24"/>
        </w:rPr>
        <w:t>25 sets out t</w:t>
      </w:r>
      <w:r w:rsidRPr="00B112C1">
        <w:rPr>
          <w:rFonts w:ascii="Arial" w:hAnsi="Arial" w:cs="Arial"/>
          <w:sz w:val="24"/>
          <w:szCs w:val="24"/>
        </w:rPr>
        <w:t>he departmental expenditure limit for local government (comprised mainly, but not exclusively, of grants to councils) is set to increase by £0.8bn over the period between 2025/26 and 2028/29, a 1.1% p.a. rise in real terms. This would suggest little additional grant funding beyond what is already in the system in 2025/26.</w:t>
      </w:r>
    </w:p>
    <w:p w14:paraId="747BA5C5" w14:textId="77777777" w:rsidR="00B81B91" w:rsidRPr="00B112C1" w:rsidRDefault="00B81B91" w:rsidP="00017082">
      <w:pPr>
        <w:pStyle w:val="ListParagraph"/>
        <w:numPr>
          <w:ilvl w:val="1"/>
          <w:numId w:val="0"/>
        </w:numPr>
        <w:spacing w:after="0" w:line="240" w:lineRule="auto"/>
        <w:jc w:val="both"/>
        <w:rPr>
          <w:rFonts w:ascii="Arial" w:hAnsi="Arial" w:cs="Arial"/>
          <w:sz w:val="24"/>
          <w:szCs w:val="24"/>
        </w:rPr>
      </w:pPr>
    </w:p>
    <w:p w14:paraId="62A50D2A" w14:textId="77777777" w:rsidR="00B14762" w:rsidRPr="00A7510F" w:rsidRDefault="00B14762" w:rsidP="00017082">
      <w:pPr>
        <w:pStyle w:val="ListParagraph"/>
        <w:numPr>
          <w:ilvl w:val="1"/>
          <w:numId w:val="0"/>
        </w:numPr>
        <w:spacing w:after="0" w:line="240" w:lineRule="auto"/>
        <w:jc w:val="both"/>
        <w:rPr>
          <w:rFonts w:ascii="Arial" w:hAnsi="Arial" w:cs="Arial"/>
        </w:rPr>
      </w:pPr>
      <w:r w:rsidRPr="00B112C1">
        <w:rPr>
          <w:rFonts w:ascii="Arial" w:hAnsi="Arial" w:cs="Arial"/>
          <w:sz w:val="24"/>
          <w:szCs w:val="24"/>
        </w:rPr>
        <w:t>Core Spending Power (CSP), however, is set to increase by nearly £10bn over the same period by £3.8 billion, £2.9 billion and £3.2 billion each year to 2028/29, a 2.6% p.a. rise in real terms</w:t>
      </w:r>
      <w:r w:rsidRPr="00A7510F">
        <w:rPr>
          <w:rFonts w:ascii="Arial" w:hAnsi="Arial" w:cs="Arial"/>
        </w:rPr>
        <w:t xml:space="preserve">. </w:t>
      </w:r>
    </w:p>
    <w:p w14:paraId="1F6BD5E8" w14:textId="77777777" w:rsidR="00B81B91" w:rsidRDefault="00B81B91" w:rsidP="00017082">
      <w:pPr>
        <w:pStyle w:val="ListParagraph"/>
        <w:numPr>
          <w:ilvl w:val="1"/>
          <w:numId w:val="0"/>
        </w:numPr>
        <w:spacing w:after="0" w:line="240" w:lineRule="auto"/>
        <w:jc w:val="both"/>
        <w:rPr>
          <w:rFonts w:ascii="Arial" w:hAnsi="Arial" w:cs="Arial"/>
        </w:rPr>
      </w:pPr>
    </w:p>
    <w:p w14:paraId="4C206E0D" w14:textId="0C4AFD23" w:rsidR="00B14762" w:rsidRPr="00A7510F" w:rsidRDefault="000C15DA" w:rsidP="007D7FCA">
      <w:pPr>
        <w:pStyle w:val="ListParagraph"/>
        <w:numPr>
          <w:ilvl w:val="1"/>
          <w:numId w:val="0"/>
        </w:numPr>
        <w:jc w:val="both"/>
        <w:rPr>
          <w:rFonts w:ascii="Arial" w:hAnsi="Arial" w:cs="Arial"/>
        </w:rPr>
      </w:pPr>
      <w:r w:rsidRPr="00F9125C">
        <w:rPr>
          <w:rFonts w:ascii="Arial" w:hAnsi="Arial" w:cs="Arial"/>
          <w:noProof/>
        </w:rPr>
        <w:drawing>
          <wp:inline distT="0" distB="0" distL="0" distR="0" wp14:anchorId="33DDDA4B" wp14:editId="47425268">
            <wp:extent cx="5676900" cy="1583967"/>
            <wp:effectExtent l="0" t="0" r="0" b="0"/>
            <wp:docPr id="8934654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65484" name="Picture 1" descr="A screenshot of a computer&#10;&#10;AI-generated content may be incorrect."/>
                    <pic:cNvPicPr/>
                  </pic:nvPicPr>
                  <pic:blipFill>
                    <a:blip r:embed="rId21"/>
                    <a:stretch>
                      <a:fillRect/>
                    </a:stretch>
                  </pic:blipFill>
                  <pic:spPr>
                    <a:xfrm>
                      <a:off x="0" y="0"/>
                      <a:ext cx="5704530" cy="1591676"/>
                    </a:xfrm>
                    <a:prstGeom prst="rect">
                      <a:avLst/>
                    </a:prstGeom>
                  </pic:spPr>
                </pic:pic>
              </a:graphicData>
            </a:graphic>
          </wp:inline>
        </w:drawing>
      </w:r>
    </w:p>
    <w:p w14:paraId="4B71B850" w14:textId="77777777" w:rsidR="007D7FCA" w:rsidRDefault="007D7FCA" w:rsidP="008F43F8">
      <w:pPr>
        <w:autoSpaceDE w:val="0"/>
        <w:autoSpaceDN w:val="0"/>
        <w:adjustRightInd w:val="0"/>
        <w:jc w:val="both"/>
        <w:rPr>
          <w:rFonts w:ascii="Arial" w:hAnsi="Arial" w:cs="Arial"/>
          <w:highlight w:val="yellow"/>
        </w:rPr>
      </w:pPr>
    </w:p>
    <w:p w14:paraId="2EAF45AA" w14:textId="187416EA" w:rsidR="00626A1E" w:rsidRDefault="00626A1E" w:rsidP="00626A1E">
      <w:pPr>
        <w:autoSpaceDE w:val="0"/>
        <w:autoSpaceDN w:val="0"/>
        <w:adjustRightInd w:val="0"/>
        <w:jc w:val="both"/>
        <w:rPr>
          <w:rFonts w:ascii="Arial" w:hAnsi="Arial" w:cs="Arial"/>
        </w:rPr>
      </w:pPr>
      <w:r w:rsidRPr="00A7510F">
        <w:rPr>
          <w:rFonts w:ascii="Arial" w:hAnsi="Arial" w:cs="Arial"/>
        </w:rPr>
        <w:t>This</w:t>
      </w:r>
      <w:r>
        <w:rPr>
          <w:rFonts w:ascii="Arial" w:hAnsi="Arial" w:cs="Arial"/>
        </w:rPr>
        <w:t xml:space="preserve"> indicates</w:t>
      </w:r>
      <w:r w:rsidRPr="00A7510F">
        <w:rPr>
          <w:rFonts w:ascii="Arial" w:hAnsi="Arial" w:cs="Arial"/>
        </w:rPr>
        <w:t xml:space="preserve"> that the net increase in resource departmental spending accounts </w:t>
      </w:r>
      <w:r w:rsidRPr="00AB105B">
        <w:rPr>
          <w:rFonts w:ascii="Arial" w:hAnsi="Arial" w:cs="Arial"/>
        </w:rPr>
        <w:t xml:space="preserve">for less than 10% of the core spending power increase in the </w:t>
      </w:r>
      <w:r w:rsidR="00821D54">
        <w:rPr>
          <w:rFonts w:ascii="Arial" w:hAnsi="Arial" w:cs="Arial"/>
        </w:rPr>
        <w:t>SR</w:t>
      </w:r>
      <w:r w:rsidRPr="00AB105B">
        <w:rPr>
          <w:rFonts w:ascii="Arial" w:hAnsi="Arial" w:cs="Arial"/>
        </w:rPr>
        <w:t xml:space="preserve"> projections.  The main usual point of difference between council grant funding and </w:t>
      </w:r>
      <w:r>
        <w:rPr>
          <w:rFonts w:ascii="Arial" w:hAnsi="Arial" w:cs="Arial"/>
        </w:rPr>
        <w:t>CSP</w:t>
      </w:r>
      <w:r w:rsidRPr="00AB105B">
        <w:rPr>
          <w:rFonts w:ascii="Arial" w:hAnsi="Arial" w:cs="Arial"/>
        </w:rPr>
        <w:t xml:space="preserve"> is local taxation (council tax and business rates). </w:t>
      </w:r>
      <w:r>
        <w:rPr>
          <w:rFonts w:ascii="Arial" w:hAnsi="Arial" w:cs="Arial"/>
        </w:rPr>
        <w:t xml:space="preserve"> Therefore, in order to realise the headline increases in CSP, </w:t>
      </w:r>
      <w:r w:rsidRPr="00AB105B">
        <w:rPr>
          <w:rFonts w:ascii="Arial" w:hAnsi="Arial" w:cs="Arial"/>
        </w:rPr>
        <w:t xml:space="preserve">councils </w:t>
      </w:r>
      <w:r>
        <w:rPr>
          <w:rFonts w:ascii="Arial" w:hAnsi="Arial" w:cs="Arial"/>
        </w:rPr>
        <w:t xml:space="preserve">will be </w:t>
      </w:r>
      <w:r w:rsidRPr="00AB105B">
        <w:rPr>
          <w:rFonts w:ascii="Arial" w:hAnsi="Arial" w:cs="Arial"/>
        </w:rPr>
        <w:t xml:space="preserve">expected to </w:t>
      </w:r>
      <w:r>
        <w:rPr>
          <w:rFonts w:ascii="Arial" w:hAnsi="Arial" w:cs="Arial"/>
        </w:rPr>
        <w:t>opt for maximum, above inflation, increases of</w:t>
      </w:r>
      <w:r w:rsidRPr="00AB105B">
        <w:rPr>
          <w:rFonts w:ascii="Arial" w:hAnsi="Arial" w:cs="Arial"/>
        </w:rPr>
        <w:t xml:space="preserve"> 5% each year, </w:t>
      </w:r>
      <w:r>
        <w:rPr>
          <w:rFonts w:ascii="Arial" w:hAnsi="Arial" w:cs="Arial"/>
        </w:rPr>
        <w:t>(</w:t>
      </w:r>
      <w:r w:rsidRPr="00AB105B">
        <w:rPr>
          <w:rFonts w:ascii="Arial" w:hAnsi="Arial" w:cs="Arial"/>
        </w:rPr>
        <w:t>3% core council tax and 2% adult social care precept</w:t>
      </w:r>
      <w:r>
        <w:rPr>
          <w:rFonts w:ascii="Arial" w:hAnsi="Arial" w:cs="Arial"/>
        </w:rPr>
        <w:t>)</w:t>
      </w:r>
      <w:r w:rsidRPr="00AB105B">
        <w:rPr>
          <w:rFonts w:ascii="Arial" w:hAnsi="Arial" w:cs="Arial"/>
        </w:rPr>
        <w:t>.</w:t>
      </w:r>
      <w:r>
        <w:rPr>
          <w:rFonts w:ascii="Arial" w:hAnsi="Arial" w:cs="Arial"/>
        </w:rPr>
        <w:t xml:space="preserve">  This would be the fastest rise in real-terms council tax bills over a parliament since 2001-2005.</w:t>
      </w:r>
    </w:p>
    <w:p w14:paraId="1F0BC3B5" w14:textId="77777777" w:rsidR="007D7FCA" w:rsidRDefault="007D7FCA" w:rsidP="008F43F8">
      <w:pPr>
        <w:autoSpaceDE w:val="0"/>
        <w:autoSpaceDN w:val="0"/>
        <w:adjustRightInd w:val="0"/>
        <w:jc w:val="both"/>
        <w:rPr>
          <w:rFonts w:ascii="Arial" w:hAnsi="Arial" w:cs="Arial"/>
          <w:highlight w:val="yellow"/>
        </w:rPr>
      </w:pPr>
    </w:p>
    <w:p w14:paraId="1341D410" w14:textId="62880484" w:rsidR="00A5166C" w:rsidRPr="00821D54" w:rsidRDefault="00A5166C" w:rsidP="00A5166C">
      <w:pPr>
        <w:pStyle w:val="ListParagraph"/>
        <w:numPr>
          <w:ilvl w:val="1"/>
          <w:numId w:val="0"/>
        </w:numPr>
        <w:jc w:val="both"/>
        <w:rPr>
          <w:rFonts w:ascii="Arial" w:hAnsi="Arial" w:cs="Arial"/>
          <w:sz w:val="24"/>
          <w:szCs w:val="24"/>
        </w:rPr>
      </w:pPr>
      <w:r w:rsidRPr="00821D54">
        <w:rPr>
          <w:rFonts w:ascii="Arial" w:hAnsi="Arial" w:cs="Arial"/>
          <w:sz w:val="24"/>
          <w:szCs w:val="24"/>
        </w:rPr>
        <w:t>The other main points from the S</w:t>
      </w:r>
      <w:r w:rsidR="00B112C1">
        <w:rPr>
          <w:rFonts w:ascii="Arial" w:hAnsi="Arial" w:cs="Arial"/>
          <w:sz w:val="24"/>
          <w:szCs w:val="24"/>
        </w:rPr>
        <w:t>R</w:t>
      </w:r>
      <w:r w:rsidRPr="00821D54">
        <w:rPr>
          <w:rFonts w:ascii="Arial" w:hAnsi="Arial" w:cs="Arial"/>
          <w:sz w:val="24"/>
          <w:szCs w:val="24"/>
        </w:rPr>
        <w:t xml:space="preserve"> that </w:t>
      </w:r>
      <w:r w:rsidR="00B112C1">
        <w:rPr>
          <w:rFonts w:ascii="Arial" w:hAnsi="Arial" w:cs="Arial"/>
          <w:sz w:val="24"/>
          <w:szCs w:val="24"/>
        </w:rPr>
        <w:t xml:space="preserve">were </w:t>
      </w:r>
      <w:r w:rsidRPr="00821D54">
        <w:rPr>
          <w:rFonts w:ascii="Arial" w:hAnsi="Arial" w:cs="Arial"/>
          <w:sz w:val="24"/>
          <w:szCs w:val="24"/>
        </w:rPr>
        <w:t xml:space="preserve">relevant to local government, specifically District Councils, are as follows: </w:t>
      </w:r>
    </w:p>
    <w:p w14:paraId="130CFF95" w14:textId="77777777" w:rsidR="00A5166C" w:rsidRPr="00032E10" w:rsidRDefault="00A5166C" w:rsidP="00CF25BB">
      <w:pPr>
        <w:numPr>
          <w:ilvl w:val="0"/>
          <w:numId w:val="45"/>
        </w:numPr>
        <w:jc w:val="both"/>
        <w:rPr>
          <w:rFonts w:ascii="Arial" w:hAnsi="Arial" w:cs="Arial"/>
        </w:rPr>
      </w:pPr>
      <w:r w:rsidRPr="00032E10">
        <w:rPr>
          <w:rFonts w:ascii="Arial" w:hAnsi="Arial" w:cs="Arial"/>
        </w:rPr>
        <w:t>Councils will receive multiyear allocations, offering much needed stability</w:t>
      </w:r>
    </w:p>
    <w:p w14:paraId="74B5ACC6" w14:textId="77777777" w:rsidR="00A5166C" w:rsidRPr="005E713F" w:rsidRDefault="00A5166C" w:rsidP="00CF25BB">
      <w:pPr>
        <w:pStyle w:val="Style3"/>
        <w:numPr>
          <w:ilvl w:val="0"/>
          <w:numId w:val="45"/>
        </w:numPr>
        <w:spacing w:before="0" w:after="0" w:line="240" w:lineRule="auto"/>
        <w:rPr>
          <w:rFonts w:eastAsia="Times New Roman"/>
          <w:color w:val="auto"/>
          <w:sz w:val="24"/>
          <w:szCs w:val="24"/>
        </w:rPr>
      </w:pPr>
      <w:r w:rsidRPr="005E713F">
        <w:rPr>
          <w:rFonts w:eastAsia="Times New Roman"/>
          <w:color w:val="auto"/>
          <w:sz w:val="24"/>
          <w:szCs w:val="24"/>
        </w:rPr>
        <w:t>The Household Support Fund and the Discretionary Housing Payment grants will be replaced by an £842m annual Crisis and Resilience Fund;</w:t>
      </w:r>
    </w:p>
    <w:p w14:paraId="78B22A3A" w14:textId="77777777" w:rsidR="00A5166C" w:rsidRPr="005E713F" w:rsidRDefault="00A5166C" w:rsidP="00CF25BB">
      <w:pPr>
        <w:pStyle w:val="Style3"/>
        <w:numPr>
          <w:ilvl w:val="0"/>
          <w:numId w:val="45"/>
        </w:numPr>
        <w:spacing w:before="0" w:after="0" w:line="240" w:lineRule="auto"/>
        <w:rPr>
          <w:rFonts w:eastAsia="Times New Roman"/>
          <w:color w:val="auto"/>
          <w:sz w:val="24"/>
          <w:szCs w:val="24"/>
        </w:rPr>
      </w:pPr>
      <w:r w:rsidRPr="005E713F">
        <w:rPr>
          <w:rFonts w:eastAsia="Times New Roman"/>
          <w:color w:val="auto"/>
          <w:sz w:val="24"/>
          <w:szCs w:val="24"/>
        </w:rPr>
        <w:t>There will be a new social rent settlement of CPI +1% covering 10 years from 2026, alongside a consultation on implementing social rent convergence;</w:t>
      </w:r>
    </w:p>
    <w:p w14:paraId="660AEE7A" w14:textId="10AD8DF6" w:rsidR="00A5166C" w:rsidRPr="005E713F" w:rsidRDefault="00A5166C" w:rsidP="00CF25BB">
      <w:pPr>
        <w:pStyle w:val="Style3"/>
        <w:numPr>
          <w:ilvl w:val="0"/>
          <w:numId w:val="45"/>
        </w:numPr>
        <w:spacing w:before="0" w:after="0" w:line="240" w:lineRule="auto"/>
        <w:rPr>
          <w:sz w:val="24"/>
          <w:szCs w:val="24"/>
        </w:rPr>
      </w:pPr>
      <w:r w:rsidRPr="005E713F">
        <w:rPr>
          <w:rFonts w:eastAsia="Times New Roman"/>
          <w:color w:val="auto"/>
          <w:sz w:val="24"/>
          <w:szCs w:val="24"/>
        </w:rPr>
        <w:t xml:space="preserve">£39bn over 10 years from 2026/27 to 2035/36 will be spent through a successor to the Affordable Homes Programme.  </w:t>
      </w:r>
      <w:r w:rsidRPr="00D272EE">
        <w:rPr>
          <w:sz w:val="24"/>
          <w:szCs w:val="24"/>
        </w:rPr>
        <w:t>Spending will reach £4 billion per year in 2029</w:t>
      </w:r>
      <w:r w:rsidR="00B513DA">
        <w:rPr>
          <w:sz w:val="24"/>
          <w:szCs w:val="24"/>
        </w:rPr>
        <w:t>/</w:t>
      </w:r>
      <w:r w:rsidRPr="00D272EE">
        <w:rPr>
          <w:sz w:val="24"/>
          <w:szCs w:val="24"/>
        </w:rPr>
        <w:t>30 and rise in line with inflation subsequently.</w:t>
      </w:r>
    </w:p>
    <w:p w14:paraId="4C6B9E74" w14:textId="77777777" w:rsidR="00A5166C" w:rsidRPr="005E713F" w:rsidRDefault="00A5166C" w:rsidP="00CF25BB">
      <w:pPr>
        <w:pStyle w:val="Style3"/>
        <w:numPr>
          <w:ilvl w:val="0"/>
          <w:numId w:val="45"/>
        </w:numPr>
        <w:autoSpaceDE w:val="0"/>
        <w:autoSpaceDN w:val="0"/>
        <w:adjustRightInd w:val="0"/>
        <w:spacing w:before="0" w:after="0" w:line="240" w:lineRule="auto"/>
        <w:rPr>
          <w:color w:val="000000"/>
          <w:sz w:val="24"/>
          <w:szCs w:val="24"/>
        </w:rPr>
      </w:pPr>
      <w:r w:rsidRPr="005E713F">
        <w:rPr>
          <w:rFonts w:eastAsia="Times New Roman"/>
          <w:color w:val="auto"/>
          <w:sz w:val="24"/>
          <w:szCs w:val="24"/>
        </w:rPr>
        <w:t>£950m will be invested through a fourth round of the Local Authority Housing Fund, t</w:t>
      </w:r>
      <w:r w:rsidRPr="00135D94">
        <w:rPr>
          <w:sz w:val="24"/>
          <w:szCs w:val="24"/>
        </w:rPr>
        <w:t xml:space="preserve">o support local authorities in England to increase the supply of good-quality temporary accommodation and drive down the use of costly bed and breakfasts and hotels. </w:t>
      </w:r>
    </w:p>
    <w:p w14:paraId="57AAA3B4" w14:textId="77777777" w:rsidR="00A5166C" w:rsidRPr="005E713F" w:rsidRDefault="00A5166C" w:rsidP="00CF25BB">
      <w:pPr>
        <w:pStyle w:val="Style3"/>
        <w:numPr>
          <w:ilvl w:val="0"/>
          <w:numId w:val="45"/>
        </w:numPr>
        <w:autoSpaceDE w:val="0"/>
        <w:autoSpaceDN w:val="0"/>
        <w:adjustRightInd w:val="0"/>
        <w:spacing w:before="0" w:after="0" w:line="240" w:lineRule="auto"/>
        <w:rPr>
          <w:color w:val="000000"/>
          <w:sz w:val="24"/>
          <w:szCs w:val="24"/>
        </w:rPr>
      </w:pPr>
      <w:r w:rsidRPr="005E713F">
        <w:rPr>
          <w:rFonts w:eastAsia="Times New Roman"/>
          <w:color w:val="auto"/>
          <w:sz w:val="24"/>
          <w:szCs w:val="24"/>
        </w:rPr>
        <w:t>Spending on homelessness and rough sleeping is being protected over the SR period (which normally suggests real terms protection), with £100m (including the Transformation Fund) provided for early interventions to prevent homelessness.</w:t>
      </w:r>
      <w:r w:rsidRPr="00513BD4">
        <w:rPr>
          <w:color w:val="000000"/>
          <w:sz w:val="24"/>
          <w:szCs w:val="24"/>
        </w:rPr>
        <w:t xml:space="preserve"> </w:t>
      </w:r>
    </w:p>
    <w:p w14:paraId="485708E1" w14:textId="31445AA1" w:rsidR="00A5166C" w:rsidRPr="000246DF" w:rsidRDefault="00A5166C" w:rsidP="00CF25BB">
      <w:pPr>
        <w:numPr>
          <w:ilvl w:val="0"/>
          <w:numId w:val="45"/>
        </w:numPr>
        <w:autoSpaceDE w:val="0"/>
        <w:autoSpaceDN w:val="0"/>
        <w:adjustRightInd w:val="0"/>
        <w:jc w:val="both"/>
        <w:rPr>
          <w:rFonts w:ascii="Arial" w:hAnsi="Arial" w:cs="Arial"/>
          <w:color w:val="000000"/>
          <w:lang w:eastAsia="en-GB"/>
        </w:rPr>
      </w:pPr>
      <w:r w:rsidRPr="00A556A4">
        <w:rPr>
          <w:rFonts w:ascii="Arial" w:hAnsi="Arial" w:cs="Arial"/>
          <w:color w:val="000000"/>
          <w:lang w:eastAsia="en-GB"/>
        </w:rPr>
        <w:t>£1</w:t>
      </w:r>
      <w:r w:rsidRPr="005E713F">
        <w:rPr>
          <w:rFonts w:ascii="Arial" w:hAnsi="Arial" w:cs="Arial"/>
          <w:color w:val="000000"/>
          <w:lang w:eastAsia="en-GB"/>
        </w:rPr>
        <w:t>bn</w:t>
      </w:r>
      <w:r w:rsidRPr="00A556A4">
        <w:rPr>
          <w:rFonts w:ascii="Arial" w:hAnsi="Arial" w:cs="Arial"/>
          <w:color w:val="000000"/>
          <w:lang w:eastAsia="en-GB"/>
        </w:rPr>
        <w:t xml:space="preserve"> new investment between 2026</w:t>
      </w:r>
      <w:r w:rsidR="00B513DA">
        <w:rPr>
          <w:rFonts w:ascii="Arial" w:hAnsi="Arial" w:cs="Arial"/>
          <w:color w:val="000000"/>
          <w:lang w:eastAsia="en-GB"/>
        </w:rPr>
        <w:t>/</w:t>
      </w:r>
      <w:r w:rsidRPr="00A556A4">
        <w:rPr>
          <w:rFonts w:ascii="Arial" w:hAnsi="Arial" w:cs="Arial"/>
          <w:color w:val="000000"/>
          <w:lang w:eastAsia="en-GB"/>
        </w:rPr>
        <w:t>27 and 2029</w:t>
      </w:r>
      <w:r w:rsidR="00B513DA">
        <w:rPr>
          <w:rFonts w:ascii="Arial" w:hAnsi="Arial" w:cs="Arial"/>
          <w:color w:val="000000"/>
          <w:lang w:eastAsia="en-GB"/>
        </w:rPr>
        <w:t>/</w:t>
      </w:r>
      <w:r w:rsidRPr="00A556A4">
        <w:rPr>
          <w:rFonts w:ascii="Arial" w:hAnsi="Arial" w:cs="Arial"/>
          <w:color w:val="000000"/>
          <w:lang w:eastAsia="en-GB"/>
        </w:rPr>
        <w:t>30 to accelerate remediation of social housing, by giving social housing providers equal access to government funding as private building owners.</w:t>
      </w:r>
    </w:p>
    <w:p w14:paraId="4DFC8D6F" w14:textId="77777777" w:rsidR="00A5166C" w:rsidRPr="000246DF" w:rsidRDefault="00A5166C" w:rsidP="00CF25BB">
      <w:pPr>
        <w:numPr>
          <w:ilvl w:val="0"/>
          <w:numId w:val="45"/>
        </w:numPr>
        <w:autoSpaceDE w:val="0"/>
        <w:autoSpaceDN w:val="0"/>
        <w:adjustRightInd w:val="0"/>
        <w:jc w:val="both"/>
        <w:rPr>
          <w:rFonts w:ascii="Arial" w:hAnsi="Arial" w:cs="Arial"/>
          <w:color w:val="000000"/>
          <w:lang w:eastAsia="en-GB"/>
        </w:rPr>
      </w:pPr>
      <w:r w:rsidRPr="000246DF">
        <w:rPr>
          <w:rFonts w:ascii="Arial" w:hAnsi="Arial" w:cs="Arial"/>
          <w:color w:val="000000"/>
          <w:lang w:eastAsia="en-GB"/>
        </w:rPr>
        <w:t xml:space="preserve">£200 million to transform the asylum system and end the use of asylum hotels this Parliament. </w:t>
      </w:r>
    </w:p>
    <w:p w14:paraId="6A8F371A" w14:textId="77777777" w:rsidR="00A5166C" w:rsidRDefault="00A5166C" w:rsidP="008F43F8">
      <w:pPr>
        <w:autoSpaceDE w:val="0"/>
        <w:autoSpaceDN w:val="0"/>
        <w:adjustRightInd w:val="0"/>
        <w:jc w:val="both"/>
        <w:rPr>
          <w:rFonts w:ascii="Arial" w:hAnsi="Arial" w:cs="Arial"/>
          <w:highlight w:val="yellow"/>
        </w:rPr>
      </w:pPr>
    </w:p>
    <w:p w14:paraId="1CA6317C" w14:textId="169A6C9A" w:rsidR="000C15DA" w:rsidRDefault="008259A9" w:rsidP="00EA1F9C">
      <w:pPr>
        <w:autoSpaceDE w:val="0"/>
        <w:autoSpaceDN w:val="0"/>
        <w:adjustRightInd w:val="0"/>
        <w:jc w:val="both"/>
        <w:rPr>
          <w:rFonts w:ascii="Arial" w:hAnsi="Arial" w:cs="Arial"/>
        </w:rPr>
      </w:pPr>
      <w:r w:rsidRPr="00081962">
        <w:rPr>
          <w:rFonts w:ascii="Arial" w:hAnsi="Arial" w:cs="Arial"/>
        </w:rPr>
        <w:t xml:space="preserve">The subsequent Autumn Budget </w:t>
      </w:r>
      <w:r w:rsidR="003B2481" w:rsidRPr="00081962">
        <w:rPr>
          <w:rFonts w:ascii="Arial" w:hAnsi="Arial" w:cs="Arial"/>
        </w:rPr>
        <w:t>contained no</w:t>
      </w:r>
      <w:r w:rsidR="006E0D8F" w:rsidRPr="00081962">
        <w:rPr>
          <w:rFonts w:ascii="Arial" w:hAnsi="Arial" w:cs="Arial"/>
        </w:rPr>
        <w:t xml:space="preserve"> significant changes to address local government’s severely stretched finances</w:t>
      </w:r>
      <w:r w:rsidR="000A4B95" w:rsidRPr="00081962">
        <w:rPr>
          <w:rFonts w:ascii="Arial" w:hAnsi="Arial" w:cs="Arial"/>
        </w:rPr>
        <w:t>,</w:t>
      </w:r>
      <w:r w:rsidR="006E0D8F" w:rsidRPr="00081962">
        <w:rPr>
          <w:rFonts w:ascii="Arial" w:hAnsi="Arial" w:cs="Arial"/>
        </w:rPr>
        <w:t xml:space="preserve"> </w:t>
      </w:r>
      <w:r w:rsidR="00DB442D" w:rsidRPr="00081962">
        <w:rPr>
          <w:rFonts w:ascii="Arial" w:hAnsi="Arial" w:cs="Arial"/>
        </w:rPr>
        <w:t xml:space="preserve">with the majority of the </w:t>
      </w:r>
      <w:r w:rsidR="000A4B95" w:rsidRPr="00081962">
        <w:rPr>
          <w:rFonts w:ascii="Arial" w:hAnsi="Arial" w:cs="Arial"/>
        </w:rPr>
        <w:t xml:space="preserve">relevant announcements for local government </w:t>
      </w:r>
      <w:r w:rsidR="00C072AC" w:rsidRPr="00081962">
        <w:rPr>
          <w:rFonts w:ascii="Arial" w:hAnsi="Arial" w:cs="Arial"/>
        </w:rPr>
        <w:t>centring around business rates reforms and a council tax surcharge.</w:t>
      </w:r>
      <w:r w:rsidR="00EA1F9C">
        <w:rPr>
          <w:rFonts w:ascii="Arial" w:hAnsi="Arial" w:cs="Arial"/>
        </w:rPr>
        <w:t xml:space="preserve">  </w:t>
      </w:r>
    </w:p>
    <w:p w14:paraId="692C4A76" w14:textId="77777777" w:rsidR="00BD7B32" w:rsidRDefault="00BD7B32" w:rsidP="00EA1F9C">
      <w:pPr>
        <w:autoSpaceDE w:val="0"/>
        <w:autoSpaceDN w:val="0"/>
        <w:adjustRightInd w:val="0"/>
        <w:jc w:val="both"/>
        <w:rPr>
          <w:rFonts w:ascii="Arial" w:hAnsi="Arial" w:cs="Arial"/>
        </w:rPr>
      </w:pPr>
    </w:p>
    <w:p w14:paraId="642BBF23" w14:textId="7A047C2F" w:rsidR="00B74C60" w:rsidRDefault="00BD7B32" w:rsidP="00B74C60">
      <w:pPr>
        <w:pStyle w:val="ListParagraph"/>
        <w:numPr>
          <w:ilvl w:val="1"/>
          <w:numId w:val="0"/>
        </w:numPr>
        <w:jc w:val="both"/>
        <w:rPr>
          <w:rFonts w:ascii="Arial" w:hAnsi="Arial" w:cs="Arial"/>
          <w:sz w:val="24"/>
          <w:szCs w:val="24"/>
        </w:rPr>
      </w:pPr>
      <w:r w:rsidRPr="00821D54">
        <w:rPr>
          <w:rFonts w:ascii="Arial" w:hAnsi="Arial" w:cs="Arial"/>
          <w:sz w:val="24"/>
          <w:szCs w:val="24"/>
        </w:rPr>
        <w:t xml:space="preserve">The other main points from the </w:t>
      </w:r>
      <w:r w:rsidR="00ED6575">
        <w:rPr>
          <w:rFonts w:ascii="Arial" w:hAnsi="Arial" w:cs="Arial"/>
          <w:sz w:val="24"/>
          <w:szCs w:val="24"/>
        </w:rPr>
        <w:t>Budget</w:t>
      </w:r>
      <w:r w:rsidRPr="00821D54">
        <w:rPr>
          <w:rFonts w:ascii="Arial" w:hAnsi="Arial" w:cs="Arial"/>
          <w:sz w:val="24"/>
          <w:szCs w:val="24"/>
        </w:rPr>
        <w:t xml:space="preserve"> that </w:t>
      </w:r>
      <w:r>
        <w:rPr>
          <w:rFonts w:ascii="Arial" w:hAnsi="Arial" w:cs="Arial"/>
          <w:sz w:val="24"/>
          <w:szCs w:val="24"/>
        </w:rPr>
        <w:t xml:space="preserve">were </w:t>
      </w:r>
      <w:r w:rsidRPr="00821D54">
        <w:rPr>
          <w:rFonts w:ascii="Arial" w:hAnsi="Arial" w:cs="Arial"/>
          <w:sz w:val="24"/>
          <w:szCs w:val="24"/>
        </w:rPr>
        <w:t xml:space="preserve">relevant to local government, specifically District Councils, are as follows: </w:t>
      </w:r>
    </w:p>
    <w:p w14:paraId="49BB6FB3" w14:textId="1B666233" w:rsidR="00BC1C7B" w:rsidRPr="00E801B7" w:rsidRDefault="000774AA" w:rsidP="00E801B7">
      <w:pPr>
        <w:pStyle w:val="ListParagraph"/>
        <w:numPr>
          <w:ilvl w:val="1"/>
          <w:numId w:val="0"/>
        </w:numPr>
        <w:spacing w:after="0" w:line="240" w:lineRule="auto"/>
        <w:jc w:val="both"/>
        <w:rPr>
          <w:rFonts w:ascii="Arial" w:hAnsi="Arial" w:cs="Arial"/>
          <w:sz w:val="24"/>
          <w:szCs w:val="24"/>
        </w:rPr>
      </w:pPr>
      <w:r w:rsidRPr="000774AA">
        <w:rPr>
          <w:rFonts w:ascii="Arial" w:hAnsi="Arial" w:cs="Arial"/>
        </w:rPr>
        <w:t xml:space="preserve"> </w:t>
      </w:r>
    </w:p>
    <w:p w14:paraId="77F69241" w14:textId="3126DDAB" w:rsidR="008B0913" w:rsidRPr="00E801B7" w:rsidRDefault="00BC1C7B" w:rsidP="00CF25BB">
      <w:pPr>
        <w:pStyle w:val="ListParagraph"/>
        <w:numPr>
          <w:ilvl w:val="0"/>
          <w:numId w:val="46"/>
        </w:numPr>
        <w:autoSpaceDE w:val="0"/>
        <w:autoSpaceDN w:val="0"/>
        <w:adjustRightInd w:val="0"/>
        <w:spacing w:after="0" w:line="240" w:lineRule="auto"/>
        <w:jc w:val="both"/>
        <w:rPr>
          <w:rFonts w:ascii="Arial" w:hAnsi="Arial" w:cs="Arial"/>
          <w:color w:val="000000"/>
          <w:sz w:val="24"/>
          <w:szCs w:val="24"/>
          <w:lang w:eastAsia="en-GB"/>
        </w:rPr>
      </w:pPr>
      <w:r w:rsidRPr="001A1686">
        <w:rPr>
          <w:rFonts w:ascii="Arial" w:hAnsi="Arial" w:cs="Arial"/>
          <w:color w:val="000000"/>
          <w:sz w:val="24"/>
          <w:szCs w:val="24"/>
          <w:lang w:eastAsia="en-GB"/>
        </w:rPr>
        <w:t>The Chancellor confirmed the changes to business rates which were anticipated, with the introduction of two lower multipliers for Retail, Hospitality &amp; Leisure, to be funded by a new High-Value Multiplier</w:t>
      </w:r>
      <w:r w:rsidR="00857663">
        <w:rPr>
          <w:rFonts w:ascii="Arial" w:hAnsi="Arial" w:cs="Arial"/>
          <w:color w:val="000000"/>
          <w:sz w:val="24"/>
          <w:szCs w:val="24"/>
          <w:lang w:eastAsia="en-GB"/>
        </w:rPr>
        <w:t>.</w:t>
      </w:r>
      <w:r w:rsidRPr="001A1686">
        <w:rPr>
          <w:rFonts w:ascii="Arial" w:hAnsi="Arial" w:cs="Arial"/>
          <w:color w:val="000000"/>
          <w:sz w:val="24"/>
          <w:szCs w:val="24"/>
          <w:lang w:eastAsia="en-GB"/>
        </w:rPr>
        <w:t xml:space="preserve"> </w:t>
      </w:r>
    </w:p>
    <w:p w14:paraId="6B28D0C6" w14:textId="4A667BA6" w:rsidR="008B0913" w:rsidRPr="00ED27CB" w:rsidRDefault="00E801B7" w:rsidP="00CF25BB">
      <w:pPr>
        <w:pStyle w:val="ListParagraph"/>
        <w:numPr>
          <w:ilvl w:val="0"/>
          <w:numId w:val="46"/>
        </w:numPr>
        <w:autoSpaceDE w:val="0"/>
        <w:autoSpaceDN w:val="0"/>
        <w:adjustRightInd w:val="0"/>
        <w:spacing w:after="0" w:line="240" w:lineRule="auto"/>
        <w:jc w:val="both"/>
        <w:rPr>
          <w:rFonts w:ascii="Arial" w:hAnsi="Arial" w:cs="Arial"/>
          <w:color w:val="000000"/>
          <w:sz w:val="24"/>
          <w:szCs w:val="24"/>
          <w:lang w:eastAsia="en-GB"/>
        </w:rPr>
      </w:pPr>
      <w:r w:rsidRPr="00ED27CB">
        <w:rPr>
          <w:rFonts w:ascii="Arial" w:hAnsi="Arial" w:cs="Arial"/>
          <w:color w:val="000000"/>
          <w:sz w:val="24"/>
          <w:szCs w:val="24"/>
          <w:lang w:eastAsia="en-GB"/>
        </w:rPr>
        <w:t>A</w:t>
      </w:r>
      <w:r w:rsidR="00AE164D" w:rsidRPr="00ED27CB">
        <w:rPr>
          <w:rFonts w:ascii="Arial" w:hAnsi="Arial" w:cs="Arial"/>
          <w:color w:val="000000"/>
          <w:sz w:val="24"/>
          <w:szCs w:val="24"/>
          <w:lang w:eastAsia="en-GB"/>
        </w:rPr>
        <w:t xml:space="preserve"> </w:t>
      </w:r>
      <w:r w:rsidRPr="00ED27CB">
        <w:rPr>
          <w:rFonts w:ascii="Arial" w:hAnsi="Arial" w:cs="Arial"/>
          <w:color w:val="000000"/>
          <w:sz w:val="24"/>
          <w:szCs w:val="24"/>
          <w:lang w:eastAsia="en-GB"/>
        </w:rPr>
        <w:t>t</w:t>
      </w:r>
      <w:r w:rsidR="008B0913" w:rsidRPr="00ED27CB">
        <w:rPr>
          <w:rFonts w:ascii="Arial" w:hAnsi="Arial" w:cs="Arial"/>
          <w:color w:val="000000"/>
          <w:sz w:val="24"/>
          <w:szCs w:val="24"/>
          <w:lang w:eastAsia="en-GB"/>
        </w:rPr>
        <w:t>ransforming business rates</w:t>
      </w:r>
      <w:r w:rsidR="00A51AA2" w:rsidRPr="00ED27CB">
        <w:rPr>
          <w:rFonts w:ascii="Arial" w:hAnsi="Arial" w:cs="Arial"/>
          <w:color w:val="000000"/>
          <w:sz w:val="24"/>
          <w:szCs w:val="24"/>
          <w:lang w:eastAsia="en-GB"/>
        </w:rPr>
        <w:t xml:space="preserve"> consultation</w:t>
      </w:r>
      <w:r w:rsidRPr="00ED27CB">
        <w:rPr>
          <w:rFonts w:ascii="Arial" w:hAnsi="Arial" w:cs="Arial"/>
          <w:color w:val="000000"/>
          <w:sz w:val="24"/>
          <w:szCs w:val="24"/>
          <w:lang w:eastAsia="en-GB"/>
        </w:rPr>
        <w:t xml:space="preserve"> was launched, </w:t>
      </w:r>
      <w:r w:rsidR="008B0913" w:rsidRPr="00ED27CB">
        <w:rPr>
          <w:rFonts w:ascii="Arial" w:hAnsi="Arial" w:cs="Arial"/>
          <w:color w:val="000000"/>
          <w:sz w:val="24"/>
          <w:szCs w:val="24"/>
          <w:lang w:eastAsia="en-GB"/>
        </w:rPr>
        <w:t xml:space="preserve">this is focused on the impact of business rates on incentives to invest. It continues to explore the prospect of changing the application of the multiplier to bands of RV more like income tax, rather than the full RV being subject to a relevant rate (so for example, each hereditament’s RV under £51k being charged at small multiplier, any RV between £51-499k at standard, and then £500k+ at the new higher-value multiplier). </w:t>
      </w:r>
    </w:p>
    <w:p w14:paraId="3A8E1790" w14:textId="3755A1B1" w:rsidR="000774AA" w:rsidRPr="00ED27CB" w:rsidRDefault="00B74C60" w:rsidP="00CF25BB">
      <w:pPr>
        <w:pStyle w:val="ListParagraph"/>
        <w:numPr>
          <w:ilvl w:val="0"/>
          <w:numId w:val="46"/>
        </w:numPr>
        <w:autoSpaceDE w:val="0"/>
        <w:autoSpaceDN w:val="0"/>
        <w:adjustRightInd w:val="0"/>
        <w:spacing w:after="0" w:line="240" w:lineRule="auto"/>
        <w:ind w:left="714" w:hanging="357"/>
        <w:jc w:val="both"/>
        <w:rPr>
          <w:rFonts w:ascii="Arial" w:hAnsi="Arial" w:cs="Arial"/>
          <w:sz w:val="24"/>
          <w:szCs w:val="24"/>
        </w:rPr>
      </w:pPr>
      <w:r w:rsidRPr="00ED27CB">
        <w:rPr>
          <w:rFonts w:ascii="Arial" w:hAnsi="Arial" w:cs="Arial"/>
          <w:sz w:val="24"/>
          <w:szCs w:val="24"/>
        </w:rPr>
        <w:t xml:space="preserve">Introduction of  a </w:t>
      </w:r>
      <w:r w:rsidR="000774AA" w:rsidRPr="00ED27CB">
        <w:rPr>
          <w:rFonts w:ascii="Arial" w:hAnsi="Arial" w:cs="Arial"/>
          <w:sz w:val="24"/>
          <w:szCs w:val="24"/>
        </w:rPr>
        <w:t xml:space="preserve">High Value Council Tax Surcharge for residential properties worth £2 million or more, from April 2028. </w:t>
      </w:r>
      <w:r w:rsidR="0031640C" w:rsidRPr="00ED27CB">
        <w:rPr>
          <w:rFonts w:ascii="Arial" w:hAnsi="Arial" w:cs="Arial"/>
          <w:sz w:val="24"/>
          <w:szCs w:val="24"/>
        </w:rPr>
        <w:t xml:space="preserve"> </w:t>
      </w:r>
      <w:r w:rsidR="000774AA" w:rsidRPr="00ED27CB">
        <w:rPr>
          <w:rFonts w:ascii="Arial" w:hAnsi="Arial" w:cs="Arial"/>
          <w:sz w:val="24"/>
          <w:szCs w:val="24"/>
        </w:rPr>
        <w:t xml:space="preserve">New charges start at £2,500 per year, rising to £7,500 per year for properties valued above £5 million. Local authorities will collect this revenue on behalf of central government and will be “fully compensated” for the additional costs of </w:t>
      </w:r>
      <w:r w:rsidR="000774AA" w:rsidRPr="00461452">
        <w:rPr>
          <w:rFonts w:ascii="Arial" w:hAnsi="Arial" w:cs="Arial"/>
          <w:sz w:val="24"/>
          <w:szCs w:val="24"/>
        </w:rPr>
        <w:t>administering this</w:t>
      </w:r>
      <w:r w:rsidR="000774AA" w:rsidRPr="00ED27CB">
        <w:rPr>
          <w:rFonts w:ascii="Arial" w:hAnsi="Arial" w:cs="Arial"/>
          <w:sz w:val="24"/>
          <w:szCs w:val="24"/>
        </w:rPr>
        <w:t xml:space="preserve"> new tax. The Government has indicated that revenue will be used to support funding for local services. It is unclear what this will mean in practice. </w:t>
      </w:r>
    </w:p>
    <w:p w14:paraId="7911DCBA" w14:textId="1451E31F" w:rsidR="0005105B" w:rsidRPr="0005105B" w:rsidRDefault="00D34C26" w:rsidP="00CF25BB">
      <w:pPr>
        <w:numPr>
          <w:ilvl w:val="0"/>
          <w:numId w:val="46"/>
        </w:numPr>
        <w:autoSpaceDE w:val="0"/>
        <w:autoSpaceDN w:val="0"/>
        <w:adjustRightInd w:val="0"/>
        <w:jc w:val="both"/>
        <w:rPr>
          <w:rFonts w:ascii="Arial" w:hAnsi="Arial" w:cs="Arial"/>
        </w:rPr>
      </w:pPr>
      <w:r w:rsidRPr="00D34C26">
        <w:rPr>
          <w:rFonts w:ascii="Arial" w:hAnsi="Arial" w:cs="Arial"/>
          <w:color w:val="000000"/>
          <w:lang w:eastAsia="en-GB"/>
        </w:rPr>
        <w:t>The Government will give Mayoral Strategic Authorities (MSA) powers to raise a visitor levy on overnight accommodation</w:t>
      </w:r>
      <w:r w:rsidR="0031253A" w:rsidRPr="00ED27CB">
        <w:rPr>
          <w:rFonts w:ascii="Arial" w:hAnsi="Arial" w:cs="Arial"/>
          <w:color w:val="000000"/>
          <w:lang w:eastAsia="en-GB"/>
        </w:rPr>
        <w:t xml:space="preserve">.  </w:t>
      </w:r>
      <w:r w:rsidRPr="00D34C26">
        <w:rPr>
          <w:rFonts w:ascii="Arial" w:hAnsi="Arial" w:cs="Arial"/>
          <w:color w:val="000000"/>
          <w:lang w:eastAsia="en-GB"/>
        </w:rPr>
        <w:t>It would be applied to accommodation providers including hotels, holiday lets, bed and breakfasts, and guesthouses.</w:t>
      </w:r>
      <w:r w:rsidR="0031253A" w:rsidRPr="00ED27CB">
        <w:rPr>
          <w:rFonts w:ascii="Arial" w:hAnsi="Arial" w:cs="Arial"/>
          <w:color w:val="000000"/>
          <w:lang w:eastAsia="en-GB"/>
        </w:rPr>
        <w:t xml:space="preserve">  </w:t>
      </w:r>
      <w:r w:rsidRPr="00D34C26">
        <w:rPr>
          <w:rFonts w:ascii="Arial" w:hAnsi="Arial" w:cs="Arial"/>
          <w:color w:val="000000"/>
          <w:lang w:eastAsia="en-GB"/>
        </w:rPr>
        <w:t xml:space="preserve">Mayors will be able to spend the revenue locally without requiring central government sign-off for the projects chosen. </w:t>
      </w:r>
      <w:r w:rsidR="0031253A" w:rsidRPr="00ED27CB">
        <w:rPr>
          <w:rFonts w:ascii="Arial" w:hAnsi="Arial" w:cs="Arial"/>
          <w:color w:val="000000"/>
          <w:lang w:eastAsia="en-GB"/>
        </w:rPr>
        <w:t xml:space="preserve">  </w:t>
      </w:r>
      <w:r w:rsidRPr="00D34C26">
        <w:rPr>
          <w:rFonts w:ascii="Arial" w:hAnsi="Arial" w:cs="Arial"/>
          <w:color w:val="000000"/>
          <w:lang w:eastAsia="en-GB"/>
        </w:rPr>
        <w:t>MSAs will be able to allocate a portion of levy income to local authorities. The Government consultation seeks views on whether it should set a minimum revenue share for local authorities</w:t>
      </w:r>
      <w:r w:rsidR="0031253A" w:rsidRPr="00ED27CB">
        <w:rPr>
          <w:rFonts w:ascii="Arial" w:hAnsi="Arial" w:cs="Arial"/>
          <w:color w:val="000000"/>
          <w:lang w:eastAsia="en-GB"/>
        </w:rPr>
        <w:t>.</w:t>
      </w:r>
    </w:p>
    <w:p w14:paraId="3D4DC2C8" w14:textId="70691572" w:rsidR="00EF56D8" w:rsidRPr="00ED27CB" w:rsidRDefault="0005105B" w:rsidP="00CF25BB">
      <w:pPr>
        <w:numPr>
          <w:ilvl w:val="0"/>
          <w:numId w:val="46"/>
        </w:numPr>
        <w:autoSpaceDE w:val="0"/>
        <w:autoSpaceDN w:val="0"/>
        <w:adjustRightInd w:val="0"/>
        <w:jc w:val="both"/>
        <w:rPr>
          <w:rFonts w:ascii="Arial" w:hAnsi="Arial" w:cs="Arial"/>
          <w:color w:val="000000"/>
          <w:lang w:eastAsia="en-GB"/>
        </w:rPr>
      </w:pPr>
      <w:r w:rsidRPr="0005105B">
        <w:rPr>
          <w:rFonts w:ascii="Arial" w:hAnsi="Arial" w:cs="Arial"/>
          <w:color w:val="000000"/>
          <w:lang w:eastAsia="en-GB"/>
        </w:rPr>
        <w:t>£48 million new funding to boost capacity in the planning system. This includes additional investment to recruit an extra 350 planners in England by expanding the Pathways to Planning Graduate Scheme and creating a new Planning Careers Hub to retain and retrain mid-career professionals</w:t>
      </w:r>
      <w:r w:rsidR="009A20A1" w:rsidRPr="00ED27CB">
        <w:rPr>
          <w:rFonts w:ascii="Arial" w:hAnsi="Arial" w:cs="Arial"/>
          <w:color w:val="000000"/>
          <w:lang w:eastAsia="en-GB"/>
        </w:rPr>
        <w:t>.</w:t>
      </w:r>
    </w:p>
    <w:p w14:paraId="344CE76B" w14:textId="43C7E055" w:rsidR="00636DC3" w:rsidRPr="00283EAD" w:rsidRDefault="00B44B61" w:rsidP="00CF25BB">
      <w:pPr>
        <w:numPr>
          <w:ilvl w:val="0"/>
          <w:numId w:val="46"/>
        </w:numPr>
        <w:autoSpaceDE w:val="0"/>
        <w:autoSpaceDN w:val="0"/>
        <w:adjustRightInd w:val="0"/>
        <w:jc w:val="both"/>
        <w:rPr>
          <w:rFonts w:ascii="Arial" w:hAnsi="Arial" w:cs="Arial"/>
          <w:color w:val="000000"/>
          <w:sz w:val="22"/>
          <w:szCs w:val="22"/>
          <w:lang w:eastAsia="en-GB"/>
        </w:rPr>
      </w:pPr>
      <w:r w:rsidRPr="00ED27CB">
        <w:rPr>
          <w:rFonts w:ascii="Arial" w:hAnsi="Arial" w:cs="Arial"/>
          <w:lang w:eastAsia="en-GB"/>
        </w:rPr>
        <w:t xml:space="preserve">The Government has postponed publication of its plans for reform of special educational needs provision early in the new year. </w:t>
      </w:r>
      <w:r w:rsidR="00EF56D8" w:rsidRPr="00ED27CB">
        <w:rPr>
          <w:rFonts w:ascii="Arial" w:hAnsi="Arial" w:cs="Arial"/>
          <w:lang w:eastAsia="en-GB"/>
        </w:rPr>
        <w:t xml:space="preserve">Future funding implications will be managed within the overall government DEL envelope, such that the government would not expect local authorities to need to fund future special educational needs costs from general funds, once the Statutory Override ends at the end of 2027/28. </w:t>
      </w:r>
    </w:p>
    <w:p w14:paraId="0556B4EA" w14:textId="2C42448D" w:rsidR="00636DC3" w:rsidRPr="00ED27CB" w:rsidRDefault="00711083" w:rsidP="00CF25BB">
      <w:pPr>
        <w:pStyle w:val="ListParagraph"/>
        <w:numPr>
          <w:ilvl w:val="0"/>
          <w:numId w:val="46"/>
        </w:numPr>
        <w:autoSpaceDE w:val="0"/>
        <w:autoSpaceDN w:val="0"/>
        <w:adjustRightInd w:val="0"/>
        <w:spacing w:after="0" w:line="240" w:lineRule="auto"/>
        <w:jc w:val="both"/>
        <w:rPr>
          <w:rFonts w:ascii="Arial" w:hAnsi="Arial" w:cs="Arial"/>
          <w:color w:val="000000"/>
          <w:sz w:val="24"/>
          <w:szCs w:val="24"/>
          <w:lang w:eastAsia="en-GB"/>
        </w:rPr>
      </w:pPr>
      <w:r w:rsidRPr="00ED27CB">
        <w:rPr>
          <w:rFonts w:ascii="Arial" w:hAnsi="Arial" w:cs="Arial"/>
          <w:color w:val="000000"/>
          <w:sz w:val="24"/>
          <w:szCs w:val="24"/>
          <w:lang w:eastAsia="en-GB"/>
        </w:rPr>
        <w:t>The a</w:t>
      </w:r>
      <w:r w:rsidR="00636DC3" w:rsidRPr="00ED27CB">
        <w:rPr>
          <w:rFonts w:ascii="Arial" w:hAnsi="Arial" w:cs="Arial"/>
          <w:color w:val="000000"/>
          <w:sz w:val="24"/>
          <w:szCs w:val="24"/>
          <w:lang w:eastAsia="en-GB"/>
        </w:rPr>
        <w:t xml:space="preserve">dministration of pensioner Housing Benefit and Pension Credit </w:t>
      </w:r>
      <w:r w:rsidR="00D15BB9" w:rsidRPr="00ED27CB">
        <w:rPr>
          <w:rFonts w:ascii="Arial" w:hAnsi="Arial" w:cs="Arial"/>
          <w:color w:val="000000"/>
          <w:sz w:val="24"/>
          <w:szCs w:val="24"/>
          <w:lang w:eastAsia="en-GB"/>
        </w:rPr>
        <w:t>will</w:t>
      </w:r>
      <w:r w:rsidR="00636DC3" w:rsidRPr="00ED27CB">
        <w:rPr>
          <w:rFonts w:ascii="Arial" w:hAnsi="Arial" w:cs="Arial"/>
          <w:color w:val="000000"/>
          <w:sz w:val="24"/>
          <w:szCs w:val="24"/>
          <w:lang w:eastAsia="en-GB"/>
        </w:rPr>
        <w:t xml:space="preserve"> be brought together from Autumn 2026. </w:t>
      </w:r>
    </w:p>
    <w:p w14:paraId="53B24F78" w14:textId="77777777" w:rsidR="007B2433" w:rsidRPr="00ED27CB" w:rsidRDefault="007B2433" w:rsidP="00CF25BB">
      <w:pPr>
        <w:pStyle w:val="ListParagraph"/>
        <w:numPr>
          <w:ilvl w:val="0"/>
          <w:numId w:val="46"/>
        </w:numPr>
        <w:autoSpaceDE w:val="0"/>
        <w:autoSpaceDN w:val="0"/>
        <w:adjustRightInd w:val="0"/>
        <w:spacing w:after="0" w:line="240" w:lineRule="auto"/>
        <w:jc w:val="both"/>
        <w:rPr>
          <w:rFonts w:ascii="Arial" w:hAnsi="Arial" w:cs="Arial"/>
          <w:color w:val="000000"/>
          <w:sz w:val="24"/>
          <w:szCs w:val="24"/>
          <w:lang w:eastAsia="en-GB"/>
        </w:rPr>
      </w:pPr>
      <w:r w:rsidRPr="00ED27CB">
        <w:rPr>
          <w:rFonts w:ascii="Arial" w:hAnsi="Arial" w:cs="Arial"/>
          <w:color w:val="000000"/>
          <w:sz w:val="24"/>
          <w:szCs w:val="24"/>
          <w:lang w:eastAsia="en-GB"/>
        </w:rPr>
        <w:t xml:space="preserve">The government will provide an additional £1.5 billion capital investment to tackle fuel poverty through the Warm Homes Plan, in addition to the £13.2 billion of funding allocated at Spending Review 2025. </w:t>
      </w:r>
    </w:p>
    <w:p w14:paraId="6ACE8433" w14:textId="39705AD4" w:rsidR="009A20A1" w:rsidRPr="0005105B" w:rsidRDefault="009A20A1" w:rsidP="00CF25BB">
      <w:pPr>
        <w:numPr>
          <w:ilvl w:val="0"/>
          <w:numId w:val="46"/>
        </w:numPr>
        <w:autoSpaceDE w:val="0"/>
        <w:autoSpaceDN w:val="0"/>
        <w:adjustRightInd w:val="0"/>
        <w:jc w:val="both"/>
        <w:rPr>
          <w:rFonts w:ascii="Arial" w:hAnsi="Arial" w:cs="Arial"/>
          <w:color w:val="000000"/>
          <w:lang w:eastAsia="en-GB"/>
        </w:rPr>
      </w:pPr>
      <w:r w:rsidRPr="009A20A1">
        <w:rPr>
          <w:rFonts w:ascii="Arial" w:hAnsi="Arial" w:cs="Arial"/>
          <w:color w:val="000000"/>
          <w:lang w:eastAsia="en-GB"/>
        </w:rPr>
        <w:t>The Government has said it will save over £250 million 2030</w:t>
      </w:r>
      <w:r w:rsidR="009F74B8" w:rsidRPr="00ED27CB">
        <w:rPr>
          <w:rFonts w:ascii="Arial" w:hAnsi="Arial" w:cs="Arial"/>
          <w:color w:val="000000"/>
          <w:lang w:eastAsia="en-GB"/>
        </w:rPr>
        <w:t>/</w:t>
      </w:r>
      <w:r w:rsidRPr="009A20A1">
        <w:rPr>
          <w:rFonts w:ascii="Arial" w:hAnsi="Arial" w:cs="Arial"/>
          <w:color w:val="000000"/>
          <w:lang w:eastAsia="en-GB"/>
        </w:rPr>
        <w:t xml:space="preserve">31 by ‘cutting the cost of politics’. This figure includes abolishing Police and Crime Commissioners and re-organising local government structures, “with the potential if reducing the number of councillors in local authorities by around 5,000” to generate savings and streamline accountability in local areas. </w:t>
      </w:r>
    </w:p>
    <w:p w14:paraId="0BAE9C7C" w14:textId="5E608DE6" w:rsidR="00AF0A33" w:rsidRPr="00AF0A33" w:rsidRDefault="00AF0A33" w:rsidP="00CF25BB">
      <w:pPr>
        <w:numPr>
          <w:ilvl w:val="0"/>
          <w:numId w:val="46"/>
        </w:numPr>
        <w:autoSpaceDE w:val="0"/>
        <w:autoSpaceDN w:val="0"/>
        <w:adjustRightInd w:val="0"/>
        <w:jc w:val="both"/>
        <w:rPr>
          <w:rFonts w:ascii="Arial" w:hAnsi="Arial" w:cs="Arial"/>
          <w:color w:val="000000"/>
          <w:lang w:eastAsia="en-GB"/>
        </w:rPr>
      </w:pPr>
      <w:r w:rsidRPr="00AF0A33">
        <w:rPr>
          <w:rFonts w:ascii="Arial" w:hAnsi="Arial" w:cs="Arial"/>
          <w:color w:val="000000"/>
          <w:lang w:eastAsia="en-GB"/>
        </w:rPr>
        <w:t>£18m over two years for up to 200 playgrounds across England</w:t>
      </w:r>
      <w:r w:rsidR="00124CC3" w:rsidRPr="00ED27CB">
        <w:rPr>
          <w:rFonts w:ascii="Arial" w:hAnsi="Arial" w:cs="Arial"/>
          <w:color w:val="000000"/>
          <w:lang w:eastAsia="en-GB"/>
        </w:rPr>
        <w:t xml:space="preserve">, although </w:t>
      </w:r>
      <w:r w:rsidR="00603208" w:rsidRPr="00ED27CB">
        <w:rPr>
          <w:rFonts w:ascii="Arial" w:hAnsi="Arial" w:cs="Arial"/>
          <w:color w:val="000000"/>
          <w:lang w:eastAsia="en-GB"/>
        </w:rPr>
        <w:t xml:space="preserve">it is unclear whether this </w:t>
      </w:r>
      <w:r w:rsidR="00341C2F" w:rsidRPr="00ED27CB">
        <w:rPr>
          <w:rFonts w:ascii="Arial" w:hAnsi="Arial" w:cs="Arial"/>
          <w:color w:val="000000"/>
          <w:lang w:eastAsia="en-GB"/>
        </w:rPr>
        <w:t>will be routed through local authorities</w:t>
      </w:r>
      <w:r w:rsidRPr="00AF0A33">
        <w:rPr>
          <w:rFonts w:ascii="Arial" w:hAnsi="Arial" w:cs="Arial"/>
          <w:color w:val="000000"/>
          <w:lang w:eastAsia="en-GB"/>
        </w:rPr>
        <w:t xml:space="preserve">. </w:t>
      </w:r>
    </w:p>
    <w:p w14:paraId="31E051C7" w14:textId="77777777" w:rsidR="009B4B72" w:rsidRPr="009B4B72" w:rsidRDefault="009B4B72" w:rsidP="00CF25BB">
      <w:pPr>
        <w:numPr>
          <w:ilvl w:val="0"/>
          <w:numId w:val="46"/>
        </w:numPr>
        <w:autoSpaceDE w:val="0"/>
        <w:autoSpaceDN w:val="0"/>
        <w:adjustRightInd w:val="0"/>
        <w:jc w:val="both"/>
        <w:rPr>
          <w:rFonts w:ascii="Arial" w:hAnsi="Arial" w:cs="Arial"/>
          <w:color w:val="000000"/>
          <w:lang w:eastAsia="en-GB"/>
        </w:rPr>
      </w:pPr>
      <w:r w:rsidRPr="009B4B72">
        <w:rPr>
          <w:rFonts w:ascii="Arial" w:hAnsi="Arial" w:cs="Arial"/>
          <w:color w:val="000000"/>
          <w:lang w:eastAsia="en-GB"/>
        </w:rPr>
        <w:t xml:space="preserve">The Government has delayed its response to the consultation on Social Rent convergence until January 2026. </w:t>
      </w:r>
    </w:p>
    <w:p w14:paraId="3726DEB0" w14:textId="77777777" w:rsidR="00EC4B8F" w:rsidRDefault="00EC4B8F" w:rsidP="00790FC0">
      <w:pPr>
        <w:autoSpaceDE w:val="0"/>
        <w:autoSpaceDN w:val="0"/>
        <w:adjustRightInd w:val="0"/>
        <w:rPr>
          <w:rFonts w:ascii="Arial" w:hAnsi="Arial" w:cs="Arial"/>
          <w:highlight w:val="yellow"/>
        </w:rPr>
      </w:pPr>
    </w:p>
    <w:p w14:paraId="026E4A66" w14:textId="77D1B9A9" w:rsidR="004C676F" w:rsidRDefault="006C74AE" w:rsidP="00C7065B">
      <w:pPr>
        <w:jc w:val="both"/>
        <w:rPr>
          <w:rFonts w:ascii="Arial" w:hAnsi="Arial" w:cs="Arial"/>
          <w:highlight w:val="yellow"/>
        </w:rPr>
      </w:pPr>
      <w:r>
        <w:rPr>
          <w:rFonts w:ascii="Arial" w:hAnsi="Arial" w:cs="Arial"/>
        </w:rPr>
        <w:t>While on the face of it, it would appear the S</w:t>
      </w:r>
      <w:r w:rsidR="007067B4">
        <w:rPr>
          <w:rFonts w:ascii="Arial" w:hAnsi="Arial" w:cs="Arial"/>
        </w:rPr>
        <w:t>R25</w:t>
      </w:r>
      <w:r>
        <w:rPr>
          <w:rFonts w:ascii="Arial" w:hAnsi="Arial" w:cs="Arial"/>
        </w:rPr>
        <w:t xml:space="preserve"> was a reasonable one for local government, when </w:t>
      </w:r>
      <w:r w:rsidRPr="00CB320D">
        <w:rPr>
          <w:rFonts w:ascii="Arial" w:hAnsi="Arial" w:cs="Arial"/>
        </w:rPr>
        <w:t xml:space="preserve">compared with </w:t>
      </w:r>
      <w:r>
        <w:rPr>
          <w:rFonts w:ascii="Arial" w:hAnsi="Arial" w:cs="Arial"/>
        </w:rPr>
        <w:t xml:space="preserve">the </w:t>
      </w:r>
      <w:r w:rsidRPr="00CB320D">
        <w:rPr>
          <w:rFonts w:ascii="Arial" w:hAnsi="Arial" w:cs="Arial"/>
        </w:rPr>
        <w:t>bleak predictions made in the run up</w:t>
      </w:r>
      <w:r>
        <w:rPr>
          <w:rFonts w:ascii="Arial" w:hAnsi="Arial" w:cs="Arial"/>
        </w:rPr>
        <w:t xml:space="preserve"> to it and in comparison to the unprotected departments, the sums announced</w:t>
      </w:r>
      <w:r w:rsidRPr="00D93097">
        <w:rPr>
          <w:rFonts w:ascii="Arial" w:hAnsi="Arial" w:cs="Arial"/>
        </w:rPr>
        <w:t xml:space="preserve"> </w:t>
      </w:r>
      <w:r>
        <w:rPr>
          <w:rFonts w:ascii="Arial" w:hAnsi="Arial" w:cs="Arial"/>
        </w:rPr>
        <w:t xml:space="preserve">still </w:t>
      </w:r>
      <w:r w:rsidRPr="00D93097">
        <w:rPr>
          <w:rFonts w:ascii="Arial" w:hAnsi="Arial" w:cs="Arial"/>
        </w:rPr>
        <w:t>fall short of filling the projected funding gap</w:t>
      </w:r>
      <w:r>
        <w:rPr>
          <w:rFonts w:ascii="Arial" w:hAnsi="Arial" w:cs="Arial"/>
        </w:rPr>
        <w:t xml:space="preserve"> across the sector</w:t>
      </w:r>
      <w:r w:rsidR="00CC52DA">
        <w:rPr>
          <w:rFonts w:ascii="Arial" w:hAnsi="Arial" w:cs="Arial"/>
        </w:rPr>
        <w:t xml:space="preserve">.  </w:t>
      </w:r>
      <w:r w:rsidR="005B51B6" w:rsidRPr="00E81271">
        <w:rPr>
          <w:rFonts w:ascii="Arial" w:hAnsi="Arial" w:cs="Arial"/>
        </w:rPr>
        <w:t xml:space="preserve">In this context, the announcement </w:t>
      </w:r>
      <w:r w:rsidR="005B51B6">
        <w:rPr>
          <w:rFonts w:ascii="Arial" w:hAnsi="Arial" w:cs="Arial"/>
        </w:rPr>
        <w:t xml:space="preserve">in the Budget </w:t>
      </w:r>
      <w:r w:rsidR="005B51B6" w:rsidRPr="00E81271">
        <w:rPr>
          <w:rFonts w:ascii="Arial" w:hAnsi="Arial" w:cs="Arial"/>
        </w:rPr>
        <w:t>of a 0.5</w:t>
      </w:r>
      <w:r w:rsidR="005B51B6">
        <w:rPr>
          <w:rFonts w:ascii="Arial" w:hAnsi="Arial" w:cs="Arial"/>
        </w:rPr>
        <w:t>%</w:t>
      </w:r>
      <w:r w:rsidR="005B51B6" w:rsidRPr="00E81271">
        <w:rPr>
          <w:rFonts w:ascii="Arial" w:hAnsi="Arial" w:cs="Arial"/>
        </w:rPr>
        <w:t xml:space="preserve"> reduction in departmental budgets in 2028/29 relative to the 2025 Spending Review is a concern.</w:t>
      </w:r>
      <w:r w:rsidR="005B51B6">
        <w:rPr>
          <w:rFonts w:ascii="Arial" w:hAnsi="Arial" w:cs="Arial"/>
        </w:rPr>
        <w:t xml:space="preserve">  </w:t>
      </w:r>
      <w:r w:rsidR="002A2241">
        <w:rPr>
          <w:rFonts w:ascii="Arial" w:hAnsi="Arial" w:cs="Arial"/>
        </w:rPr>
        <w:t xml:space="preserve">The funding envelope for local government does not provide the resources </w:t>
      </w:r>
      <w:r w:rsidR="00EE605B">
        <w:rPr>
          <w:rFonts w:ascii="Arial" w:hAnsi="Arial" w:cs="Arial"/>
        </w:rPr>
        <w:t xml:space="preserve">councils </w:t>
      </w:r>
      <w:r w:rsidR="00C7065B" w:rsidRPr="00EE605B">
        <w:rPr>
          <w:rFonts w:ascii="Arial" w:hAnsi="Arial" w:cs="Arial"/>
        </w:rPr>
        <w:t>u</w:t>
      </w:r>
      <w:r w:rsidR="004C676F" w:rsidRPr="00EE605B">
        <w:rPr>
          <w:rFonts w:ascii="Arial" w:hAnsi="Arial" w:cs="Arial"/>
        </w:rPr>
        <w:t>rgently need to ensure their financial sustainability, protect services and support local communities.</w:t>
      </w:r>
    </w:p>
    <w:p w14:paraId="7B728DD0" w14:textId="77777777" w:rsidR="00D60D97" w:rsidRPr="007752B4" w:rsidRDefault="00D60D97" w:rsidP="007D5F8E">
      <w:pPr>
        <w:autoSpaceDE w:val="0"/>
        <w:autoSpaceDN w:val="0"/>
        <w:adjustRightInd w:val="0"/>
        <w:jc w:val="both"/>
        <w:rPr>
          <w:rFonts w:ascii="Arial" w:eastAsia="Calibri" w:hAnsi="Arial" w:cs="Arial"/>
          <w:b/>
          <w:color w:val="000000"/>
          <w:highlight w:val="yellow"/>
        </w:rPr>
      </w:pPr>
    </w:p>
    <w:p w14:paraId="76D8C466" w14:textId="1291045F" w:rsidR="00AB09FF" w:rsidRPr="00BD7331" w:rsidRDefault="00D9316E" w:rsidP="00A65893">
      <w:pPr>
        <w:autoSpaceDE w:val="0"/>
        <w:autoSpaceDN w:val="0"/>
        <w:adjustRightInd w:val="0"/>
        <w:jc w:val="both"/>
        <w:rPr>
          <w:rFonts w:ascii="Arial" w:eastAsia="Calibri" w:hAnsi="Arial" w:cs="Arial"/>
          <w:b/>
          <w:color w:val="000000"/>
        </w:rPr>
      </w:pPr>
      <w:r w:rsidRPr="00BD7331">
        <w:rPr>
          <w:rFonts w:ascii="Arial" w:eastAsia="Calibri" w:hAnsi="Arial" w:cs="Arial"/>
          <w:b/>
          <w:color w:val="000000"/>
        </w:rPr>
        <w:t xml:space="preserve">Fair Funding Review </w:t>
      </w:r>
      <w:r w:rsidR="00F86893" w:rsidRPr="00BD7331">
        <w:rPr>
          <w:rFonts w:ascii="Arial" w:eastAsia="Calibri" w:hAnsi="Arial" w:cs="Arial"/>
          <w:b/>
          <w:color w:val="000000"/>
        </w:rPr>
        <w:t xml:space="preserve">(FFR 2.0) </w:t>
      </w:r>
      <w:r w:rsidRPr="00BD7331">
        <w:rPr>
          <w:rFonts w:ascii="Arial" w:eastAsia="Calibri" w:hAnsi="Arial" w:cs="Arial"/>
          <w:b/>
          <w:color w:val="000000"/>
        </w:rPr>
        <w:t>and Business Rates Reset</w:t>
      </w:r>
    </w:p>
    <w:p w14:paraId="21C47DA7" w14:textId="77777777" w:rsidR="00D9316E" w:rsidRPr="007752B4" w:rsidRDefault="00D9316E" w:rsidP="00A65893">
      <w:pPr>
        <w:autoSpaceDE w:val="0"/>
        <w:autoSpaceDN w:val="0"/>
        <w:adjustRightInd w:val="0"/>
        <w:jc w:val="both"/>
        <w:rPr>
          <w:rFonts w:ascii="Arial" w:eastAsia="Calibri" w:hAnsi="Arial" w:cs="Arial"/>
          <w:b/>
          <w:color w:val="000000"/>
          <w:highlight w:val="yellow"/>
        </w:rPr>
      </w:pPr>
    </w:p>
    <w:p w14:paraId="6C68EFFD" w14:textId="39C185AE" w:rsidR="00E359DB" w:rsidRDefault="00E359DB" w:rsidP="00E359DB">
      <w:pPr>
        <w:autoSpaceDE w:val="0"/>
        <w:autoSpaceDN w:val="0"/>
        <w:adjustRightInd w:val="0"/>
        <w:jc w:val="both"/>
        <w:rPr>
          <w:rFonts w:ascii="Arial" w:hAnsi="Arial" w:cs="Arial"/>
        </w:rPr>
      </w:pPr>
      <w:r>
        <w:rPr>
          <w:rFonts w:ascii="Arial" w:hAnsi="Arial" w:cs="Arial"/>
        </w:rPr>
        <w:t xml:space="preserve">While the Spending Review and Budget 2025 set the overall financial envelope for local government funding, the distribution of this to individual authorities </w:t>
      </w:r>
      <w:r w:rsidR="00F86893">
        <w:rPr>
          <w:rFonts w:ascii="Arial" w:hAnsi="Arial" w:cs="Arial"/>
        </w:rPr>
        <w:t>has been</w:t>
      </w:r>
      <w:r>
        <w:rPr>
          <w:rFonts w:ascii="Arial" w:hAnsi="Arial" w:cs="Arial"/>
        </w:rPr>
        <w:t xml:space="preserve"> </w:t>
      </w:r>
      <w:r w:rsidR="00F86893">
        <w:rPr>
          <w:rFonts w:ascii="Arial" w:hAnsi="Arial" w:cs="Arial"/>
        </w:rPr>
        <w:t xml:space="preserve">significantly </w:t>
      </w:r>
      <w:r>
        <w:rPr>
          <w:rFonts w:ascii="Arial" w:hAnsi="Arial" w:cs="Arial"/>
        </w:rPr>
        <w:t>reform</w:t>
      </w:r>
      <w:r w:rsidR="00F86893">
        <w:rPr>
          <w:rFonts w:ascii="Arial" w:hAnsi="Arial" w:cs="Arial"/>
        </w:rPr>
        <w:t>ed</w:t>
      </w:r>
      <w:r>
        <w:rPr>
          <w:rFonts w:ascii="Arial" w:hAnsi="Arial" w:cs="Arial"/>
        </w:rPr>
        <w:t xml:space="preserve"> through t</w:t>
      </w:r>
      <w:r w:rsidRPr="00572F5F">
        <w:rPr>
          <w:rFonts w:ascii="Arial" w:hAnsi="Arial" w:cs="Arial"/>
        </w:rPr>
        <w:t xml:space="preserve">he FFR 2.0. </w:t>
      </w:r>
      <w:r w:rsidRPr="00F16D68">
        <w:rPr>
          <w:rFonts w:ascii="Arial" w:hAnsi="Arial" w:cs="Arial"/>
        </w:rPr>
        <w:t xml:space="preserve">The history of </w:t>
      </w:r>
      <w:r>
        <w:rPr>
          <w:rFonts w:ascii="Arial" w:hAnsi="Arial" w:cs="Arial"/>
        </w:rPr>
        <w:t>the FFR</w:t>
      </w:r>
      <w:r w:rsidRPr="00F16D68">
        <w:rPr>
          <w:rFonts w:ascii="Arial" w:hAnsi="Arial" w:cs="Arial"/>
        </w:rPr>
        <w:t xml:space="preserve"> goes back a number of years</w:t>
      </w:r>
      <w:r>
        <w:rPr>
          <w:rFonts w:ascii="Arial" w:hAnsi="Arial" w:cs="Arial"/>
        </w:rPr>
        <w:t xml:space="preserve"> to 2018-2020. However, </w:t>
      </w:r>
      <w:r w:rsidRPr="00F16D68">
        <w:rPr>
          <w:rFonts w:ascii="Arial" w:hAnsi="Arial" w:cs="Arial"/>
        </w:rPr>
        <w:t>implementation has been successively delayed</w:t>
      </w:r>
      <w:r>
        <w:rPr>
          <w:rFonts w:ascii="Arial" w:hAnsi="Arial" w:cs="Arial"/>
        </w:rPr>
        <w:t>,</w:t>
      </w:r>
      <w:r w:rsidRPr="00F16D68">
        <w:rPr>
          <w:rFonts w:ascii="Arial" w:hAnsi="Arial" w:cs="Arial"/>
        </w:rPr>
        <w:t xml:space="preserve"> primarily due to</w:t>
      </w:r>
      <w:r>
        <w:rPr>
          <w:rFonts w:ascii="Arial" w:hAnsi="Arial" w:cs="Arial"/>
        </w:rPr>
        <w:t>;</w:t>
      </w:r>
      <w:r w:rsidRPr="00F16D68">
        <w:rPr>
          <w:rFonts w:ascii="Arial" w:hAnsi="Arial" w:cs="Arial"/>
        </w:rPr>
        <w:t xml:space="preserve"> Covid19</w:t>
      </w:r>
      <w:r>
        <w:rPr>
          <w:rFonts w:ascii="Arial" w:hAnsi="Arial" w:cs="Arial"/>
        </w:rPr>
        <w:t xml:space="preserve">; </w:t>
      </w:r>
      <w:r w:rsidRPr="00F16D68">
        <w:rPr>
          <w:rFonts w:ascii="Arial" w:hAnsi="Arial" w:cs="Arial"/>
        </w:rPr>
        <w:t>Brexit</w:t>
      </w:r>
      <w:r>
        <w:rPr>
          <w:rFonts w:ascii="Arial" w:hAnsi="Arial" w:cs="Arial"/>
        </w:rPr>
        <w:t>; in order to provide local authorities with financial stability while responding to the economic shocks experienced; and</w:t>
      </w:r>
      <w:r w:rsidR="00010E87">
        <w:rPr>
          <w:rFonts w:ascii="Arial" w:hAnsi="Arial" w:cs="Arial"/>
        </w:rPr>
        <w:t xml:space="preserve"> following the last</w:t>
      </w:r>
      <w:r>
        <w:rPr>
          <w:rFonts w:ascii="Arial" w:hAnsi="Arial" w:cs="Arial"/>
        </w:rPr>
        <w:t xml:space="preserve"> General Election.  This review has been long awaited by the sector and </w:t>
      </w:r>
      <w:r w:rsidRPr="00572F5F">
        <w:rPr>
          <w:rFonts w:ascii="Arial" w:hAnsi="Arial" w:cs="Arial"/>
        </w:rPr>
        <w:t xml:space="preserve">represents a significant reform of the local government funding system in England, with implementation planned for the 2026/27 financial year. The review aims to overhaul the outdated funding allocation formulae, last comprehensively updated in 2013, to </w:t>
      </w:r>
      <w:r w:rsidR="00EA5A15">
        <w:rPr>
          <w:rFonts w:ascii="Arial" w:hAnsi="Arial" w:cs="Arial"/>
        </w:rPr>
        <w:t xml:space="preserve">introduce a fairer, simpler and more transparent </w:t>
      </w:r>
      <w:r w:rsidR="00B076B7">
        <w:rPr>
          <w:rFonts w:ascii="Arial" w:hAnsi="Arial" w:cs="Arial"/>
        </w:rPr>
        <w:t xml:space="preserve">system for allocation local government finance that </w:t>
      </w:r>
      <w:r w:rsidRPr="00572F5F">
        <w:rPr>
          <w:rFonts w:ascii="Arial" w:hAnsi="Arial" w:cs="Arial"/>
        </w:rPr>
        <w:t xml:space="preserve">better reflect current needs, service delivery costs, and local revenue-raising capacities. </w:t>
      </w:r>
    </w:p>
    <w:p w14:paraId="7BF367A9" w14:textId="77777777" w:rsidR="003F3146" w:rsidRPr="007752B4" w:rsidRDefault="003F3146" w:rsidP="005B562C">
      <w:pPr>
        <w:pStyle w:val="Style1"/>
        <w:keepNext w:val="0"/>
        <w:keepLines w:val="0"/>
        <w:widowControl w:val="0"/>
        <w:numPr>
          <w:ilvl w:val="0"/>
          <w:numId w:val="0"/>
        </w:numPr>
        <w:pBdr>
          <w:top w:val="nil"/>
          <w:left w:val="nil"/>
          <w:bottom w:val="nil"/>
          <w:right w:val="nil"/>
          <w:between w:val="nil"/>
          <w:bar w:val="nil"/>
        </w:pBdr>
        <w:spacing w:before="0" w:after="0" w:line="240" w:lineRule="auto"/>
        <w:rPr>
          <w:color w:val="auto"/>
          <w:sz w:val="24"/>
          <w:szCs w:val="24"/>
          <w:highlight w:val="yellow"/>
        </w:rPr>
      </w:pPr>
    </w:p>
    <w:p w14:paraId="6F480ED2" w14:textId="717279F9" w:rsidR="0061448A" w:rsidRDefault="00B50E86" w:rsidP="0061448A">
      <w:pPr>
        <w:pStyle w:val="Style1"/>
        <w:keepNext w:val="0"/>
        <w:keepLines w:val="0"/>
        <w:widowControl w:val="0"/>
        <w:numPr>
          <w:ilvl w:val="0"/>
          <w:numId w:val="0"/>
        </w:numPr>
        <w:pBdr>
          <w:top w:val="nil"/>
          <w:left w:val="nil"/>
          <w:bottom w:val="nil"/>
          <w:right w:val="nil"/>
          <w:between w:val="nil"/>
          <w:bar w:val="nil"/>
        </w:pBdr>
        <w:spacing w:before="0" w:after="0" w:line="240" w:lineRule="auto"/>
        <w:ind w:left="1134" w:hanging="1134"/>
        <w:rPr>
          <w:color w:val="auto"/>
          <w:sz w:val="24"/>
          <w:szCs w:val="24"/>
        </w:rPr>
      </w:pPr>
      <w:r w:rsidRPr="00B50E86">
        <w:rPr>
          <w:color w:val="auto"/>
          <w:sz w:val="24"/>
          <w:szCs w:val="24"/>
        </w:rPr>
        <w:t>The</w:t>
      </w:r>
      <w:r>
        <w:rPr>
          <w:color w:val="auto"/>
          <w:sz w:val="24"/>
          <w:szCs w:val="24"/>
        </w:rPr>
        <w:t xml:space="preserve"> </w:t>
      </w:r>
      <w:r w:rsidR="00357FAE">
        <w:rPr>
          <w:color w:val="auto"/>
          <w:sz w:val="24"/>
          <w:szCs w:val="24"/>
        </w:rPr>
        <w:t xml:space="preserve">key </w:t>
      </w:r>
      <w:r w:rsidR="000C16BC">
        <w:rPr>
          <w:color w:val="auto"/>
          <w:sz w:val="24"/>
          <w:szCs w:val="24"/>
        </w:rPr>
        <w:t>points from the outcome of the review include:</w:t>
      </w:r>
    </w:p>
    <w:p w14:paraId="2821DB22" w14:textId="77777777" w:rsidR="0061448A" w:rsidRDefault="0061448A" w:rsidP="0061448A">
      <w:pPr>
        <w:pStyle w:val="Style1"/>
        <w:keepNext w:val="0"/>
        <w:keepLines w:val="0"/>
        <w:widowControl w:val="0"/>
        <w:numPr>
          <w:ilvl w:val="0"/>
          <w:numId w:val="0"/>
        </w:numPr>
        <w:pBdr>
          <w:top w:val="nil"/>
          <w:left w:val="nil"/>
          <w:bottom w:val="nil"/>
          <w:right w:val="nil"/>
          <w:between w:val="nil"/>
          <w:bar w:val="nil"/>
        </w:pBdr>
        <w:spacing w:before="0" w:after="0" w:line="240" w:lineRule="auto"/>
        <w:ind w:left="1134" w:hanging="1134"/>
        <w:rPr>
          <w:color w:val="auto"/>
          <w:sz w:val="24"/>
          <w:szCs w:val="24"/>
        </w:rPr>
      </w:pPr>
    </w:p>
    <w:p w14:paraId="7D4F2C4C" w14:textId="16D4D3FD" w:rsidR="00E35A77" w:rsidRDefault="008F25B8" w:rsidP="00CF25BB">
      <w:pPr>
        <w:pStyle w:val="Style1"/>
        <w:keepNext w:val="0"/>
        <w:keepLines w:val="0"/>
        <w:widowControl w:val="0"/>
        <w:numPr>
          <w:ilvl w:val="0"/>
          <w:numId w:val="47"/>
        </w:numPr>
        <w:pBdr>
          <w:top w:val="nil"/>
          <w:left w:val="nil"/>
          <w:bottom w:val="nil"/>
          <w:right w:val="nil"/>
          <w:between w:val="nil"/>
          <w:bar w:val="nil"/>
        </w:pBdr>
        <w:spacing w:before="0" w:after="0" w:line="240" w:lineRule="auto"/>
        <w:rPr>
          <w:color w:val="auto"/>
          <w:sz w:val="24"/>
          <w:szCs w:val="24"/>
        </w:rPr>
      </w:pPr>
      <w:r w:rsidRPr="00E35A77">
        <w:rPr>
          <w:color w:val="auto"/>
          <w:sz w:val="24"/>
          <w:szCs w:val="24"/>
        </w:rPr>
        <w:t>U</w:t>
      </w:r>
      <w:r w:rsidR="00DA3DF9" w:rsidRPr="00DA3DF9">
        <w:rPr>
          <w:color w:val="auto"/>
          <w:sz w:val="24"/>
          <w:szCs w:val="24"/>
        </w:rPr>
        <w:t>pdated Funding Formulae: The outdated formulae for calculating councils' needs have been updated and reduced from 15 to 9, using the most recent data (including the 2025 English Indices of Multiple Deprivation</w:t>
      </w:r>
      <w:r w:rsidR="00A52089">
        <w:rPr>
          <w:color w:val="auto"/>
          <w:sz w:val="24"/>
          <w:szCs w:val="24"/>
        </w:rPr>
        <w:t xml:space="preserve"> (IMD)</w:t>
      </w:r>
      <w:r w:rsidR="00DA3DF9" w:rsidRPr="00DA3DF9">
        <w:rPr>
          <w:color w:val="auto"/>
          <w:sz w:val="24"/>
          <w:szCs w:val="24"/>
        </w:rPr>
        <w:t>) to better reflect actual demand and costs, especially in social care and areas with high deprivation.</w:t>
      </w:r>
    </w:p>
    <w:p w14:paraId="6D1039DE" w14:textId="77777777" w:rsidR="00134409" w:rsidRDefault="00134409" w:rsidP="00134409">
      <w:pPr>
        <w:pStyle w:val="Style1"/>
        <w:keepNext w:val="0"/>
        <w:keepLines w:val="0"/>
        <w:widowControl w:val="0"/>
        <w:numPr>
          <w:ilvl w:val="0"/>
          <w:numId w:val="0"/>
        </w:numPr>
        <w:pBdr>
          <w:top w:val="nil"/>
          <w:left w:val="nil"/>
          <w:bottom w:val="nil"/>
          <w:right w:val="nil"/>
          <w:between w:val="nil"/>
          <w:bar w:val="nil"/>
        </w:pBdr>
        <w:spacing w:before="0" w:after="0" w:line="240" w:lineRule="auto"/>
        <w:ind w:left="720"/>
        <w:rPr>
          <w:color w:val="auto"/>
          <w:sz w:val="24"/>
          <w:szCs w:val="24"/>
        </w:rPr>
      </w:pPr>
    </w:p>
    <w:p w14:paraId="61636967" w14:textId="2DF00C2F" w:rsidR="00E35A77" w:rsidRPr="00134409" w:rsidRDefault="00DA3DF9" w:rsidP="00CF25BB">
      <w:pPr>
        <w:pStyle w:val="Style1"/>
        <w:keepNext w:val="0"/>
        <w:keepLines w:val="0"/>
        <w:widowControl w:val="0"/>
        <w:numPr>
          <w:ilvl w:val="0"/>
          <w:numId w:val="47"/>
        </w:numPr>
        <w:pBdr>
          <w:top w:val="nil"/>
          <w:left w:val="nil"/>
          <w:bottom w:val="nil"/>
          <w:right w:val="nil"/>
          <w:between w:val="nil"/>
          <w:bar w:val="nil"/>
        </w:pBdr>
        <w:spacing w:before="0" w:after="0" w:line="240" w:lineRule="auto"/>
        <w:rPr>
          <w:color w:val="auto"/>
          <w:sz w:val="24"/>
          <w:szCs w:val="24"/>
        </w:rPr>
      </w:pPr>
      <w:r w:rsidRPr="00DA3DF9">
        <w:rPr>
          <w:color w:val="auto"/>
          <w:sz w:val="24"/>
          <w:szCs w:val="24"/>
        </w:rPr>
        <w:t>Funding Redistribution: The new system redistributes funding to target money where it is most needed, particularly benefiting more deprived areas that historically had lower council tax bases and suffered disproportionately from previous cuts. Some affluent areas, especially inner London boroughs, are set to see real-terms funding reductions.</w:t>
      </w:r>
    </w:p>
    <w:p w14:paraId="1767B1FB" w14:textId="77777777" w:rsidR="00E35A77" w:rsidRDefault="00E35A77" w:rsidP="00E35A77">
      <w:pPr>
        <w:pStyle w:val="Style1"/>
        <w:keepNext w:val="0"/>
        <w:keepLines w:val="0"/>
        <w:widowControl w:val="0"/>
        <w:numPr>
          <w:ilvl w:val="0"/>
          <w:numId w:val="0"/>
        </w:numPr>
        <w:pBdr>
          <w:top w:val="nil"/>
          <w:left w:val="nil"/>
          <w:bottom w:val="nil"/>
          <w:right w:val="nil"/>
          <w:between w:val="nil"/>
          <w:bar w:val="nil"/>
        </w:pBdr>
        <w:spacing w:before="0" w:after="0" w:line="240" w:lineRule="auto"/>
        <w:ind w:left="720"/>
        <w:rPr>
          <w:color w:val="auto"/>
          <w:sz w:val="24"/>
          <w:szCs w:val="24"/>
        </w:rPr>
      </w:pPr>
    </w:p>
    <w:p w14:paraId="3DCF6FC2" w14:textId="62D8CB25" w:rsidR="00E35A77" w:rsidRDefault="00DA3DF9" w:rsidP="00CF25BB">
      <w:pPr>
        <w:pStyle w:val="Style1"/>
        <w:keepNext w:val="0"/>
        <w:keepLines w:val="0"/>
        <w:widowControl w:val="0"/>
        <w:numPr>
          <w:ilvl w:val="0"/>
          <w:numId w:val="47"/>
        </w:numPr>
        <w:pBdr>
          <w:top w:val="nil"/>
          <w:left w:val="nil"/>
          <w:bottom w:val="nil"/>
          <w:right w:val="nil"/>
          <w:between w:val="nil"/>
          <w:bar w:val="nil"/>
        </w:pBdr>
        <w:spacing w:before="0" w:after="0" w:line="240" w:lineRule="auto"/>
        <w:rPr>
          <w:color w:val="auto"/>
          <w:sz w:val="24"/>
          <w:szCs w:val="24"/>
        </w:rPr>
      </w:pPr>
      <w:r w:rsidRPr="00DA3DF9">
        <w:rPr>
          <w:color w:val="auto"/>
          <w:sz w:val="24"/>
          <w:szCs w:val="24"/>
        </w:rPr>
        <w:t>Funding Simplification: Over 30 separate funding streams, worth nearly £47</w:t>
      </w:r>
      <w:r w:rsidR="000C3B2F" w:rsidRPr="00E35A77">
        <w:rPr>
          <w:color w:val="auto"/>
          <w:sz w:val="24"/>
          <w:szCs w:val="24"/>
        </w:rPr>
        <w:t>b</w:t>
      </w:r>
      <w:r w:rsidRPr="00DA3DF9">
        <w:rPr>
          <w:color w:val="auto"/>
          <w:sz w:val="24"/>
          <w:szCs w:val="24"/>
        </w:rPr>
        <w:t>n over three years, are being consolidated to reduce red tape and give local leaders more flexibility.</w:t>
      </w:r>
    </w:p>
    <w:p w14:paraId="3D9B787E" w14:textId="77777777" w:rsidR="00F55FD5" w:rsidRDefault="00F55FD5" w:rsidP="00F55FD5">
      <w:pPr>
        <w:pStyle w:val="Style1"/>
        <w:keepNext w:val="0"/>
        <w:keepLines w:val="0"/>
        <w:widowControl w:val="0"/>
        <w:numPr>
          <w:ilvl w:val="0"/>
          <w:numId w:val="0"/>
        </w:numPr>
        <w:pBdr>
          <w:top w:val="nil"/>
          <w:left w:val="nil"/>
          <w:bottom w:val="nil"/>
          <w:right w:val="nil"/>
          <w:between w:val="nil"/>
          <w:bar w:val="nil"/>
        </w:pBdr>
        <w:spacing w:before="0" w:after="0" w:line="240" w:lineRule="auto"/>
        <w:ind w:left="720"/>
        <w:rPr>
          <w:color w:val="auto"/>
          <w:sz w:val="24"/>
          <w:szCs w:val="24"/>
        </w:rPr>
      </w:pPr>
    </w:p>
    <w:p w14:paraId="59FF2910" w14:textId="77777777" w:rsidR="00E35A77" w:rsidRDefault="00DA3DF9" w:rsidP="00CF25BB">
      <w:pPr>
        <w:pStyle w:val="Style1"/>
        <w:keepNext w:val="0"/>
        <w:keepLines w:val="0"/>
        <w:widowControl w:val="0"/>
        <w:numPr>
          <w:ilvl w:val="1"/>
          <w:numId w:val="47"/>
        </w:numPr>
        <w:pBdr>
          <w:top w:val="nil"/>
          <w:left w:val="nil"/>
          <w:bottom w:val="nil"/>
          <w:right w:val="nil"/>
          <w:between w:val="nil"/>
          <w:bar w:val="nil"/>
        </w:pBdr>
        <w:spacing w:before="0" w:after="0" w:line="240" w:lineRule="auto"/>
        <w:rPr>
          <w:color w:val="auto"/>
          <w:sz w:val="24"/>
          <w:szCs w:val="24"/>
        </w:rPr>
      </w:pPr>
      <w:r w:rsidRPr="00DA3DF9">
        <w:rPr>
          <w:color w:val="auto"/>
          <w:sz w:val="24"/>
          <w:szCs w:val="24"/>
        </w:rPr>
        <w:t>£25.3 billion will be rolled into the unringfenced Revenue Support Grant.</w:t>
      </w:r>
    </w:p>
    <w:p w14:paraId="64E2D7D4" w14:textId="35AA04A5" w:rsidR="00F55FD5" w:rsidRDefault="00DA3DF9" w:rsidP="00CF25BB">
      <w:pPr>
        <w:pStyle w:val="Style1"/>
        <w:keepNext w:val="0"/>
        <w:keepLines w:val="0"/>
        <w:widowControl w:val="0"/>
        <w:numPr>
          <w:ilvl w:val="1"/>
          <w:numId w:val="47"/>
        </w:numPr>
        <w:pBdr>
          <w:top w:val="nil"/>
          <w:left w:val="nil"/>
          <w:bottom w:val="nil"/>
          <w:right w:val="nil"/>
          <w:between w:val="nil"/>
          <w:bar w:val="nil"/>
        </w:pBdr>
        <w:spacing w:before="0" w:after="0" w:line="240" w:lineRule="auto"/>
        <w:rPr>
          <w:color w:val="auto"/>
          <w:sz w:val="24"/>
          <w:szCs w:val="24"/>
        </w:rPr>
      </w:pPr>
      <w:r w:rsidRPr="00DA3DF9">
        <w:rPr>
          <w:color w:val="auto"/>
          <w:sz w:val="24"/>
          <w:szCs w:val="24"/>
        </w:rPr>
        <w:t>£21.5 billion will form four new consolidated, ringfenced grants for specific areas like Homelessness, Children, Families and Youth services, Public Health, and a Crisis and Resilience Fund</w:t>
      </w:r>
    </w:p>
    <w:p w14:paraId="476822DE" w14:textId="77777777" w:rsidR="00F55FD5" w:rsidRDefault="00F55FD5" w:rsidP="00F55FD5">
      <w:pPr>
        <w:pStyle w:val="Style1"/>
        <w:keepNext w:val="0"/>
        <w:keepLines w:val="0"/>
        <w:widowControl w:val="0"/>
        <w:numPr>
          <w:ilvl w:val="0"/>
          <w:numId w:val="0"/>
        </w:numPr>
        <w:pBdr>
          <w:top w:val="nil"/>
          <w:left w:val="nil"/>
          <w:bottom w:val="nil"/>
          <w:right w:val="nil"/>
          <w:between w:val="nil"/>
          <w:bar w:val="nil"/>
        </w:pBdr>
        <w:spacing w:before="0" w:after="0" w:line="240" w:lineRule="auto"/>
        <w:ind w:left="1440"/>
        <w:rPr>
          <w:color w:val="auto"/>
          <w:sz w:val="24"/>
          <w:szCs w:val="24"/>
        </w:rPr>
      </w:pPr>
    </w:p>
    <w:p w14:paraId="7FA61DD0" w14:textId="7C6D1369" w:rsidR="00F55FD5" w:rsidRDefault="00DA3DF9" w:rsidP="00CF25BB">
      <w:pPr>
        <w:pStyle w:val="Style1"/>
        <w:keepNext w:val="0"/>
        <w:keepLines w:val="0"/>
        <w:widowControl w:val="0"/>
        <w:numPr>
          <w:ilvl w:val="0"/>
          <w:numId w:val="47"/>
        </w:numPr>
        <w:pBdr>
          <w:top w:val="nil"/>
          <w:left w:val="nil"/>
          <w:bottom w:val="nil"/>
          <w:right w:val="nil"/>
          <w:between w:val="nil"/>
          <w:bar w:val="nil"/>
        </w:pBdr>
        <w:spacing w:before="0" w:after="0" w:line="240" w:lineRule="auto"/>
        <w:rPr>
          <w:color w:val="auto"/>
          <w:sz w:val="24"/>
          <w:szCs w:val="24"/>
        </w:rPr>
      </w:pPr>
      <w:r w:rsidRPr="00DA3DF9">
        <w:rPr>
          <w:color w:val="auto"/>
          <w:sz w:val="24"/>
          <w:szCs w:val="24"/>
        </w:rPr>
        <w:t>Business Rates and Council Tax Changes: The business rates retention system will be fully reset in 2026</w:t>
      </w:r>
      <w:r w:rsidR="00DF789D" w:rsidRPr="00F55FD5">
        <w:rPr>
          <w:color w:val="auto"/>
          <w:sz w:val="24"/>
          <w:szCs w:val="24"/>
        </w:rPr>
        <w:t>/</w:t>
      </w:r>
      <w:r w:rsidRPr="00DA3DF9">
        <w:rPr>
          <w:color w:val="auto"/>
          <w:sz w:val="24"/>
          <w:szCs w:val="24"/>
        </w:rPr>
        <w:t xml:space="preserve">27 to redistribute accumulated growth based on updated needs assessments. </w:t>
      </w:r>
    </w:p>
    <w:p w14:paraId="1F082633" w14:textId="77777777" w:rsidR="00F55FD5" w:rsidRDefault="00F55FD5" w:rsidP="00F55FD5">
      <w:pPr>
        <w:pStyle w:val="Style1"/>
        <w:keepNext w:val="0"/>
        <w:keepLines w:val="0"/>
        <w:widowControl w:val="0"/>
        <w:numPr>
          <w:ilvl w:val="0"/>
          <w:numId w:val="0"/>
        </w:numPr>
        <w:pBdr>
          <w:top w:val="nil"/>
          <w:left w:val="nil"/>
          <w:bottom w:val="nil"/>
          <w:right w:val="nil"/>
          <w:between w:val="nil"/>
          <w:bar w:val="nil"/>
        </w:pBdr>
        <w:spacing w:before="0" w:after="0" w:line="240" w:lineRule="auto"/>
        <w:ind w:left="720"/>
        <w:rPr>
          <w:color w:val="auto"/>
          <w:sz w:val="24"/>
          <w:szCs w:val="24"/>
        </w:rPr>
      </w:pPr>
    </w:p>
    <w:p w14:paraId="29DAB3F6" w14:textId="77777777" w:rsidR="00F55FD5" w:rsidRDefault="00DA3DF9" w:rsidP="00CF25BB">
      <w:pPr>
        <w:pStyle w:val="Style1"/>
        <w:keepNext w:val="0"/>
        <w:keepLines w:val="0"/>
        <w:widowControl w:val="0"/>
        <w:numPr>
          <w:ilvl w:val="0"/>
          <w:numId w:val="47"/>
        </w:numPr>
        <w:pBdr>
          <w:top w:val="nil"/>
          <w:left w:val="nil"/>
          <w:bottom w:val="nil"/>
          <w:right w:val="nil"/>
          <w:between w:val="nil"/>
          <w:bar w:val="nil"/>
        </w:pBdr>
        <w:spacing w:before="0" w:after="0" w:line="240" w:lineRule="auto"/>
        <w:rPr>
          <w:color w:val="auto"/>
          <w:sz w:val="24"/>
          <w:szCs w:val="24"/>
        </w:rPr>
      </w:pPr>
      <w:r w:rsidRPr="00DA3DF9">
        <w:rPr>
          <w:color w:val="auto"/>
          <w:sz w:val="24"/>
          <w:szCs w:val="24"/>
        </w:rPr>
        <w:t>Transitional Arrangements: Allocations will be phased in over three years to allow authorities to adjust to the new system. Funding floors will protect most authorities:</w:t>
      </w:r>
    </w:p>
    <w:p w14:paraId="2261502D" w14:textId="77777777" w:rsidR="00F55FD5" w:rsidRDefault="00F55FD5" w:rsidP="00F55FD5">
      <w:pPr>
        <w:pStyle w:val="Style1"/>
        <w:keepNext w:val="0"/>
        <w:keepLines w:val="0"/>
        <w:widowControl w:val="0"/>
        <w:numPr>
          <w:ilvl w:val="0"/>
          <w:numId w:val="0"/>
        </w:numPr>
        <w:pBdr>
          <w:top w:val="nil"/>
          <w:left w:val="nil"/>
          <w:bottom w:val="nil"/>
          <w:right w:val="nil"/>
          <w:between w:val="nil"/>
          <w:bar w:val="nil"/>
        </w:pBdr>
        <w:spacing w:before="0" w:after="0" w:line="240" w:lineRule="auto"/>
        <w:rPr>
          <w:color w:val="auto"/>
          <w:sz w:val="24"/>
          <w:szCs w:val="24"/>
        </w:rPr>
      </w:pPr>
    </w:p>
    <w:p w14:paraId="4636BA3C" w14:textId="77777777" w:rsidR="00F55FD5" w:rsidRDefault="00DA3DF9" w:rsidP="00CF25BB">
      <w:pPr>
        <w:pStyle w:val="Style1"/>
        <w:keepNext w:val="0"/>
        <w:keepLines w:val="0"/>
        <w:widowControl w:val="0"/>
        <w:numPr>
          <w:ilvl w:val="1"/>
          <w:numId w:val="47"/>
        </w:numPr>
        <w:pBdr>
          <w:top w:val="nil"/>
          <w:left w:val="nil"/>
          <w:bottom w:val="nil"/>
          <w:right w:val="nil"/>
          <w:between w:val="nil"/>
          <w:bar w:val="nil"/>
        </w:pBdr>
        <w:spacing w:before="0" w:after="0" w:line="240" w:lineRule="auto"/>
        <w:rPr>
          <w:color w:val="auto"/>
          <w:sz w:val="24"/>
          <w:szCs w:val="24"/>
        </w:rPr>
      </w:pPr>
      <w:r w:rsidRPr="00DA3DF9">
        <w:rPr>
          <w:color w:val="auto"/>
          <w:sz w:val="24"/>
          <w:szCs w:val="24"/>
        </w:rPr>
        <w:t>100% income protection for the majority of authorities.</w:t>
      </w:r>
    </w:p>
    <w:p w14:paraId="3C936FC8" w14:textId="75DF9B3B" w:rsidR="00F55FD5" w:rsidRDefault="00DA3DF9" w:rsidP="00CF25BB">
      <w:pPr>
        <w:pStyle w:val="Style1"/>
        <w:keepNext w:val="0"/>
        <w:keepLines w:val="0"/>
        <w:widowControl w:val="0"/>
        <w:numPr>
          <w:ilvl w:val="1"/>
          <w:numId w:val="47"/>
        </w:numPr>
        <w:pBdr>
          <w:top w:val="nil"/>
          <w:left w:val="nil"/>
          <w:bottom w:val="nil"/>
          <w:right w:val="nil"/>
          <w:between w:val="nil"/>
          <w:bar w:val="nil"/>
        </w:pBdr>
        <w:spacing w:before="0" w:after="0" w:line="240" w:lineRule="auto"/>
        <w:rPr>
          <w:color w:val="auto"/>
          <w:sz w:val="24"/>
          <w:szCs w:val="24"/>
        </w:rPr>
      </w:pPr>
      <w:r w:rsidRPr="00DA3DF9">
        <w:rPr>
          <w:color w:val="auto"/>
          <w:sz w:val="24"/>
          <w:szCs w:val="24"/>
        </w:rPr>
        <w:t>Real-terms protection for standalone Fire and Rescue Authorities</w:t>
      </w:r>
    </w:p>
    <w:p w14:paraId="7F341947" w14:textId="77777777" w:rsidR="00F55FD5" w:rsidRDefault="00DA3DF9" w:rsidP="00F55FD5">
      <w:pPr>
        <w:pStyle w:val="Style1"/>
        <w:keepNext w:val="0"/>
        <w:keepLines w:val="0"/>
        <w:widowControl w:val="0"/>
        <w:numPr>
          <w:ilvl w:val="0"/>
          <w:numId w:val="0"/>
        </w:numPr>
        <w:pBdr>
          <w:top w:val="nil"/>
          <w:left w:val="nil"/>
          <w:bottom w:val="nil"/>
          <w:right w:val="nil"/>
          <w:between w:val="nil"/>
          <w:bar w:val="nil"/>
        </w:pBdr>
        <w:spacing w:before="0" w:after="0" w:line="240" w:lineRule="auto"/>
        <w:ind w:left="1440"/>
        <w:rPr>
          <w:color w:val="auto"/>
          <w:sz w:val="24"/>
          <w:szCs w:val="24"/>
        </w:rPr>
      </w:pPr>
      <w:r w:rsidRPr="00DA3DF9">
        <w:rPr>
          <w:color w:val="auto"/>
          <w:sz w:val="24"/>
          <w:szCs w:val="24"/>
        </w:rPr>
        <w:t>95% income protection for authorities with the highest funding compared to their assessed need.</w:t>
      </w:r>
    </w:p>
    <w:p w14:paraId="096A8993" w14:textId="77777777" w:rsidR="00F55FD5" w:rsidRDefault="00F55FD5" w:rsidP="00F55FD5">
      <w:pPr>
        <w:pStyle w:val="Style1"/>
        <w:keepNext w:val="0"/>
        <w:keepLines w:val="0"/>
        <w:widowControl w:val="0"/>
        <w:numPr>
          <w:ilvl w:val="0"/>
          <w:numId w:val="0"/>
        </w:numPr>
        <w:pBdr>
          <w:top w:val="nil"/>
          <w:left w:val="nil"/>
          <w:bottom w:val="nil"/>
          <w:right w:val="nil"/>
          <w:between w:val="nil"/>
          <w:bar w:val="nil"/>
        </w:pBdr>
        <w:spacing w:before="0" w:after="0" w:line="240" w:lineRule="auto"/>
        <w:ind w:left="1440"/>
        <w:rPr>
          <w:color w:val="auto"/>
          <w:sz w:val="24"/>
          <w:szCs w:val="24"/>
        </w:rPr>
      </w:pPr>
    </w:p>
    <w:p w14:paraId="0F4666B4" w14:textId="5B876491" w:rsidR="00D73E00" w:rsidRPr="00DA5ECF" w:rsidRDefault="00DA3DF9" w:rsidP="00CF25BB">
      <w:pPr>
        <w:pStyle w:val="Style1"/>
        <w:keepNext w:val="0"/>
        <w:keepLines w:val="0"/>
        <w:widowControl w:val="0"/>
        <w:numPr>
          <w:ilvl w:val="0"/>
          <w:numId w:val="48"/>
        </w:numPr>
        <w:pBdr>
          <w:top w:val="nil"/>
          <w:left w:val="nil"/>
          <w:bottom w:val="nil"/>
          <w:right w:val="nil"/>
          <w:between w:val="nil"/>
          <w:bar w:val="nil"/>
        </w:pBdr>
        <w:spacing w:before="0" w:after="0" w:line="240" w:lineRule="auto"/>
        <w:rPr>
          <w:rFonts w:eastAsia="MS Mincho" w:cs="Arial"/>
          <w:b/>
          <w:color w:val="auto"/>
          <w:lang w:eastAsia="ja-JP"/>
        </w:rPr>
      </w:pPr>
      <w:r w:rsidRPr="00DA3DF9">
        <w:rPr>
          <w:color w:val="auto"/>
          <w:sz w:val="24"/>
          <w:szCs w:val="24"/>
        </w:rPr>
        <w:t xml:space="preserve">Multi-year Certainty: The </w:t>
      </w:r>
      <w:r w:rsidR="005E55C5">
        <w:rPr>
          <w:color w:val="auto"/>
          <w:sz w:val="24"/>
          <w:szCs w:val="24"/>
        </w:rPr>
        <w:t>S</w:t>
      </w:r>
      <w:r w:rsidRPr="00DA3DF9">
        <w:rPr>
          <w:color w:val="auto"/>
          <w:sz w:val="24"/>
          <w:szCs w:val="24"/>
        </w:rPr>
        <w:t>ettlement offers the first multi-year settlement in a decade (2026</w:t>
      </w:r>
      <w:r w:rsidR="005B562C" w:rsidRPr="007A2E1D">
        <w:rPr>
          <w:color w:val="auto"/>
          <w:sz w:val="24"/>
          <w:szCs w:val="24"/>
        </w:rPr>
        <w:t>/</w:t>
      </w:r>
      <w:r w:rsidRPr="00DA3DF9">
        <w:rPr>
          <w:color w:val="auto"/>
          <w:sz w:val="24"/>
          <w:szCs w:val="24"/>
        </w:rPr>
        <w:t>27 to 2028</w:t>
      </w:r>
      <w:r w:rsidR="005B562C" w:rsidRPr="007A2E1D">
        <w:rPr>
          <w:color w:val="auto"/>
          <w:sz w:val="24"/>
          <w:szCs w:val="24"/>
        </w:rPr>
        <w:t>/</w:t>
      </w:r>
      <w:r w:rsidRPr="00DA3DF9">
        <w:rPr>
          <w:color w:val="auto"/>
          <w:sz w:val="24"/>
          <w:szCs w:val="24"/>
        </w:rPr>
        <w:t xml:space="preserve">29), </w:t>
      </w:r>
      <w:r w:rsidR="001D181C" w:rsidRPr="007A2E1D">
        <w:rPr>
          <w:color w:val="auto"/>
          <w:sz w:val="24"/>
          <w:szCs w:val="24"/>
        </w:rPr>
        <w:t>providing</w:t>
      </w:r>
      <w:r w:rsidR="005B562C" w:rsidRPr="007A2E1D">
        <w:rPr>
          <w:rFonts w:cs="Arial"/>
          <w:color w:val="auto"/>
          <w:sz w:val="24"/>
          <w:szCs w:val="24"/>
        </w:rPr>
        <w:t xml:space="preserve"> councils the ability to more effectively plan for the medium-term, with greater certainty of government funding</w:t>
      </w:r>
      <w:r w:rsidR="001D181C" w:rsidRPr="007A2E1D">
        <w:rPr>
          <w:rFonts w:cs="Arial"/>
          <w:color w:val="auto"/>
          <w:sz w:val="24"/>
          <w:szCs w:val="24"/>
        </w:rPr>
        <w:t>.</w:t>
      </w:r>
    </w:p>
    <w:p w14:paraId="48123C23" w14:textId="77777777" w:rsidR="00DA5ECF" w:rsidRDefault="00DA5ECF" w:rsidP="00DA5ECF">
      <w:pPr>
        <w:pStyle w:val="Style1"/>
        <w:widowControl w:val="0"/>
        <w:numPr>
          <w:ilvl w:val="0"/>
          <w:numId w:val="0"/>
        </w:numPr>
        <w:pBdr>
          <w:top w:val="nil"/>
          <w:left w:val="nil"/>
          <w:bottom w:val="nil"/>
          <w:right w:val="nil"/>
          <w:between w:val="nil"/>
          <w:bar w:val="nil"/>
        </w:pBdr>
        <w:autoSpaceDE w:val="0"/>
        <w:autoSpaceDN w:val="0"/>
        <w:adjustRightInd w:val="0"/>
        <w:spacing w:before="0" w:after="0" w:line="240" w:lineRule="auto"/>
        <w:ind w:left="1134" w:hanging="1134"/>
        <w:rPr>
          <w:rFonts w:cs="Arial"/>
          <w:color w:val="auto"/>
        </w:rPr>
      </w:pPr>
    </w:p>
    <w:p w14:paraId="3F8E18E4" w14:textId="0BF6F635" w:rsidR="00CE3A54" w:rsidRDefault="00C053D2" w:rsidP="00CE3A54">
      <w:pPr>
        <w:autoSpaceDE w:val="0"/>
        <w:autoSpaceDN w:val="0"/>
        <w:adjustRightInd w:val="0"/>
        <w:jc w:val="both"/>
        <w:rPr>
          <w:rFonts w:ascii="Arial" w:hAnsi="Arial" w:cs="Arial"/>
        </w:rPr>
      </w:pPr>
      <w:r>
        <w:rPr>
          <w:rFonts w:ascii="Arial" w:hAnsi="Arial" w:cs="Arial"/>
        </w:rPr>
        <w:t>In the absence of a significant funding injection into the sector as a whole, t</w:t>
      </w:r>
      <w:r w:rsidR="00CE3A54" w:rsidRPr="00AE7A56">
        <w:rPr>
          <w:rFonts w:ascii="Arial" w:hAnsi="Arial" w:cs="Arial"/>
        </w:rPr>
        <w:t xml:space="preserve">he redistributive effects of </w:t>
      </w:r>
      <w:r w:rsidR="003F58D2">
        <w:rPr>
          <w:rFonts w:ascii="Arial" w:hAnsi="Arial" w:cs="Arial"/>
        </w:rPr>
        <w:t>Review</w:t>
      </w:r>
      <w:r w:rsidR="00CE3A54" w:rsidRPr="00AE7A56">
        <w:rPr>
          <w:rFonts w:ascii="Arial" w:hAnsi="Arial" w:cs="Arial"/>
        </w:rPr>
        <w:t xml:space="preserve"> mean that there </w:t>
      </w:r>
      <w:r w:rsidR="003F58D2">
        <w:rPr>
          <w:rFonts w:ascii="Arial" w:hAnsi="Arial" w:cs="Arial"/>
        </w:rPr>
        <w:t>are</w:t>
      </w:r>
      <w:r w:rsidR="00CE3A54">
        <w:rPr>
          <w:rFonts w:ascii="Arial" w:hAnsi="Arial" w:cs="Arial"/>
        </w:rPr>
        <w:t xml:space="preserve"> some significant gains and losses for individual authorities</w:t>
      </w:r>
      <w:r w:rsidR="00CE3A54" w:rsidRPr="00AE7A56">
        <w:rPr>
          <w:rFonts w:ascii="Arial" w:hAnsi="Arial" w:cs="Arial"/>
        </w:rPr>
        <w:t xml:space="preserve">. Some authorities </w:t>
      </w:r>
      <w:r w:rsidR="00AC6297">
        <w:rPr>
          <w:rFonts w:ascii="Arial" w:hAnsi="Arial" w:cs="Arial"/>
        </w:rPr>
        <w:t>are facing</w:t>
      </w:r>
      <w:r w:rsidR="00CE3A54" w:rsidRPr="00AE7A56">
        <w:rPr>
          <w:rFonts w:ascii="Arial" w:hAnsi="Arial" w:cs="Arial"/>
        </w:rPr>
        <w:t xml:space="preserve"> significant reductions in their funding</w:t>
      </w:r>
      <w:r w:rsidR="009B3F68">
        <w:rPr>
          <w:rFonts w:ascii="Arial" w:hAnsi="Arial" w:cs="Arial"/>
        </w:rPr>
        <w:t xml:space="preserve">, </w:t>
      </w:r>
      <w:r w:rsidR="00CE3A54" w:rsidRPr="00AE7A56">
        <w:rPr>
          <w:rFonts w:ascii="Arial" w:hAnsi="Arial" w:cs="Arial"/>
        </w:rPr>
        <w:t>suggest</w:t>
      </w:r>
      <w:r w:rsidR="009B3F68">
        <w:rPr>
          <w:rFonts w:ascii="Arial" w:hAnsi="Arial" w:cs="Arial"/>
        </w:rPr>
        <w:t>ing</w:t>
      </w:r>
      <w:r w:rsidR="00CE3A54" w:rsidRPr="00AE7A56">
        <w:rPr>
          <w:rFonts w:ascii="Arial" w:hAnsi="Arial" w:cs="Arial"/>
        </w:rPr>
        <w:t xml:space="preserve"> </w:t>
      </w:r>
      <w:r w:rsidR="00F068B4">
        <w:rPr>
          <w:rFonts w:ascii="Arial" w:hAnsi="Arial" w:cs="Arial"/>
        </w:rPr>
        <w:t xml:space="preserve">a further increase in requests to the </w:t>
      </w:r>
      <w:r w:rsidR="00CE3A54" w:rsidRPr="00AE7A56">
        <w:rPr>
          <w:rFonts w:ascii="Arial" w:hAnsi="Arial" w:cs="Arial"/>
        </w:rPr>
        <w:t xml:space="preserve">MHCLG </w:t>
      </w:r>
      <w:r w:rsidR="00B9420F">
        <w:rPr>
          <w:rFonts w:ascii="Arial" w:hAnsi="Arial" w:cs="Arial"/>
        </w:rPr>
        <w:t>EFS</w:t>
      </w:r>
      <w:r w:rsidR="00CE3A54">
        <w:rPr>
          <w:rFonts w:ascii="Arial" w:hAnsi="Arial" w:cs="Arial"/>
        </w:rPr>
        <w:t xml:space="preserve"> </w:t>
      </w:r>
      <w:r w:rsidR="00CE3A54" w:rsidRPr="00AE7A56">
        <w:rPr>
          <w:rFonts w:ascii="Arial" w:hAnsi="Arial" w:cs="Arial"/>
        </w:rPr>
        <w:t>regime.</w:t>
      </w:r>
    </w:p>
    <w:p w14:paraId="25B5CBE4" w14:textId="77777777" w:rsidR="005B562C" w:rsidRDefault="005B562C" w:rsidP="005F3F31">
      <w:pPr>
        <w:autoSpaceDE w:val="0"/>
        <w:autoSpaceDN w:val="0"/>
        <w:adjustRightInd w:val="0"/>
        <w:jc w:val="both"/>
        <w:rPr>
          <w:rFonts w:ascii="Arial" w:eastAsia="MS Mincho" w:hAnsi="Arial" w:cs="Arial"/>
          <w:b/>
          <w:bCs/>
          <w:highlight w:val="yellow"/>
          <w:lang w:eastAsia="ja-JP"/>
        </w:rPr>
      </w:pPr>
    </w:p>
    <w:p w14:paraId="7AA365B2" w14:textId="21839652" w:rsidR="006746CD" w:rsidRDefault="006746CD" w:rsidP="006746CD">
      <w:pPr>
        <w:jc w:val="both"/>
        <w:rPr>
          <w:rFonts w:ascii="Arial" w:hAnsi="Arial" w:cs="Arial"/>
        </w:rPr>
      </w:pPr>
      <w:r w:rsidRPr="00041066">
        <w:rPr>
          <w:rFonts w:ascii="Arial" w:hAnsi="Arial" w:cs="Arial"/>
        </w:rPr>
        <w:t xml:space="preserve">While it is reassuring that </w:t>
      </w:r>
      <w:r w:rsidR="00373366">
        <w:rPr>
          <w:rFonts w:ascii="Arial" w:hAnsi="Arial" w:cs="Arial"/>
        </w:rPr>
        <w:t>the Government</w:t>
      </w:r>
      <w:r w:rsidRPr="00041066">
        <w:rPr>
          <w:rFonts w:ascii="Arial" w:hAnsi="Arial" w:cs="Arial"/>
        </w:rPr>
        <w:t xml:space="preserve"> have sought to increase funding for the sector through the </w:t>
      </w:r>
      <w:r>
        <w:rPr>
          <w:rFonts w:ascii="Arial" w:hAnsi="Arial" w:cs="Arial"/>
        </w:rPr>
        <w:t xml:space="preserve">SR25 (albeit a modest increase), </w:t>
      </w:r>
      <w:r w:rsidRPr="00041066">
        <w:rPr>
          <w:rFonts w:ascii="Arial" w:hAnsi="Arial" w:cs="Arial"/>
        </w:rPr>
        <w:t xml:space="preserve"> introduc</w:t>
      </w:r>
      <w:r>
        <w:rPr>
          <w:rFonts w:ascii="Arial" w:hAnsi="Arial" w:cs="Arial"/>
        </w:rPr>
        <w:t>ed</w:t>
      </w:r>
      <w:r w:rsidRPr="00041066">
        <w:rPr>
          <w:rFonts w:ascii="Arial" w:hAnsi="Arial" w:cs="Arial"/>
        </w:rPr>
        <w:t xml:space="preserve"> multi-year funding settlements and </w:t>
      </w:r>
      <w:r>
        <w:rPr>
          <w:rFonts w:ascii="Arial" w:hAnsi="Arial" w:cs="Arial"/>
        </w:rPr>
        <w:t>implemented the long awaited r</w:t>
      </w:r>
      <w:r w:rsidRPr="00041066">
        <w:rPr>
          <w:rFonts w:ascii="Arial" w:hAnsi="Arial" w:cs="Arial"/>
        </w:rPr>
        <w:t>eview of needs and resources, the</w:t>
      </w:r>
      <w:r w:rsidR="009F20CB">
        <w:rPr>
          <w:rFonts w:ascii="Arial" w:hAnsi="Arial" w:cs="Arial"/>
        </w:rPr>
        <w:t>se</w:t>
      </w:r>
      <w:r w:rsidRPr="00041066">
        <w:rPr>
          <w:rFonts w:ascii="Arial" w:hAnsi="Arial" w:cs="Arial"/>
        </w:rPr>
        <w:t xml:space="preserve"> do not address the fact that the sector is increasingly reliant on EFS and temporary adjustments to accounting rules to remain solvent. A sustainable, long-term financial model for local government must lead to all councils having adequate resources to meet growing cost and demand pressures.</w:t>
      </w:r>
    </w:p>
    <w:p w14:paraId="10FCD082" w14:textId="77777777" w:rsidR="009128CC" w:rsidRDefault="009128CC" w:rsidP="006746CD">
      <w:pPr>
        <w:jc w:val="both"/>
        <w:rPr>
          <w:rFonts w:ascii="Arial" w:hAnsi="Arial" w:cs="Arial"/>
        </w:rPr>
      </w:pPr>
    </w:p>
    <w:p w14:paraId="66FBE749" w14:textId="77777777" w:rsidR="00936806" w:rsidRDefault="001E00CC" w:rsidP="009128CC">
      <w:pPr>
        <w:jc w:val="both"/>
        <w:rPr>
          <w:rFonts w:ascii="Arial" w:hAnsi="Arial" w:cs="Arial"/>
        </w:rPr>
      </w:pPr>
      <w:r>
        <w:rPr>
          <w:rFonts w:ascii="Arial" w:hAnsi="Arial" w:cs="Arial"/>
        </w:rPr>
        <w:t xml:space="preserve">A crucial part of </w:t>
      </w:r>
      <w:r w:rsidR="00D657E3">
        <w:rPr>
          <w:rFonts w:ascii="Arial" w:hAnsi="Arial" w:cs="Arial"/>
        </w:rPr>
        <w:t>the Governments strategy</w:t>
      </w:r>
      <w:r w:rsidR="00660312">
        <w:rPr>
          <w:rFonts w:ascii="Arial" w:hAnsi="Arial" w:cs="Arial"/>
        </w:rPr>
        <w:t xml:space="preserve"> to</w:t>
      </w:r>
      <w:r w:rsidR="00D657E3">
        <w:rPr>
          <w:rFonts w:ascii="Arial" w:hAnsi="Arial" w:cs="Arial"/>
        </w:rPr>
        <w:t xml:space="preserve"> </w:t>
      </w:r>
      <w:r w:rsidR="00660312">
        <w:rPr>
          <w:rFonts w:ascii="Arial" w:hAnsi="Arial" w:cs="Arial"/>
        </w:rPr>
        <w:t xml:space="preserve">ensure resilience, stability and sustainability in local government is through </w:t>
      </w:r>
      <w:r w:rsidR="009128CC">
        <w:rPr>
          <w:rFonts w:ascii="Arial" w:hAnsi="Arial" w:cs="Arial"/>
        </w:rPr>
        <w:t>LGR</w:t>
      </w:r>
      <w:r w:rsidR="00660312">
        <w:rPr>
          <w:rFonts w:ascii="Arial" w:hAnsi="Arial" w:cs="Arial"/>
        </w:rPr>
        <w:t>.</w:t>
      </w:r>
      <w:r w:rsidR="009128CC">
        <w:rPr>
          <w:rFonts w:ascii="Arial" w:hAnsi="Arial" w:cs="Arial"/>
        </w:rPr>
        <w:t xml:space="preserve"> </w:t>
      </w:r>
      <w:r w:rsidR="00F3376D">
        <w:rPr>
          <w:rFonts w:ascii="Arial" w:hAnsi="Arial" w:cs="Arial"/>
        </w:rPr>
        <w:t xml:space="preserve">By </w:t>
      </w:r>
      <w:r w:rsidR="00915589">
        <w:rPr>
          <w:rFonts w:ascii="Arial" w:hAnsi="Arial" w:cs="Arial"/>
        </w:rPr>
        <w:t>simplifying</w:t>
      </w:r>
      <w:r w:rsidR="006365BF" w:rsidRPr="006365BF">
        <w:rPr>
          <w:rFonts w:ascii="Arial" w:hAnsi="Arial" w:cs="Arial"/>
        </w:rPr>
        <w:t xml:space="preserve"> local government structures by ending the two-tier system (county and district councils) and establishing </w:t>
      </w:r>
      <w:r w:rsidR="000D430C">
        <w:rPr>
          <w:rFonts w:ascii="Arial" w:hAnsi="Arial" w:cs="Arial"/>
        </w:rPr>
        <w:t xml:space="preserve">a smaller number of </w:t>
      </w:r>
      <w:r w:rsidR="006365BF" w:rsidRPr="006365BF">
        <w:rPr>
          <w:rFonts w:ascii="Arial" w:hAnsi="Arial" w:cs="Arial"/>
        </w:rPr>
        <w:t>single-tier unitary authorities</w:t>
      </w:r>
      <w:r w:rsidR="00F3376D">
        <w:rPr>
          <w:rFonts w:ascii="Arial" w:hAnsi="Arial" w:cs="Arial"/>
        </w:rPr>
        <w:t>,</w:t>
      </w:r>
      <w:r w:rsidR="006365BF" w:rsidRPr="006365BF">
        <w:rPr>
          <w:rFonts w:ascii="Arial" w:hAnsi="Arial" w:cs="Arial"/>
        </w:rPr>
        <w:t xml:space="preserve"> </w:t>
      </w:r>
      <w:r w:rsidR="00F3376D">
        <w:rPr>
          <w:rFonts w:ascii="Arial" w:hAnsi="Arial" w:cs="Arial"/>
        </w:rPr>
        <w:t>t</w:t>
      </w:r>
      <w:r w:rsidR="006365BF" w:rsidRPr="006365BF">
        <w:rPr>
          <w:rFonts w:ascii="Arial" w:hAnsi="Arial" w:cs="Arial"/>
        </w:rPr>
        <w:t>he government argues this will lead to greater efficiencies, simplify the funding landscape, and provide better value for money for taxpayers by eliminating duplication and making accountability clearer</w:t>
      </w:r>
      <w:r w:rsidR="000D430C">
        <w:rPr>
          <w:rFonts w:ascii="Arial" w:hAnsi="Arial" w:cs="Arial"/>
        </w:rPr>
        <w:t xml:space="preserve">.  </w:t>
      </w:r>
    </w:p>
    <w:p w14:paraId="2DDCA4BE" w14:textId="77777777" w:rsidR="00936806" w:rsidRDefault="00936806" w:rsidP="009128CC">
      <w:pPr>
        <w:jc w:val="both"/>
        <w:rPr>
          <w:rFonts w:ascii="Arial" w:hAnsi="Arial" w:cs="Arial"/>
        </w:rPr>
      </w:pPr>
    </w:p>
    <w:p w14:paraId="6B7091E5" w14:textId="1A57D6F6" w:rsidR="009128CC" w:rsidRDefault="009128CC" w:rsidP="006746CD">
      <w:pPr>
        <w:jc w:val="both"/>
        <w:rPr>
          <w:rFonts w:ascii="Arial" w:hAnsi="Arial" w:cs="Arial"/>
        </w:rPr>
      </w:pPr>
      <w:r w:rsidRPr="0072491A">
        <w:rPr>
          <w:rFonts w:ascii="Arial" w:hAnsi="Arial" w:cs="Arial"/>
        </w:rPr>
        <w:t>While reorganisation may bring longer-term benefits, the process of reorganisation is costly and logistically intensive</w:t>
      </w:r>
      <w:r w:rsidR="00C94830">
        <w:rPr>
          <w:rFonts w:ascii="Arial" w:hAnsi="Arial" w:cs="Arial"/>
        </w:rPr>
        <w:t xml:space="preserve">.  </w:t>
      </w:r>
      <w:r w:rsidR="002460F2">
        <w:rPr>
          <w:rFonts w:ascii="Arial" w:hAnsi="Arial" w:cs="Arial"/>
        </w:rPr>
        <w:t>It</w:t>
      </w:r>
      <w:r w:rsidR="00C94830" w:rsidRPr="00C94830">
        <w:rPr>
          <w:rFonts w:ascii="Arial" w:hAnsi="Arial" w:cs="Arial"/>
        </w:rPr>
        <w:t xml:space="preserve"> offers potential efficiencies, but its success in achieving financial sustainability hinges on careful execution, strong devolution of powers, addressing underlying demand pressures, and securing stable funding from central government</w:t>
      </w:r>
      <w:r w:rsidR="0078582D">
        <w:rPr>
          <w:rFonts w:ascii="Arial" w:hAnsi="Arial" w:cs="Arial"/>
        </w:rPr>
        <w:t>.</w:t>
      </w:r>
    </w:p>
    <w:p w14:paraId="1EDFEBF2" w14:textId="77777777" w:rsidR="00A401CC" w:rsidRPr="007752B4" w:rsidRDefault="00A401CC" w:rsidP="005F3F31">
      <w:pPr>
        <w:autoSpaceDE w:val="0"/>
        <w:autoSpaceDN w:val="0"/>
        <w:adjustRightInd w:val="0"/>
        <w:jc w:val="both"/>
        <w:rPr>
          <w:rFonts w:ascii="Arial" w:eastAsia="MS Mincho" w:hAnsi="Arial" w:cs="Arial"/>
          <w:highlight w:val="yellow"/>
          <w:lang w:eastAsia="ja-JP"/>
        </w:rPr>
      </w:pPr>
    </w:p>
    <w:p w14:paraId="63DCA93F" w14:textId="7A9689D0" w:rsidR="00C13569" w:rsidRPr="007752B4" w:rsidRDefault="00B368F2" w:rsidP="005F3F31">
      <w:pPr>
        <w:autoSpaceDE w:val="0"/>
        <w:autoSpaceDN w:val="0"/>
        <w:adjustRightInd w:val="0"/>
        <w:jc w:val="both"/>
        <w:rPr>
          <w:rFonts w:ascii="Arial" w:eastAsia="MS Mincho" w:hAnsi="Arial" w:cs="Arial"/>
          <w:b/>
          <w:highlight w:val="yellow"/>
          <w:lang w:eastAsia="ja-JP"/>
        </w:rPr>
      </w:pPr>
      <w:r w:rsidRPr="0078582D">
        <w:rPr>
          <w:rFonts w:ascii="Arial" w:eastAsia="MS Mincho" w:hAnsi="Arial" w:cs="Arial"/>
          <w:b/>
          <w:lang w:eastAsia="ja-JP"/>
        </w:rPr>
        <w:t xml:space="preserve">English </w:t>
      </w:r>
      <w:r w:rsidR="008B0944" w:rsidRPr="0078582D">
        <w:rPr>
          <w:rFonts w:ascii="Arial" w:eastAsia="MS Mincho" w:hAnsi="Arial" w:cs="Arial"/>
          <w:b/>
          <w:lang w:eastAsia="ja-JP"/>
        </w:rPr>
        <w:t>Devolution</w:t>
      </w:r>
      <w:r w:rsidR="00A04096">
        <w:rPr>
          <w:rFonts w:ascii="Arial" w:eastAsia="MS Mincho" w:hAnsi="Arial" w:cs="Arial"/>
          <w:b/>
          <w:bCs/>
          <w:lang w:eastAsia="ja-JP"/>
        </w:rPr>
        <w:t xml:space="preserve"> and Community Empowerment Bill</w:t>
      </w:r>
    </w:p>
    <w:p w14:paraId="01BD7AB4" w14:textId="77777777" w:rsidR="009D4681" w:rsidRPr="007752B4" w:rsidRDefault="009D4681" w:rsidP="009D4681">
      <w:pPr>
        <w:autoSpaceDE w:val="0"/>
        <w:autoSpaceDN w:val="0"/>
        <w:adjustRightInd w:val="0"/>
        <w:jc w:val="both"/>
        <w:rPr>
          <w:rFonts w:ascii="Arial" w:eastAsia="MS Mincho" w:hAnsi="Arial" w:cs="Arial"/>
          <w:highlight w:val="yellow"/>
          <w:lang w:eastAsia="ja-JP"/>
        </w:rPr>
      </w:pPr>
    </w:p>
    <w:p w14:paraId="3C91DB72" w14:textId="1DA2765F" w:rsidR="00472730" w:rsidRPr="00A04096" w:rsidRDefault="00472730" w:rsidP="009D4681">
      <w:pPr>
        <w:autoSpaceDE w:val="0"/>
        <w:autoSpaceDN w:val="0"/>
        <w:adjustRightInd w:val="0"/>
        <w:jc w:val="both"/>
        <w:rPr>
          <w:rFonts w:ascii="Arial" w:eastAsia="MS Mincho" w:hAnsi="Arial" w:cs="Arial"/>
          <w:lang w:eastAsia="ja-JP"/>
        </w:rPr>
      </w:pPr>
      <w:r w:rsidRPr="00A04096">
        <w:rPr>
          <w:rFonts w:ascii="Arial" w:eastAsia="MS Mincho" w:hAnsi="Arial" w:cs="Arial"/>
          <w:lang w:eastAsia="ja-JP"/>
        </w:rPr>
        <w:t>Following</w:t>
      </w:r>
      <w:r w:rsidR="007D4D6A" w:rsidRPr="00A04096">
        <w:rPr>
          <w:rFonts w:ascii="Arial" w:eastAsia="MS Mincho" w:hAnsi="Arial" w:cs="Arial"/>
          <w:lang w:eastAsia="ja-JP"/>
        </w:rPr>
        <w:t xml:space="preserve"> publication of the Government’s English Devolution White Paper in December 2024, </w:t>
      </w:r>
      <w:r w:rsidR="00C71344" w:rsidRPr="00A04096">
        <w:rPr>
          <w:rFonts w:ascii="Arial" w:eastAsia="MS Mincho" w:hAnsi="Arial" w:cs="Arial"/>
          <w:lang w:eastAsia="ja-JP"/>
        </w:rPr>
        <w:t xml:space="preserve">the English Devolution and Community Empowerment Bill </w:t>
      </w:r>
      <w:r w:rsidR="00186596" w:rsidRPr="00A04096">
        <w:rPr>
          <w:rFonts w:ascii="Arial" w:eastAsia="MS Mincho" w:hAnsi="Arial" w:cs="Arial"/>
          <w:lang w:eastAsia="ja-JP"/>
        </w:rPr>
        <w:t xml:space="preserve">was </w:t>
      </w:r>
      <w:r w:rsidR="00392989" w:rsidRPr="00A04096">
        <w:rPr>
          <w:rFonts w:ascii="Arial" w:eastAsia="MS Mincho" w:hAnsi="Arial" w:cs="Arial"/>
          <w:lang w:eastAsia="ja-JP"/>
        </w:rPr>
        <w:t>introduced</w:t>
      </w:r>
      <w:r w:rsidR="00552705" w:rsidRPr="00A04096">
        <w:rPr>
          <w:rFonts w:ascii="Arial" w:eastAsia="MS Mincho" w:hAnsi="Arial" w:cs="Arial"/>
          <w:lang w:eastAsia="ja-JP"/>
        </w:rPr>
        <w:t xml:space="preserve"> in July 2025 and is currently </w:t>
      </w:r>
      <w:r w:rsidR="00445E55" w:rsidRPr="00A04096">
        <w:rPr>
          <w:rFonts w:ascii="Arial" w:eastAsia="MS Mincho" w:hAnsi="Arial" w:cs="Arial"/>
          <w:lang w:eastAsia="ja-JP"/>
        </w:rPr>
        <w:t>progressing through Parliament</w:t>
      </w:r>
      <w:r w:rsidR="00E93437" w:rsidRPr="00A04096">
        <w:rPr>
          <w:rFonts w:ascii="Arial" w:eastAsia="MS Mincho" w:hAnsi="Arial" w:cs="Arial"/>
          <w:lang w:eastAsia="ja-JP"/>
        </w:rPr>
        <w:t>.</w:t>
      </w:r>
    </w:p>
    <w:p w14:paraId="59085CAA" w14:textId="77777777" w:rsidR="009D189D" w:rsidRPr="00A04096" w:rsidRDefault="009D189D" w:rsidP="009D4681">
      <w:pPr>
        <w:autoSpaceDE w:val="0"/>
        <w:autoSpaceDN w:val="0"/>
        <w:adjustRightInd w:val="0"/>
        <w:jc w:val="both"/>
        <w:rPr>
          <w:rFonts w:ascii="Arial" w:eastAsia="MS Mincho" w:hAnsi="Arial" w:cs="Arial"/>
          <w:lang w:eastAsia="ja-JP"/>
        </w:rPr>
      </w:pPr>
    </w:p>
    <w:p w14:paraId="4792ACF9" w14:textId="75472621" w:rsidR="009D189D" w:rsidRPr="00A04096" w:rsidRDefault="009D189D" w:rsidP="009D189D">
      <w:pPr>
        <w:autoSpaceDE w:val="0"/>
        <w:autoSpaceDN w:val="0"/>
        <w:adjustRightInd w:val="0"/>
        <w:jc w:val="both"/>
        <w:rPr>
          <w:rFonts w:ascii="Arial" w:eastAsia="MS Mincho" w:hAnsi="Arial" w:cs="Arial"/>
          <w:lang w:eastAsia="ja-JP"/>
        </w:rPr>
      </w:pPr>
      <w:r w:rsidRPr="00A04096">
        <w:rPr>
          <w:rFonts w:ascii="Arial" w:eastAsia="MS Mincho" w:hAnsi="Arial" w:cs="Arial"/>
          <w:lang w:eastAsia="ja-JP"/>
        </w:rPr>
        <w:t>The bill i</w:t>
      </w:r>
      <w:r w:rsidRPr="009D189D">
        <w:rPr>
          <w:rFonts w:ascii="Arial" w:eastAsia="MS Mincho" w:hAnsi="Arial" w:cs="Arial"/>
          <w:lang w:eastAsia="ja-JP"/>
        </w:rPr>
        <w:t>s intended to implement the government’s commitments to devolve power more widely in England; introduce a new devolution model by creating strategic authorities (SAs); reorganise local government into a pattern of unitary government; and reform the local audit system. In summary the bill would: </w:t>
      </w:r>
    </w:p>
    <w:p w14:paraId="017BD33D" w14:textId="77777777" w:rsidR="00E21592" w:rsidRPr="009D189D" w:rsidRDefault="00E21592" w:rsidP="009D189D">
      <w:pPr>
        <w:autoSpaceDE w:val="0"/>
        <w:autoSpaceDN w:val="0"/>
        <w:adjustRightInd w:val="0"/>
        <w:jc w:val="both"/>
        <w:rPr>
          <w:rFonts w:ascii="Arial" w:eastAsia="MS Mincho" w:hAnsi="Arial" w:cs="Arial"/>
          <w:lang w:eastAsia="ja-JP"/>
        </w:rPr>
      </w:pPr>
    </w:p>
    <w:p w14:paraId="1AC9EFC2" w14:textId="77777777" w:rsidR="00F1577A" w:rsidRPr="00A04096" w:rsidRDefault="009D189D" w:rsidP="00CF25BB">
      <w:pPr>
        <w:numPr>
          <w:ilvl w:val="0"/>
          <w:numId w:val="49"/>
        </w:numPr>
        <w:autoSpaceDE w:val="0"/>
        <w:autoSpaceDN w:val="0"/>
        <w:adjustRightInd w:val="0"/>
        <w:jc w:val="both"/>
        <w:rPr>
          <w:rFonts w:ascii="Arial" w:eastAsia="MS Mincho" w:hAnsi="Arial" w:cs="Arial"/>
          <w:lang w:eastAsia="ja-JP"/>
        </w:rPr>
      </w:pPr>
      <w:r w:rsidRPr="009D189D">
        <w:rPr>
          <w:rFonts w:ascii="Arial" w:eastAsia="MS Mincho" w:hAnsi="Arial" w:cs="Arial"/>
          <w:lang w:eastAsia="ja-JP"/>
        </w:rPr>
        <w:t>Create a new tier of authority and a statutory devolution framework for England. The bill would create three levels of SAs: foundation, mayoral and established mayoral. The framework would set at each level a standard set of functions and duties, structured around seven areas of competence.</w:t>
      </w:r>
    </w:p>
    <w:p w14:paraId="6102A2FF" w14:textId="3B006FB3" w:rsidR="009D189D" w:rsidRPr="009D189D" w:rsidRDefault="009D189D" w:rsidP="00F1577A">
      <w:pPr>
        <w:autoSpaceDE w:val="0"/>
        <w:autoSpaceDN w:val="0"/>
        <w:adjustRightInd w:val="0"/>
        <w:ind w:left="720"/>
        <w:jc w:val="both"/>
        <w:rPr>
          <w:rFonts w:ascii="Arial" w:eastAsia="MS Mincho" w:hAnsi="Arial" w:cs="Arial"/>
          <w:lang w:eastAsia="ja-JP"/>
        </w:rPr>
      </w:pPr>
      <w:r w:rsidRPr="009D189D">
        <w:rPr>
          <w:rFonts w:ascii="Arial" w:eastAsia="MS Mincho" w:hAnsi="Arial" w:cs="Arial"/>
          <w:lang w:eastAsia="ja-JP"/>
        </w:rPr>
        <w:t>  </w:t>
      </w:r>
    </w:p>
    <w:p w14:paraId="3D3408F9" w14:textId="77777777" w:rsidR="009D189D" w:rsidRPr="00A04096" w:rsidRDefault="009D189D" w:rsidP="00CF25BB">
      <w:pPr>
        <w:numPr>
          <w:ilvl w:val="0"/>
          <w:numId w:val="50"/>
        </w:numPr>
        <w:autoSpaceDE w:val="0"/>
        <w:autoSpaceDN w:val="0"/>
        <w:adjustRightInd w:val="0"/>
        <w:jc w:val="both"/>
        <w:rPr>
          <w:rFonts w:ascii="Arial" w:eastAsia="MS Mincho" w:hAnsi="Arial" w:cs="Arial"/>
          <w:lang w:eastAsia="ja-JP"/>
        </w:rPr>
      </w:pPr>
      <w:r w:rsidRPr="009D189D">
        <w:rPr>
          <w:rFonts w:ascii="Arial" w:eastAsia="MS Mincho" w:hAnsi="Arial" w:cs="Arial"/>
          <w:lang w:eastAsia="ja-JP"/>
        </w:rPr>
        <w:t>Give the secretary of state powers to direct local government in England to develop and submit proposals for local government reorganisation. </w:t>
      </w:r>
    </w:p>
    <w:p w14:paraId="71D51DF7" w14:textId="77777777" w:rsidR="00CB2615" w:rsidRPr="00A04096" w:rsidRDefault="00CB2615" w:rsidP="00CB2615">
      <w:pPr>
        <w:autoSpaceDE w:val="0"/>
        <w:autoSpaceDN w:val="0"/>
        <w:adjustRightInd w:val="0"/>
        <w:ind w:left="720"/>
        <w:jc w:val="both"/>
        <w:rPr>
          <w:rFonts w:ascii="Arial" w:eastAsia="MS Mincho" w:hAnsi="Arial" w:cs="Arial"/>
          <w:lang w:eastAsia="ja-JP"/>
        </w:rPr>
      </w:pPr>
    </w:p>
    <w:p w14:paraId="03350C9F" w14:textId="1F5ABD86" w:rsidR="00594828" w:rsidRPr="00A04096" w:rsidRDefault="00CB2615" w:rsidP="00CF25BB">
      <w:pPr>
        <w:numPr>
          <w:ilvl w:val="0"/>
          <w:numId w:val="50"/>
        </w:numPr>
        <w:autoSpaceDE w:val="0"/>
        <w:autoSpaceDN w:val="0"/>
        <w:adjustRightInd w:val="0"/>
        <w:jc w:val="both"/>
        <w:rPr>
          <w:rFonts w:ascii="Arial" w:eastAsia="MS Mincho" w:hAnsi="Arial" w:cs="Arial"/>
          <w:lang w:eastAsia="ja-JP"/>
        </w:rPr>
      </w:pPr>
      <w:r w:rsidRPr="00A04096">
        <w:rPr>
          <w:rFonts w:ascii="Arial" w:eastAsia="MS Mincho" w:hAnsi="Arial" w:cs="Arial"/>
          <w:lang w:eastAsia="ja-JP"/>
        </w:rPr>
        <w:t>Abolish the two-tier shire systems to create larger, single-tier councils.</w:t>
      </w:r>
    </w:p>
    <w:p w14:paraId="1FD469B0" w14:textId="77777777" w:rsidR="00F1577A" w:rsidRPr="009D189D" w:rsidRDefault="00F1577A" w:rsidP="00F1577A">
      <w:pPr>
        <w:autoSpaceDE w:val="0"/>
        <w:autoSpaceDN w:val="0"/>
        <w:adjustRightInd w:val="0"/>
        <w:ind w:left="720"/>
        <w:jc w:val="both"/>
        <w:rPr>
          <w:rFonts w:ascii="Arial" w:eastAsia="MS Mincho" w:hAnsi="Arial" w:cs="Arial"/>
          <w:lang w:eastAsia="ja-JP"/>
        </w:rPr>
      </w:pPr>
    </w:p>
    <w:p w14:paraId="372C11C3" w14:textId="77777777" w:rsidR="00A915AC" w:rsidRPr="00A04096" w:rsidRDefault="009D189D" w:rsidP="00CF25BB">
      <w:pPr>
        <w:numPr>
          <w:ilvl w:val="0"/>
          <w:numId w:val="51"/>
        </w:numPr>
        <w:autoSpaceDE w:val="0"/>
        <w:autoSpaceDN w:val="0"/>
        <w:adjustRightInd w:val="0"/>
        <w:jc w:val="both"/>
        <w:rPr>
          <w:rFonts w:ascii="Arial" w:eastAsia="MS Mincho" w:hAnsi="Arial" w:cs="Arial"/>
          <w:lang w:eastAsia="ja-JP"/>
        </w:rPr>
      </w:pPr>
      <w:r w:rsidRPr="009D189D">
        <w:rPr>
          <w:rFonts w:ascii="Arial" w:eastAsia="MS Mincho" w:hAnsi="Arial" w:cs="Arial"/>
          <w:lang w:eastAsia="ja-JP"/>
        </w:rPr>
        <w:t>Create a new licensing framework for taxis and private hire vehicles.</w:t>
      </w:r>
    </w:p>
    <w:p w14:paraId="1049075C" w14:textId="1584E68F" w:rsidR="009D189D" w:rsidRPr="009D189D" w:rsidRDefault="009D189D" w:rsidP="00A915AC">
      <w:pPr>
        <w:autoSpaceDE w:val="0"/>
        <w:autoSpaceDN w:val="0"/>
        <w:adjustRightInd w:val="0"/>
        <w:ind w:left="720"/>
        <w:jc w:val="both"/>
        <w:rPr>
          <w:rFonts w:ascii="Arial" w:eastAsia="MS Mincho" w:hAnsi="Arial" w:cs="Arial"/>
          <w:lang w:eastAsia="ja-JP"/>
        </w:rPr>
      </w:pPr>
    </w:p>
    <w:p w14:paraId="5CAC1229" w14:textId="77777777" w:rsidR="009D189D" w:rsidRPr="00A04096" w:rsidRDefault="009D189D" w:rsidP="00CF25BB">
      <w:pPr>
        <w:numPr>
          <w:ilvl w:val="0"/>
          <w:numId w:val="52"/>
        </w:numPr>
        <w:autoSpaceDE w:val="0"/>
        <w:autoSpaceDN w:val="0"/>
        <w:adjustRightInd w:val="0"/>
        <w:jc w:val="both"/>
        <w:rPr>
          <w:rFonts w:ascii="Arial" w:eastAsia="MS Mincho" w:hAnsi="Arial" w:cs="Arial"/>
          <w:lang w:eastAsia="ja-JP"/>
        </w:rPr>
      </w:pPr>
      <w:r w:rsidRPr="009D189D">
        <w:rPr>
          <w:rFonts w:ascii="Arial" w:eastAsia="MS Mincho" w:hAnsi="Arial" w:cs="Arial"/>
          <w:lang w:eastAsia="ja-JP"/>
        </w:rPr>
        <w:t>Give the Mayor of London certain licensing powers in relation to hospitality. </w:t>
      </w:r>
    </w:p>
    <w:p w14:paraId="672CDD60" w14:textId="77777777" w:rsidR="005C2E42" w:rsidRPr="009D189D" w:rsidRDefault="005C2E42" w:rsidP="005C2E42">
      <w:pPr>
        <w:autoSpaceDE w:val="0"/>
        <w:autoSpaceDN w:val="0"/>
        <w:adjustRightInd w:val="0"/>
        <w:ind w:left="720"/>
        <w:jc w:val="both"/>
        <w:rPr>
          <w:rFonts w:ascii="Arial" w:eastAsia="MS Mincho" w:hAnsi="Arial" w:cs="Arial"/>
          <w:lang w:eastAsia="ja-JP"/>
        </w:rPr>
      </w:pPr>
    </w:p>
    <w:p w14:paraId="5041A282" w14:textId="77777777" w:rsidR="009D189D" w:rsidRPr="00A04096" w:rsidRDefault="009D189D" w:rsidP="00CF25BB">
      <w:pPr>
        <w:numPr>
          <w:ilvl w:val="0"/>
          <w:numId w:val="53"/>
        </w:numPr>
        <w:autoSpaceDE w:val="0"/>
        <w:autoSpaceDN w:val="0"/>
        <w:adjustRightInd w:val="0"/>
        <w:jc w:val="both"/>
        <w:rPr>
          <w:rFonts w:ascii="Arial" w:eastAsia="MS Mincho" w:hAnsi="Arial" w:cs="Arial"/>
          <w:lang w:eastAsia="ja-JP"/>
        </w:rPr>
      </w:pPr>
      <w:r w:rsidRPr="009D189D">
        <w:rPr>
          <w:rFonts w:ascii="Arial" w:eastAsia="MS Mincho" w:hAnsi="Arial" w:cs="Arial"/>
          <w:lang w:eastAsia="ja-JP"/>
        </w:rPr>
        <w:t>Introduce a community right to buy assets of community value and introduce a new category of asset—the sporting asset of community value. </w:t>
      </w:r>
    </w:p>
    <w:p w14:paraId="41A9433A" w14:textId="77777777" w:rsidR="00A915AC" w:rsidRPr="009D189D" w:rsidRDefault="00A915AC" w:rsidP="00A915AC">
      <w:pPr>
        <w:autoSpaceDE w:val="0"/>
        <w:autoSpaceDN w:val="0"/>
        <w:adjustRightInd w:val="0"/>
        <w:ind w:left="720"/>
        <w:jc w:val="both"/>
        <w:rPr>
          <w:rFonts w:ascii="Arial" w:eastAsia="MS Mincho" w:hAnsi="Arial" w:cs="Arial"/>
          <w:lang w:eastAsia="ja-JP"/>
        </w:rPr>
      </w:pPr>
    </w:p>
    <w:p w14:paraId="0104397C" w14:textId="77777777" w:rsidR="009D189D" w:rsidRPr="00A04096" w:rsidRDefault="009D189D" w:rsidP="00CF25BB">
      <w:pPr>
        <w:numPr>
          <w:ilvl w:val="0"/>
          <w:numId w:val="54"/>
        </w:numPr>
        <w:autoSpaceDE w:val="0"/>
        <w:autoSpaceDN w:val="0"/>
        <w:adjustRightInd w:val="0"/>
        <w:jc w:val="both"/>
        <w:rPr>
          <w:rFonts w:ascii="Arial" w:eastAsia="MS Mincho" w:hAnsi="Arial" w:cs="Arial"/>
          <w:lang w:eastAsia="ja-JP"/>
        </w:rPr>
      </w:pPr>
      <w:r w:rsidRPr="009D189D">
        <w:rPr>
          <w:rFonts w:ascii="Arial" w:eastAsia="MS Mincho" w:hAnsi="Arial" w:cs="Arial"/>
          <w:lang w:eastAsia="ja-JP"/>
        </w:rPr>
        <w:t>Create the Local Audit Office, whose main objective would be to secure the effective operation of the local audit system. </w:t>
      </w:r>
    </w:p>
    <w:p w14:paraId="08C3F0B1" w14:textId="77777777" w:rsidR="005C2E42" w:rsidRPr="009D189D" w:rsidRDefault="005C2E42" w:rsidP="005C2E42">
      <w:pPr>
        <w:autoSpaceDE w:val="0"/>
        <w:autoSpaceDN w:val="0"/>
        <w:adjustRightInd w:val="0"/>
        <w:ind w:left="360"/>
        <w:jc w:val="both"/>
        <w:rPr>
          <w:rFonts w:ascii="Arial" w:eastAsia="MS Mincho" w:hAnsi="Arial" w:cs="Arial"/>
          <w:lang w:eastAsia="ja-JP"/>
        </w:rPr>
      </w:pPr>
    </w:p>
    <w:p w14:paraId="1A1DFEE0" w14:textId="77777777" w:rsidR="009D189D" w:rsidRPr="009D189D" w:rsidRDefault="009D189D" w:rsidP="00CF25BB">
      <w:pPr>
        <w:numPr>
          <w:ilvl w:val="0"/>
          <w:numId w:val="55"/>
        </w:numPr>
        <w:autoSpaceDE w:val="0"/>
        <w:autoSpaceDN w:val="0"/>
        <w:adjustRightInd w:val="0"/>
        <w:jc w:val="both"/>
        <w:rPr>
          <w:rFonts w:ascii="Arial" w:eastAsia="MS Mincho" w:hAnsi="Arial" w:cs="Arial"/>
          <w:lang w:eastAsia="ja-JP"/>
        </w:rPr>
      </w:pPr>
      <w:r w:rsidRPr="009D189D">
        <w:rPr>
          <w:rFonts w:ascii="Arial" w:eastAsia="MS Mincho" w:hAnsi="Arial" w:cs="Arial"/>
          <w:lang w:eastAsia="ja-JP"/>
        </w:rPr>
        <w:t>Ban upwards-only rent reviews in new and renewal commercial leases in England and Wales. </w:t>
      </w:r>
    </w:p>
    <w:p w14:paraId="37CACEA4" w14:textId="77777777" w:rsidR="00472730" w:rsidRDefault="00472730" w:rsidP="009D4681">
      <w:pPr>
        <w:autoSpaceDE w:val="0"/>
        <w:autoSpaceDN w:val="0"/>
        <w:adjustRightInd w:val="0"/>
        <w:jc w:val="both"/>
        <w:rPr>
          <w:rFonts w:ascii="Arial" w:eastAsia="MS Mincho" w:hAnsi="Arial" w:cs="Arial"/>
          <w:highlight w:val="yellow"/>
          <w:lang w:eastAsia="ja-JP"/>
        </w:rPr>
      </w:pPr>
    </w:p>
    <w:p w14:paraId="362A95A3" w14:textId="0D869031" w:rsidR="009D4681" w:rsidRDefault="009D4681" w:rsidP="009D4681">
      <w:pPr>
        <w:autoSpaceDE w:val="0"/>
        <w:autoSpaceDN w:val="0"/>
        <w:adjustRightInd w:val="0"/>
        <w:jc w:val="both"/>
        <w:rPr>
          <w:rFonts w:ascii="Arial" w:eastAsia="MS Mincho" w:hAnsi="Arial" w:cs="Arial"/>
          <w:lang w:eastAsia="ja-JP"/>
        </w:rPr>
      </w:pPr>
      <w:r w:rsidRPr="009442F0">
        <w:rPr>
          <w:rFonts w:ascii="Arial" w:eastAsia="MS Mincho" w:hAnsi="Arial" w:cs="Arial"/>
          <w:lang w:eastAsia="ja-JP"/>
        </w:rPr>
        <w:t>Th</w:t>
      </w:r>
      <w:r w:rsidR="00215164" w:rsidRPr="009442F0">
        <w:rPr>
          <w:rFonts w:ascii="Arial" w:eastAsia="MS Mincho" w:hAnsi="Arial" w:cs="Arial"/>
          <w:lang w:eastAsia="ja-JP"/>
        </w:rPr>
        <w:t>e Bill is considered</w:t>
      </w:r>
      <w:r w:rsidR="002245BB" w:rsidRPr="009442F0">
        <w:rPr>
          <w:rFonts w:ascii="Arial" w:eastAsia="MS Mincho" w:hAnsi="Arial" w:cs="Arial"/>
          <w:lang w:eastAsia="ja-JP"/>
        </w:rPr>
        <w:t xml:space="preserve"> on</w:t>
      </w:r>
      <w:r w:rsidR="00170FE6">
        <w:rPr>
          <w:rFonts w:ascii="Arial" w:eastAsia="MS Mincho" w:hAnsi="Arial" w:cs="Arial"/>
          <w:lang w:eastAsia="ja-JP"/>
        </w:rPr>
        <w:t>e</w:t>
      </w:r>
      <w:r w:rsidR="002245BB" w:rsidRPr="009442F0">
        <w:rPr>
          <w:rFonts w:ascii="Arial" w:eastAsia="MS Mincho" w:hAnsi="Arial" w:cs="Arial"/>
          <w:lang w:eastAsia="ja-JP"/>
        </w:rPr>
        <w:t xml:space="preserve"> of</w:t>
      </w:r>
      <w:r w:rsidRPr="009442F0">
        <w:rPr>
          <w:rFonts w:ascii="Arial" w:eastAsia="MS Mincho" w:hAnsi="Arial" w:cs="Arial"/>
          <w:lang w:eastAsia="ja-JP"/>
        </w:rPr>
        <w:t xml:space="preserve"> the </w:t>
      </w:r>
      <w:r w:rsidR="006F6546" w:rsidRPr="009442F0">
        <w:rPr>
          <w:rFonts w:ascii="Arial" w:eastAsia="MS Mincho" w:hAnsi="Arial" w:cs="Arial"/>
          <w:lang w:eastAsia="ja-JP"/>
        </w:rPr>
        <w:t>most</w:t>
      </w:r>
      <w:r w:rsidRPr="009442F0">
        <w:rPr>
          <w:rFonts w:ascii="Arial" w:eastAsia="MS Mincho" w:hAnsi="Arial" w:cs="Arial"/>
          <w:lang w:eastAsia="ja-JP"/>
        </w:rPr>
        <w:t xml:space="preserve"> major policy statement</w:t>
      </w:r>
      <w:r w:rsidR="00EA67D0">
        <w:rPr>
          <w:rFonts w:ascii="Arial" w:eastAsia="MS Mincho" w:hAnsi="Arial" w:cs="Arial"/>
          <w:lang w:eastAsia="ja-JP"/>
        </w:rPr>
        <w:t>s</w:t>
      </w:r>
      <w:r w:rsidR="009411C3">
        <w:rPr>
          <w:rFonts w:ascii="Arial" w:eastAsia="MS Mincho" w:hAnsi="Arial" w:cs="Arial"/>
          <w:lang w:eastAsia="ja-JP"/>
        </w:rPr>
        <w:t xml:space="preserve">, </w:t>
      </w:r>
      <w:r w:rsidRPr="009442F0">
        <w:rPr>
          <w:rFonts w:ascii="Arial" w:eastAsia="MS Mincho" w:hAnsi="Arial" w:cs="Arial"/>
          <w:lang w:eastAsia="ja-JP"/>
        </w:rPr>
        <w:t xml:space="preserve"> </w:t>
      </w:r>
      <w:r w:rsidR="008D39DE">
        <w:rPr>
          <w:rFonts w:ascii="Arial" w:eastAsia="MS Mincho" w:hAnsi="Arial" w:cs="Arial"/>
          <w:lang w:eastAsia="ja-JP"/>
        </w:rPr>
        <w:t>containing</w:t>
      </w:r>
      <w:r w:rsidR="009411C3" w:rsidRPr="009442F0">
        <w:rPr>
          <w:rFonts w:ascii="Arial" w:eastAsia="MS Mincho" w:hAnsi="Arial" w:cs="Arial"/>
          <w:lang w:eastAsia="ja-JP"/>
        </w:rPr>
        <w:t xml:space="preserve"> landmark reform for local government</w:t>
      </w:r>
      <w:r w:rsidR="008D39DE">
        <w:rPr>
          <w:rFonts w:ascii="Arial" w:eastAsia="MS Mincho" w:hAnsi="Arial" w:cs="Arial"/>
          <w:lang w:eastAsia="ja-JP"/>
        </w:rPr>
        <w:t>,</w:t>
      </w:r>
      <w:r w:rsidR="009411C3" w:rsidRPr="009442F0">
        <w:rPr>
          <w:rFonts w:ascii="Arial" w:eastAsia="MS Mincho" w:hAnsi="Arial" w:cs="Arial"/>
          <w:lang w:eastAsia="ja-JP"/>
        </w:rPr>
        <w:t xml:space="preserve"> </w:t>
      </w:r>
      <w:r w:rsidRPr="009442F0">
        <w:rPr>
          <w:rFonts w:ascii="Arial" w:eastAsia="MS Mincho" w:hAnsi="Arial" w:cs="Arial"/>
          <w:lang w:eastAsia="ja-JP"/>
        </w:rPr>
        <w:t xml:space="preserve">on </w:t>
      </w:r>
      <w:r w:rsidR="002245BB" w:rsidRPr="009442F0">
        <w:rPr>
          <w:rFonts w:ascii="Arial" w:eastAsia="MS Mincho" w:hAnsi="Arial" w:cs="Arial"/>
          <w:lang w:eastAsia="ja-JP"/>
        </w:rPr>
        <w:t>the sector in the last 50 y</w:t>
      </w:r>
      <w:r w:rsidR="009442F0" w:rsidRPr="009442F0">
        <w:rPr>
          <w:rFonts w:ascii="Arial" w:eastAsia="MS Mincho" w:hAnsi="Arial" w:cs="Arial"/>
          <w:lang w:eastAsia="ja-JP"/>
        </w:rPr>
        <w:t>ears</w:t>
      </w:r>
      <w:r w:rsidRPr="009442F0">
        <w:rPr>
          <w:rFonts w:ascii="Arial" w:eastAsia="MS Mincho" w:hAnsi="Arial" w:cs="Arial"/>
          <w:lang w:eastAsia="ja-JP"/>
        </w:rPr>
        <w:t xml:space="preserve">. Reforms in </w:t>
      </w:r>
      <w:r w:rsidR="009442F0" w:rsidRPr="009442F0">
        <w:rPr>
          <w:rFonts w:ascii="Arial" w:eastAsia="MS Mincho" w:hAnsi="Arial" w:cs="Arial"/>
          <w:lang w:eastAsia="ja-JP"/>
        </w:rPr>
        <w:t>the Bill</w:t>
      </w:r>
      <w:r w:rsidRPr="009442F0">
        <w:rPr>
          <w:rFonts w:ascii="Arial" w:eastAsia="MS Mincho" w:hAnsi="Arial" w:cs="Arial"/>
          <w:lang w:eastAsia="ja-JP"/>
        </w:rPr>
        <w:t xml:space="preserve"> will have a significant impact on every council and poses a particular threat to district councils and the frontline services they deliver. </w:t>
      </w:r>
      <w:r w:rsidR="00975503" w:rsidRPr="009442F0">
        <w:rPr>
          <w:rFonts w:ascii="Arial" w:eastAsia="MS Mincho" w:hAnsi="Arial" w:cs="Arial"/>
          <w:lang w:eastAsia="ja-JP"/>
        </w:rPr>
        <w:t xml:space="preserve"> </w:t>
      </w:r>
    </w:p>
    <w:p w14:paraId="1D6F07AD" w14:textId="77777777" w:rsidR="00FC56C0" w:rsidRDefault="00FC56C0" w:rsidP="009D4681">
      <w:pPr>
        <w:autoSpaceDE w:val="0"/>
        <w:autoSpaceDN w:val="0"/>
        <w:adjustRightInd w:val="0"/>
        <w:jc w:val="both"/>
        <w:rPr>
          <w:rFonts w:ascii="Arial" w:eastAsia="MS Mincho" w:hAnsi="Arial" w:cs="Arial"/>
          <w:lang w:eastAsia="ja-JP"/>
        </w:rPr>
      </w:pPr>
    </w:p>
    <w:p w14:paraId="01559F89" w14:textId="595669B2" w:rsidR="00E66D2F" w:rsidRPr="003F45FF" w:rsidRDefault="00FD61A0" w:rsidP="003F45FF">
      <w:pPr>
        <w:autoSpaceDE w:val="0"/>
        <w:autoSpaceDN w:val="0"/>
        <w:adjustRightInd w:val="0"/>
        <w:jc w:val="both"/>
        <w:rPr>
          <w:rFonts w:ascii="Arial" w:eastAsia="MS Mincho" w:hAnsi="Arial" w:cs="Arial"/>
          <w:lang w:eastAsia="ja-JP"/>
        </w:rPr>
      </w:pPr>
      <w:r w:rsidRPr="003F45FF">
        <w:rPr>
          <w:rFonts w:ascii="Arial" w:eastAsia="MS Mincho" w:hAnsi="Arial" w:cs="Arial"/>
          <w:lang w:eastAsia="ja-JP"/>
        </w:rPr>
        <w:t xml:space="preserve">There are three separate </w:t>
      </w:r>
      <w:r w:rsidR="009553AB" w:rsidRPr="003F45FF">
        <w:rPr>
          <w:rFonts w:ascii="Arial" w:eastAsia="MS Mincho" w:hAnsi="Arial" w:cs="Arial"/>
          <w:lang w:eastAsia="ja-JP"/>
        </w:rPr>
        <w:t xml:space="preserve">tranches </w:t>
      </w:r>
      <w:r w:rsidR="004934B8" w:rsidRPr="003F45FF">
        <w:rPr>
          <w:rFonts w:ascii="Arial" w:eastAsia="MS Mincho" w:hAnsi="Arial" w:cs="Arial"/>
          <w:lang w:eastAsia="ja-JP"/>
        </w:rPr>
        <w:t>for re-organisation</w:t>
      </w:r>
      <w:r w:rsidR="00B025D3" w:rsidRPr="003F45FF">
        <w:rPr>
          <w:rFonts w:ascii="Arial" w:eastAsia="MS Mincho" w:hAnsi="Arial" w:cs="Arial"/>
          <w:lang w:eastAsia="ja-JP"/>
        </w:rPr>
        <w:t>:</w:t>
      </w:r>
    </w:p>
    <w:p w14:paraId="2060C725" w14:textId="77777777" w:rsidR="00B025D3" w:rsidRPr="003F45FF" w:rsidRDefault="00B025D3" w:rsidP="003F45FF">
      <w:pPr>
        <w:autoSpaceDE w:val="0"/>
        <w:autoSpaceDN w:val="0"/>
        <w:adjustRightInd w:val="0"/>
        <w:jc w:val="both"/>
        <w:rPr>
          <w:rFonts w:ascii="Arial" w:eastAsia="MS Mincho" w:hAnsi="Arial" w:cs="Arial"/>
          <w:lang w:eastAsia="ja-JP"/>
        </w:rPr>
      </w:pPr>
    </w:p>
    <w:p w14:paraId="078856E3" w14:textId="77777777" w:rsidR="003F45FF" w:rsidRDefault="003F45FF" w:rsidP="00CF25BB">
      <w:pPr>
        <w:numPr>
          <w:ilvl w:val="0"/>
          <w:numId w:val="58"/>
        </w:numPr>
        <w:autoSpaceDE w:val="0"/>
        <w:autoSpaceDN w:val="0"/>
        <w:adjustRightInd w:val="0"/>
        <w:jc w:val="both"/>
        <w:rPr>
          <w:rFonts w:ascii="Arial" w:eastAsia="MS Mincho" w:hAnsi="Arial" w:cs="Arial"/>
          <w:lang w:eastAsia="ja-JP"/>
        </w:rPr>
      </w:pPr>
      <w:r w:rsidRPr="003F45FF">
        <w:rPr>
          <w:rFonts w:ascii="Arial" w:eastAsia="MS Mincho" w:hAnsi="Arial" w:cs="Arial"/>
          <w:lang w:eastAsia="ja-JP"/>
        </w:rPr>
        <w:t>Surrey (Accelerated Timeline): This area is on an accelerated path, with the new unitary councils scheduled to become fully operational on April 1, 2027.</w:t>
      </w:r>
    </w:p>
    <w:p w14:paraId="0B4D891B" w14:textId="77777777" w:rsidR="003F45FF" w:rsidRPr="003F45FF" w:rsidRDefault="003F45FF" w:rsidP="003F45FF">
      <w:pPr>
        <w:autoSpaceDE w:val="0"/>
        <w:autoSpaceDN w:val="0"/>
        <w:adjustRightInd w:val="0"/>
        <w:ind w:left="720"/>
        <w:jc w:val="both"/>
        <w:rPr>
          <w:rFonts w:ascii="Arial" w:eastAsia="MS Mincho" w:hAnsi="Arial" w:cs="Arial"/>
          <w:lang w:eastAsia="ja-JP"/>
        </w:rPr>
      </w:pPr>
    </w:p>
    <w:p w14:paraId="1479E72F" w14:textId="77777777" w:rsidR="003F45FF" w:rsidRDefault="003F45FF" w:rsidP="00CF25BB">
      <w:pPr>
        <w:numPr>
          <w:ilvl w:val="0"/>
          <w:numId w:val="58"/>
        </w:numPr>
        <w:autoSpaceDE w:val="0"/>
        <w:autoSpaceDN w:val="0"/>
        <w:adjustRightInd w:val="0"/>
        <w:jc w:val="both"/>
        <w:rPr>
          <w:rFonts w:ascii="Arial" w:eastAsia="MS Mincho" w:hAnsi="Arial" w:cs="Arial"/>
          <w:lang w:eastAsia="ja-JP"/>
        </w:rPr>
      </w:pPr>
      <w:r w:rsidRPr="003F45FF">
        <w:rPr>
          <w:rFonts w:ascii="Arial" w:eastAsia="MS Mincho" w:hAnsi="Arial" w:cs="Arial"/>
          <w:lang w:eastAsia="ja-JP"/>
        </w:rPr>
        <w:t>Devolution Priority Programme (DPP) Areas: Six areas in the DPP (Cumbria, Cheshire &amp; Warrington, Greater Essex, Sussex &amp; Brighton, Norfolk &amp; Suffolk, and Hampshire &amp; the Solent) have a later operational date of April 1, 2028, but a faster consultation and decision timeline to align with devolution plans.</w:t>
      </w:r>
    </w:p>
    <w:p w14:paraId="44A449B7" w14:textId="77777777" w:rsidR="003F45FF" w:rsidRPr="003F45FF" w:rsidRDefault="003F45FF" w:rsidP="003F45FF">
      <w:pPr>
        <w:autoSpaceDE w:val="0"/>
        <w:autoSpaceDN w:val="0"/>
        <w:adjustRightInd w:val="0"/>
        <w:jc w:val="both"/>
        <w:rPr>
          <w:rFonts w:ascii="Arial" w:eastAsia="MS Mincho" w:hAnsi="Arial" w:cs="Arial"/>
          <w:lang w:eastAsia="ja-JP"/>
        </w:rPr>
      </w:pPr>
    </w:p>
    <w:p w14:paraId="23A6A9B4" w14:textId="330C81E6" w:rsidR="003F45FF" w:rsidRPr="003F45FF" w:rsidRDefault="003F45FF" w:rsidP="00CF25BB">
      <w:pPr>
        <w:numPr>
          <w:ilvl w:val="0"/>
          <w:numId w:val="58"/>
        </w:numPr>
        <w:autoSpaceDE w:val="0"/>
        <w:autoSpaceDN w:val="0"/>
        <w:adjustRightInd w:val="0"/>
        <w:jc w:val="both"/>
        <w:rPr>
          <w:rFonts w:ascii="Arial" w:eastAsia="MS Mincho" w:hAnsi="Arial" w:cs="Arial"/>
          <w:lang w:eastAsia="ja-JP"/>
        </w:rPr>
      </w:pPr>
      <w:r w:rsidRPr="003F45FF">
        <w:rPr>
          <w:rFonts w:ascii="Arial" w:eastAsia="MS Mincho" w:hAnsi="Arial" w:cs="Arial"/>
          <w:lang w:eastAsia="ja-JP"/>
        </w:rPr>
        <w:t xml:space="preserve">Other Areas: The remaining 14 two-tier areas </w:t>
      </w:r>
      <w:r w:rsidR="0086482C">
        <w:rPr>
          <w:rFonts w:ascii="Arial" w:eastAsia="MS Mincho" w:hAnsi="Arial" w:cs="Arial"/>
          <w:lang w:eastAsia="ja-JP"/>
        </w:rPr>
        <w:t xml:space="preserve">(including Lincolnshire) </w:t>
      </w:r>
      <w:r w:rsidRPr="003F45FF">
        <w:rPr>
          <w:rFonts w:ascii="Arial" w:eastAsia="MS Mincho" w:hAnsi="Arial" w:cs="Arial"/>
          <w:lang w:eastAsia="ja-JP"/>
        </w:rPr>
        <w:t>not in the DPP have the same operational date of April 1, 2028, as the DPP areas but follow a slightly different procedural timeline for consultation. </w:t>
      </w:r>
    </w:p>
    <w:p w14:paraId="0232FCC6" w14:textId="77777777" w:rsidR="00B025D3" w:rsidRPr="003F45FF" w:rsidRDefault="00B025D3" w:rsidP="003F45FF">
      <w:pPr>
        <w:autoSpaceDE w:val="0"/>
        <w:autoSpaceDN w:val="0"/>
        <w:adjustRightInd w:val="0"/>
        <w:jc w:val="both"/>
        <w:rPr>
          <w:rFonts w:ascii="Arial" w:eastAsia="MS Mincho" w:hAnsi="Arial" w:cs="Arial"/>
          <w:lang w:eastAsia="ja-JP"/>
        </w:rPr>
      </w:pPr>
    </w:p>
    <w:p w14:paraId="60F269F0" w14:textId="1CABEE30" w:rsidR="008F683D" w:rsidRDefault="00FC0097" w:rsidP="009D4681">
      <w:pPr>
        <w:autoSpaceDE w:val="0"/>
        <w:autoSpaceDN w:val="0"/>
        <w:adjustRightInd w:val="0"/>
        <w:jc w:val="both"/>
        <w:rPr>
          <w:rFonts w:ascii="Arial" w:eastAsia="MS Mincho" w:hAnsi="Arial" w:cs="Arial"/>
          <w:lang w:eastAsia="ja-JP"/>
        </w:rPr>
      </w:pPr>
      <w:r w:rsidRPr="00EC555D">
        <w:rPr>
          <w:rFonts w:ascii="Arial" w:eastAsia="MS Mincho" w:hAnsi="Arial" w:cs="Arial"/>
          <w:lang w:eastAsia="ja-JP"/>
        </w:rPr>
        <w:t>The creation of unitary authorities</w:t>
      </w:r>
      <w:r w:rsidR="00A03506">
        <w:rPr>
          <w:rFonts w:ascii="Arial" w:eastAsia="MS Mincho" w:hAnsi="Arial" w:cs="Arial"/>
          <w:lang w:eastAsia="ja-JP"/>
        </w:rPr>
        <w:t xml:space="preserve">, through </w:t>
      </w:r>
      <w:r w:rsidR="00A03506" w:rsidRPr="00504CFE">
        <w:rPr>
          <w:rFonts w:ascii="Arial" w:eastAsia="MS Mincho" w:hAnsi="Arial" w:cs="Arial"/>
          <w:lang w:eastAsia="ja-JP"/>
        </w:rPr>
        <w:t>LGR</w:t>
      </w:r>
      <w:r w:rsidR="00504CFE" w:rsidRPr="00504CFE">
        <w:rPr>
          <w:rFonts w:ascii="Arial" w:eastAsia="MS Mincho" w:hAnsi="Arial" w:cs="Arial"/>
          <w:lang w:eastAsia="ja-JP"/>
        </w:rPr>
        <w:t xml:space="preserve"> </w:t>
      </w:r>
      <w:r w:rsidR="00A03506" w:rsidRPr="00504CFE">
        <w:rPr>
          <w:rFonts w:ascii="Arial" w:eastAsia="MS Mincho" w:hAnsi="Arial" w:cs="Arial"/>
          <w:lang w:eastAsia="ja-JP"/>
        </w:rPr>
        <w:t>will</w:t>
      </w:r>
      <w:r w:rsidRPr="00EC555D">
        <w:rPr>
          <w:rFonts w:ascii="Arial" w:eastAsia="MS Mincho" w:hAnsi="Arial" w:cs="Arial"/>
          <w:lang w:eastAsia="ja-JP"/>
        </w:rPr>
        <w:t xml:space="preserve"> impact</w:t>
      </w:r>
      <w:r w:rsidR="00CE2A88" w:rsidRPr="00EC555D">
        <w:rPr>
          <w:rFonts w:ascii="Arial" w:eastAsia="MS Mincho" w:hAnsi="Arial" w:cs="Arial"/>
          <w:lang w:eastAsia="ja-JP"/>
        </w:rPr>
        <w:t xml:space="preserve"> all of the Councils in</w:t>
      </w:r>
      <w:r w:rsidRPr="00EC555D">
        <w:rPr>
          <w:rFonts w:ascii="Arial" w:eastAsia="MS Mincho" w:hAnsi="Arial" w:cs="Arial"/>
          <w:lang w:eastAsia="ja-JP"/>
        </w:rPr>
        <w:t xml:space="preserve"> Lincolnshire, </w:t>
      </w:r>
      <w:r w:rsidR="00CE2A88" w:rsidRPr="00EC555D">
        <w:rPr>
          <w:rFonts w:ascii="Arial" w:eastAsia="MS Mincho" w:hAnsi="Arial" w:cs="Arial"/>
          <w:lang w:eastAsia="ja-JP"/>
        </w:rPr>
        <w:t>which</w:t>
      </w:r>
      <w:r w:rsidRPr="00EC555D">
        <w:rPr>
          <w:rFonts w:ascii="Arial" w:eastAsia="MS Mincho" w:hAnsi="Arial" w:cs="Arial"/>
          <w:lang w:eastAsia="ja-JP"/>
        </w:rPr>
        <w:t xml:space="preserve"> currently operat</w:t>
      </w:r>
      <w:r w:rsidR="00CE2A88" w:rsidRPr="00EC555D">
        <w:rPr>
          <w:rFonts w:ascii="Arial" w:eastAsia="MS Mincho" w:hAnsi="Arial" w:cs="Arial"/>
          <w:lang w:eastAsia="ja-JP"/>
        </w:rPr>
        <w:t>es</w:t>
      </w:r>
      <w:r w:rsidRPr="00EC555D">
        <w:rPr>
          <w:rFonts w:ascii="Arial" w:eastAsia="MS Mincho" w:hAnsi="Arial" w:cs="Arial"/>
          <w:lang w:eastAsia="ja-JP"/>
        </w:rPr>
        <w:t xml:space="preserve"> in a two-tier system</w:t>
      </w:r>
      <w:r w:rsidR="00CE2A88" w:rsidRPr="00EC555D">
        <w:rPr>
          <w:rFonts w:ascii="Arial" w:eastAsia="MS Mincho" w:hAnsi="Arial" w:cs="Arial"/>
          <w:lang w:eastAsia="ja-JP"/>
        </w:rPr>
        <w:t xml:space="preserve"> with a County and </w:t>
      </w:r>
      <w:r w:rsidR="00B46F8B">
        <w:rPr>
          <w:rFonts w:ascii="Arial" w:eastAsia="MS Mincho" w:hAnsi="Arial" w:cs="Arial"/>
          <w:lang w:eastAsia="ja-JP"/>
        </w:rPr>
        <w:t>5</w:t>
      </w:r>
      <w:r w:rsidR="00CE2A88" w:rsidRPr="00EC555D">
        <w:rPr>
          <w:rFonts w:ascii="Arial" w:eastAsia="MS Mincho" w:hAnsi="Arial" w:cs="Arial"/>
          <w:lang w:eastAsia="ja-JP"/>
        </w:rPr>
        <w:t xml:space="preserve"> District Councils</w:t>
      </w:r>
      <w:r w:rsidR="00B46F8B">
        <w:rPr>
          <w:rFonts w:ascii="Arial" w:eastAsia="MS Mincho" w:hAnsi="Arial" w:cs="Arial"/>
          <w:lang w:eastAsia="ja-JP"/>
        </w:rPr>
        <w:t>, 1 City Council and 1 Borough Council</w:t>
      </w:r>
      <w:r w:rsidR="00CE2A88" w:rsidRPr="00EC555D">
        <w:rPr>
          <w:rFonts w:ascii="Arial" w:eastAsia="MS Mincho" w:hAnsi="Arial" w:cs="Arial"/>
          <w:lang w:eastAsia="ja-JP"/>
        </w:rPr>
        <w:t>.</w:t>
      </w:r>
      <w:r w:rsidR="006541A3" w:rsidRPr="00EC555D">
        <w:rPr>
          <w:rFonts w:ascii="Arial" w:eastAsia="MS Mincho" w:hAnsi="Arial" w:cs="Arial"/>
          <w:lang w:eastAsia="ja-JP"/>
        </w:rPr>
        <w:t xml:space="preserve"> </w:t>
      </w:r>
      <w:r w:rsidR="00B42A67" w:rsidRPr="00EC555D">
        <w:rPr>
          <w:rFonts w:ascii="Arial" w:eastAsia="MS Mincho" w:hAnsi="Arial" w:cs="Arial"/>
          <w:lang w:eastAsia="ja-JP"/>
        </w:rPr>
        <w:t>In addition</w:t>
      </w:r>
      <w:r w:rsidR="00EF6453" w:rsidRPr="00EC555D">
        <w:rPr>
          <w:rFonts w:ascii="Arial" w:eastAsia="MS Mincho" w:hAnsi="Arial" w:cs="Arial"/>
          <w:lang w:eastAsia="ja-JP"/>
        </w:rPr>
        <w:t>,</w:t>
      </w:r>
      <w:r w:rsidR="00B42A67" w:rsidRPr="00EC555D">
        <w:rPr>
          <w:rFonts w:ascii="Arial" w:eastAsia="MS Mincho" w:hAnsi="Arial" w:cs="Arial"/>
          <w:lang w:eastAsia="ja-JP"/>
        </w:rPr>
        <w:t xml:space="preserve"> </w:t>
      </w:r>
      <w:r w:rsidR="008F683D">
        <w:rPr>
          <w:rFonts w:ascii="Arial" w:eastAsia="MS Mincho" w:hAnsi="Arial" w:cs="Arial"/>
          <w:lang w:eastAsia="ja-JP"/>
        </w:rPr>
        <w:t>there  are a</w:t>
      </w:r>
      <w:r w:rsidR="008F683D" w:rsidRPr="008F683D">
        <w:rPr>
          <w:rFonts w:ascii="Arial" w:eastAsia="MS Mincho" w:hAnsi="Arial" w:cs="Arial"/>
          <w:lang w:eastAsia="ja-JP"/>
        </w:rPr>
        <w:t>lready two unitary councils in North and North East Lincolnshire.</w:t>
      </w:r>
      <w:r w:rsidR="00105330">
        <w:rPr>
          <w:rFonts w:ascii="Arial" w:eastAsia="MS Mincho" w:hAnsi="Arial" w:cs="Arial"/>
          <w:lang w:eastAsia="ja-JP"/>
        </w:rPr>
        <w:t xml:space="preserve">  A</w:t>
      </w:r>
      <w:r w:rsidR="00105330" w:rsidRPr="00105330">
        <w:rPr>
          <w:rFonts w:ascii="Arial" w:eastAsia="MS Mincho" w:hAnsi="Arial" w:cs="Arial"/>
          <w:lang w:eastAsia="ja-JP"/>
        </w:rPr>
        <w:t xml:space="preserve">ll 10 councils across Greater Lincolnshire </w:t>
      </w:r>
      <w:r w:rsidR="002F4060">
        <w:rPr>
          <w:rFonts w:ascii="Arial" w:eastAsia="MS Mincho" w:hAnsi="Arial" w:cs="Arial"/>
          <w:lang w:eastAsia="ja-JP"/>
        </w:rPr>
        <w:t>were</w:t>
      </w:r>
      <w:r w:rsidR="00105330" w:rsidRPr="00105330">
        <w:rPr>
          <w:rFonts w:ascii="Arial" w:eastAsia="MS Mincho" w:hAnsi="Arial" w:cs="Arial"/>
          <w:lang w:eastAsia="ja-JP"/>
        </w:rPr>
        <w:t xml:space="preserve"> asked to explore and submit proposals for how local government could be restructured. </w:t>
      </w:r>
    </w:p>
    <w:p w14:paraId="035C7F5C" w14:textId="77777777" w:rsidR="00662808" w:rsidRDefault="00662808" w:rsidP="009D4681">
      <w:pPr>
        <w:autoSpaceDE w:val="0"/>
        <w:autoSpaceDN w:val="0"/>
        <w:adjustRightInd w:val="0"/>
        <w:jc w:val="both"/>
        <w:rPr>
          <w:rFonts w:ascii="Arial" w:eastAsia="MS Mincho" w:hAnsi="Arial" w:cs="Arial"/>
          <w:lang w:eastAsia="ja-JP"/>
        </w:rPr>
      </w:pPr>
    </w:p>
    <w:p w14:paraId="0EB34216" w14:textId="3AFCD486" w:rsidR="00662808" w:rsidRDefault="002F4060" w:rsidP="00490CBA">
      <w:pPr>
        <w:autoSpaceDE w:val="0"/>
        <w:autoSpaceDN w:val="0"/>
        <w:adjustRightInd w:val="0"/>
        <w:jc w:val="both"/>
        <w:rPr>
          <w:rFonts w:ascii="Arial" w:eastAsia="MS Mincho" w:hAnsi="Arial" w:cs="Arial"/>
          <w:lang w:eastAsia="ja-JP"/>
        </w:rPr>
      </w:pPr>
      <w:r>
        <w:rPr>
          <w:rFonts w:ascii="Arial" w:eastAsia="MS Mincho" w:hAnsi="Arial" w:cs="Arial"/>
          <w:lang w:eastAsia="ja-JP"/>
        </w:rPr>
        <w:t>In total six pro</w:t>
      </w:r>
      <w:r w:rsidR="00304DCC">
        <w:rPr>
          <w:rFonts w:ascii="Arial" w:eastAsia="MS Mincho" w:hAnsi="Arial" w:cs="Arial"/>
          <w:lang w:eastAsia="ja-JP"/>
        </w:rPr>
        <w:t>posals</w:t>
      </w:r>
      <w:r w:rsidR="006634CE">
        <w:rPr>
          <w:rFonts w:ascii="Arial" w:eastAsia="MS Mincho" w:hAnsi="Arial" w:cs="Arial"/>
          <w:lang w:eastAsia="ja-JP"/>
        </w:rPr>
        <w:t xml:space="preserve"> </w:t>
      </w:r>
      <w:r w:rsidR="008B343E">
        <w:rPr>
          <w:rFonts w:ascii="Arial" w:eastAsia="MS Mincho" w:hAnsi="Arial" w:cs="Arial"/>
          <w:lang w:eastAsia="ja-JP"/>
        </w:rPr>
        <w:t>with four different options were submitted from Greater Lincolnshire.</w:t>
      </w:r>
      <w:r w:rsidR="00D514B6">
        <w:rPr>
          <w:rFonts w:ascii="Arial" w:eastAsia="MS Mincho" w:hAnsi="Arial" w:cs="Arial"/>
          <w:lang w:eastAsia="ja-JP"/>
        </w:rPr>
        <w:t xml:space="preserve">  The City of Lincoln Council’s pr</w:t>
      </w:r>
      <w:r w:rsidR="00904B73">
        <w:rPr>
          <w:rFonts w:ascii="Arial" w:eastAsia="MS Mincho" w:hAnsi="Arial" w:cs="Arial"/>
          <w:lang w:eastAsia="ja-JP"/>
        </w:rPr>
        <w:t>oposal recommends the creation of an initial four-unitary model for Greater Lincolnshire, transitioning to three unitary councils over time</w:t>
      </w:r>
      <w:r w:rsidR="005B70AB">
        <w:rPr>
          <w:rFonts w:ascii="Arial" w:eastAsia="MS Mincho" w:hAnsi="Arial" w:cs="Arial"/>
          <w:lang w:eastAsia="ja-JP"/>
        </w:rPr>
        <w:t>:</w:t>
      </w:r>
    </w:p>
    <w:p w14:paraId="7B470E74" w14:textId="77777777" w:rsidR="005B70AB" w:rsidRDefault="005B70AB" w:rsidP="00490CBA">
      <w:pPr>
        <w:autoSpaceDE w:val="0"/>
        <w:autoSpaceDN w:val="0"/>
        <w:adjustRightInd w:val="0"/>
        <w:jc w:val="both"/>
        <w:rPr>
          <w:rFonts w:ascii="Arial" w:eastAsia="MS Mincho" w:hAnsi="Arial" w:cs="Arial"/>
          <w:lang w:eastAsia="ja-JP"/>
        </w:rPr>
      </w:pPr>
    </w:p>
    <w:p w14:paraId="4C4BE678" w14:textId="77777777" w:rsidR="005B70AB" w:rsidRPr="005B70AB" w:rsidRDefault="005B70AB" w:rsidP="00CF25BB">
      <w:pPr>
        <w:numPr>
          <w:ilvl w:val="0"/>
          <w:numId w:val="56"/>
        </w:numPr>
        <w:autoSpaceDE w:val="0"/>
        <w:autoSpaceDN w:val="0"/>
        <w:adjustRightInd w:val="0"/>
        <w:jc w:val="both"/>
        <w:rPr>
          <w:rFonts w:ascii="Arial" w:eastAsia="MS Mincho" w:hAnsi="Arial" w:cs="Arial"/>
          <w:lang w:eastAsia="ja-JP"/>
        </w:rPr>
      </w:pPr>
      <w:r w:rsidRPr="005B70AB">
        <w:rPr>
          <w:rFonts w:ascii="Arial" w:eastAsia="MS Mincho" w:hAnsi="Arial" w:cs="Arial"/>
          <w:lang w:eastAsia="ja-JP"/>
        </w:rPr>
        <w:t>a new unitary council in the area currently served by North and North East Lincolnshire councils</w:t>
      </w:r>
    </w:p>
    <w:p w14:paraId="16D575A5" w14:textId="77777777" w:rsidR="005B70AB" w:rsidRPr="005B70AB" w:rsidRDefault="005B70AB" w:rsidP="00CF25BB">
      <w:pPr>
        <w:numPr>
          <w:ilvl w:val="0"/>
          <w:numId w:val="56"/>
        </w:numPr>
        <w:autoSpaceDE w:val="0"/>
        <w:autoSpaceDN w:val="0"/>
        <w:adjustRightInd w:val="0"/>
        <w:jc w:val="both"/>
        <w:rPr>
          <w:rFonts w:ascii="Arial" w:eastAsia="MS Mincho" w:hAnsi="Arial" w:cs="Arial"/>
          <w:lang w:eastAsia="ja-JP"/>
        </w:rPr>
      </w:pPr>
      <w:r w:rsidRPr="005B70AB">
        <w:rPr>
          <w:rFonts w:ascii="Arial" w:eastAsia="MS Mincho" w:hAnsi="Arial" w:cs="Arial"/>
          <w:lang w:eastAsia="ja-JP"/>
        </w:rPr>
        <w:t>a new unitary council for rural Lincolnshire’s coastal communities, countryside and market towns</w:t>
      </w:r>
    </w:p>
    <w:p w14:paraId="160EEB93" w14:textId="77777777" w:rsidR="005B70AB" w:rsidRPr="005B70AB" w:rsidRDefault="005B70AB" w:rsidP="00CF25BB">
      <w:pPr>
        <w:numPr>
          <w:ilvl w:val="0"/>
          <w:numId w:val="56"/>
        </w:numPr>
        <w:autoSpaceDE w:val="0"/>
        <w:autoSpaceDN w:val="0"/>
        <w:adjustRightInd w:val="0"/>
        <w:jc w:val="both"/>
        <w:rPr>
          <w:rFonts w:ascii="Arial" w:eastAsia="MS Mincho" w:hAnsi="Arial" w:cs="Arial"/>
          <w:lang w:eastAsia="ja-JP"/>
        </w:rPr>
      </w:pPr>
      <w:r w:rsidRPr="005B70AB">
        <w:rPr>
          <w:rFonts w:ascii="Arial" w:eastAsia="MS Mincho" w:hAnsi="Arial" w:cs="Arial"/>
          <w:lang w:eastAsia="ja-JP"/>
        </w:rPr>
        <w:t>a new unitary council for Lincoln, which expands the city’s boundaries</w:t>
      </w:r>
    </w:p>
    <w:p w14:paraId="2F743AE4" w14:textId="77777777" w:rsidR="00F519C7" w:rsidRPr="00490CBA" w:rsidRDefault="00F519C7" w:rsidP="009D4681">
      <w:pPr>
        <w:autoSpaceDE w:val="0"/>
        <w:autoSpaceDN w:val="0"/>
        <w:adjustRightInd w:val="0"/>
        <w:jc w:val="both"/>
        <w:rPr>
          <w:rFonts w:ascii="Arial" w:eastAsia="MS Mincho" w:hAnsi="Arial" w:cs="Arial"/>
          <w:lang w:eastAsia="ja-JP"/>
        </w:rPr>
      </w:pPr>
    </w:p>
    <w:p w14:paraId="24AD347D" w14:textId="1892C484" w:rsidR="005B70AB" w:rsidRDefault="005B70AB" w:rsidP="00490CBA">
      <w:pPr>
        <w:autoSpaceDE w:val="0"/>
        <w:autoSpaceDN w:val="0"/>
        <w:adjustRightInd w:val="0"/>
        <w:jc w:val="both"/>
        <w:rPr>
          <w:rFonts w:ascii="Arial" w:eastAsia="MS Mincho" w:hAnsi="Arial" w:cs="Arial"/>
          <w:lang w:eastAsia="ja-JP"/>
        </w:rPr>
      </w:pPr>
      <w:r w:rsidRPr="00490CBA">
        <w:rPr>
          <w:rFonts w:ascii="Arial" w:eastAsia="MS Mincho" w:hAnsi="Arial" w:cs="Arial"/>
          <w:lang w:eastAsia="ja-JP"/>
        </w:rPr>
        <w:t>Other proposals submitted include:</w:t>
      </w:r>
    </w:p>
    <w:p w14:paraId="27B3BA88" w14:textId="77777777" w:rsidR="00490CBA" w:rsidRPr="00490CBA" w:rsidRDefault="00490CBA" w:rsidP="00490CBA">
      <w:pPr>
        <w:autoSpaceDE w:val="0"/>
        <w:autoSpaceDN w:val="0"/>
        <w:adjustRightInd w:val="0"/>
        <w:jc w:val="both"/>
        <w:rPr>
          <w:rFonts w:ascii="Arial" w:eastAsia="MS Mincho" w:hAnsi="Arial" w:cs="Arial"/>
          <w:lang w:eastAsia="ja-JP"/>
        </w:rPr>
      </w:pPr>
    </w:p>
    <w:p w14:paraId="1E451786" w14:textId="7EFEEA45" w:rsidR="005B70AB" w:rsidRPr="00490CBA" w:rsidRDefault="006B2AB7" w:rsidP="00CF25BB">
      <w:pPr>
        <w:pStyle w:val="ListParagraph"/>
        <w:numPr>
          <w:ilvl w:val="0"/>
          <w:numId w:val="57"/>
        </w:numPr>
        <w:autoSpaceDE w:val="0"/>
        <w:autoSpaceDN w:val="0"/>
        <w:adjustRightInd w:val="0"/>
        <w:spacing w:after="0" w:line="240" w:lineRule="auto"/>
        <w:jc w:val="both"/>
        <w:rPr>
          <w:rFonts w:ascii="Arial" w:eastAsia="MS Mincho" w:hAnsi="Arial" w:cs="Arial"/>
          <w:sz w:val="24"/>
          <w:szCs w:val="24"/>
          <w:lang w:eastAsia="ja-JP"/>
        </w:rPr>
      </w:pPr>
      <w:r w:rsidRPr="00490CBA">
        <w:rPr>
          <w:rFonts w:ascii="Arial" w:eastAsia="MS Mincho" w:hAnsi="Arial" w:cs="Arial"/>
          <w:sz w:val="24"/>
          <w:szCs w:val="24"/>
          <w:lang w:eastAsia="ja-JP"/>
        </w:rPr>
        <w:t xml:space="preserve">a three unitary model with a </w:t>
      </w:r>
      <w:r w:rsidR="005B70AB" w:rsidRPr="00490CBA">
        <w:rPr>
          <w:rFonts w:ascii="Arial" w:eastAsia="MS Mincho" w:hAnsi="Arial" w:cs="Arial"/>
          <w:sz w:val="24"/>
          <w:szCs w:val="24"/>
          <w:lang w:eastAsia="ja-JP"/>
        </w:rPr>
        <w:t>single</w:t>
      </w:r>
      <w:r w:rsidRPr="00490CBA">
        <w:rPr>
          <w:rFonts w:ascii="Arial" w:eastAsia="MS Mincho" w:hAnsi="Arial" w:cs="Arial"/>
          <w:sz w:val="24"/>
          <w:szCs w:val="24"/>
          <w:lang w:eastAsia="ja-JP"/>
        </w:rPr>
        <w:t xml:space="preserve"> Lincolnshire</w:t>
      </w:r>
      <w:r w:rsidR="005B70AB" w:rsidRPr="00490CBA">
        <w:rPr>
          <w:rFonts w:ascii="Arial" w:eastAsia="MS Mincho" w:hAnsi="Arial" w:cs="Arial"/>
          <w:sz w:val="24"/>
          <w:szCs w:val="24"/>
          <w:lang w:eastAsia="ja-JP"/>
        </w:rPr>
        <w:t xml:space="preserve"> countywide unitary council</w:t>
      </w:r>
      <w:r w:rsidR="00B06399" w:rsidRPr="00490CBA">
        <w:rPr>
          <w:rFonts w:ascii="Arial" w:eastAsia="MS Mincho" w:hAnsi="Arial" w:cs="Arial"/>
          <w:sz w:val="24"/>
          <w:szCs w:val="24"/>
          <w:lang w:eastAsia="ja-JP"/>
        </w:rPr>
        <w:t xml:space="preserve"> and </w:t>
      </w:r>
      <w:r w:rsidR="00F519C7" w:rsidRPr="00490CBA">
        <w:rPr>
          <w:rFonts w:ascii="Arial" w:eastAsia="MS Mincho" w:hAnsi="Arial" w:cs="Arial"/>
          <w:sz w:val="24"/>
          <w:szCs w:val="24"/>
          <w:lang w:eastAsia="ja-JP"/>
        </w:rPr>
        <w:t xml:space="preserve">the </w:t>
      </w:r>
      <w:r w:rsidR="00B15280" w:rsidRPr="00490CBA">
        <w:rPr>
          <w:rFonts w:ascii="Arial" w:eastAsia="MS Mincho" w:hAnsi="Arial" w:cs="Arial"/>
          <w:sz w:val="24"/>
          <w:szCs w:val="24"/>
          <w:lang w:eastAsia="ja-JP"/>
        </w:rPr>
        <w:t xml:space="preserve">two </w:t>
      </w:r>
      <w:r w:rsidR="005B31E5" w:rsidRPr="00490CBA">
        <w:rPr>
          <w:rFonts w:ascii="Arial" w:eastAsia="MS Mincho" w:hAnsi="Arial" w:cs="Arial"/>
          <w:sz w:val="24"/>
          <w:szCs w:val="24"/>
          <w:lang w:eastAsia="ja-JP"/>
        </w:rPr>
        <w:t>existing unitary councils</w:t>
      </w:r>
    </w:p>
    <w:p w14:paraId="02345543" w14:textId="68FC1873" w:rsidR="005B70AB" w:rsidRPr="00490CBA" w:rsidRDefault="001858B9" w:rsidP="00CF25BB">
      <w:pPr>
        <w:pStyle w:val="ListParagraph"/>
        <w:numPr>
          <w:ilvl w:val="0"/>
          <w:numId w:val="57"/>
        </w:numPr>
        <w:autoSpaceDE w:val="0"/>
        <w:autoSpaceDN w:val="0"/>
        <w:adjustRightInd w:val="0"/>
        <w:spacing w:after="0" w:line="240" w:lineRule="auto"/>
        <w:jc w:val="both"/>
        <w:rPr>
          <w:rFonts w:ascii="Arial" w:eastAsia="MS Mincho" w:hAnsi="Arial" w:cs="Arial"/>
          <w:sz w:val="24"/>
          <w:szCs w:val="24"/>
          <w:lang w:eastAsia="ja-JP"/>
        </w:rPr>
      </w:pPr>
      <w:r w:rsidRPr="00490CBA">
        <w:rPr>
          <w:rFonts w:ascii="Arial" w:eastAsia="MS Mincho" w:hAnsi="Arial" w:cs="Arial"/>
          <w:sz w:val="24"/>
          <w:szCs w:val="24"/>
          <w:lang w:eastAsia="ja-JP"/>
        </w:rPr>
        <w:t>the creation of two unitary councils</w:t>
      </w:r>
      <w:r w:rsidR="00195495" w:rsidRPr="00490CBA">
        <w:rPr>
          <w:rFonts w:ascii="Arial" w:eastAsia="MS Mincho" w:hAnsi="Arial" w:cs="Arial"/>
          <w:sz w:val="24"/>
          <w:szCs w:val="24"/>
          <w:lang w:eastAsia="ja-JP"/>
        </w:rPr>
        <w:t>, one North and one South</w:t>
      </w:r>
    </w:p>
    <w:p w14:paraId="3604180B" w14:textId="724912CA" w:rsidR="00D458CB" w:rsidRDefault="00BA7DD6" w:rsidP="00CF25BB">
      <w:pPr>
        <w:pStyle w:val="ListParagraph"/>
        <w:numPr>
          <w:ilvl w:val="0"/>
          <w:numId w:val="57"/>
        </w:numPr>
        <w:autoSpaceDE w:val="0"/>
        <w:autoSpaceDN w:val="0"/>
        <w:adjustRightInd w:val="0"/>
        <w:spacing w:after="0" w:line="240" w:lineRule="auto"/>
        <w:jc w:val="both"/>
        <w:rPr>
          <w:rFonts w:ascii="Arial" w:eastAsia="MS Mincho" w:hAnsi="Arial" w:cs="Arial"/>
          <w:sz w:val="24"/>
          <w:szCs w:val="24"/>
          <w:lang w:eastAsia="ja-JP"/>
        </w:rPr>
      </w:pPr>
      <w:r w:rsidRPr="00490CBA">
        <w:rPr>
          <w:rFonts w:ascii="Arial" w:eastAsia="MS Mincho" w:hAnsi="Arial" w:cs="Arial"/>
          <w:sz w:val="24"/>
          <w:szCs w:val="24"/>
          <w:lang w:eastAsia="ja-JP"/>
        </w:rPr>
        <w:t xml:space="preserve">a four unitary model </w:t>
      </w:r>
      <w:r w:rsidR="00490CBA" w:rsidRPr="00490CBA">
        <w:rPr>
          <w:rFonts w:ascii="Arial" w:eastAsia="MS Mincho" w:hAnsi="Arial" w:cs="Arial"/>
          <w:sz w:val="24"/>
          <w:szCs w:val="24"/>
          <w:lang w:eastAsia="ja-JP"/>
        </w:rPr>
        <w:t>with two new unitary councils covering Lincolnshire and the two existing unitary councils</w:t>
      </w:r>
    </w:p>
    <w:p w14:paraId="78A9077C" w14:textId="77777777" w:rsidR="00490CBA" w:rsidRPr="00490CBA" w:rsidRDefault="00490CBA" w:rsidP="00490CBA">
      <w:pPr>
        <w:autoSpaceDE w:val="0"/>
        <w:autoSpaceDN w:val="0"/>
        <w:adjustRightInd w:val="0"/>
        <w:ind w:left="360"/>
        <w:jc w:val="both"/>
        <w:rPr>
          <w:rFonts w:ascii="Arial" w:eastAsia="MS Mincho" w:hAnsi="Arial" w:cs="Arial"/>
          <w:lang w:eastAsia="ja-JP"/>
        </w:rPr>
      </w:pPr>
    </w:p>
    <w:p w14:paraId="4766765A" w14:textId="632DEA96" w:rsidR="00662808" w:rsidRPr="0056131A" w:rsidRDefault="009B4609" w:rsidP="009D4681">
      <w:pPr>
        <w:autoSpaceDE w:val="0"/>
        <w:autoSpaceDN w:val="0"/>
        <w:adjustRightInd w:val="0"/>
        <w:jc w:val="both"/>
        <w:rPr>
          <w:rFonts w:ascii="Arial" w:eastAsia="MS Mincho" w:hAnsi="Arial" w:cs="Arial"/>
          <w:lang w:eastAsia="ja-JP"/>
        </w:rPr>
      </w:pPr>
      <w:r w:rsidRPr="0056131A">
        <w:rPr>
          <w:rFonts w:ascii="Arial" w:eastAsia="MS Mincho" w:hAnsi="Arial" w:cs="Arial"/>
          <w:lang w:eastAsia="ja-JP"/>
        </w:rPr>
        <w:t xml:space="preserve">The Government will now </w:t>
      </w:r>
      <w:r w:rsidR="00816B3D" w:rsidRPr="0056131A">
        <w:rPr>
          <w:rFonts w:ascii="Arial" w:eastAsia="MS Mincho" w:hAnsi="Arial" w:cs="Arial"/>
          <w:lang w:eastAsia="ja-JP"/>
        </w:rPr>
        <w:t>undertake</w:t>
      </w:r>
      <w:r w:rsidR="003F5181" w:rsidRPr="0056131A">
        <w:rPr>
          <w:rFonts w:ascii="Arial" w:eastAsia="MS Mincho" w:hAnsi="Arial" w:cs="Arial"/>
          <w:lang w:eastAsia="ja-JP"/>
        </w:rPr>
        <w:t xml:space="preserve"> a </w:t>
      </w:r>
      <w:r w:rsidR="0011501B" w:rsidRPr="0056131A">
        <w:rPr>
          <w:rFonts w:ascii="Arial" w:eastAsia="MS Mincho" w:hAnsi="Arial" w:cs="Arial"/>
          <w:lang w:eastAsia="ja-JP"/>
        </w:rPr>
        <w:t>statutory</w:t>
      </w:r>
      <w:r w:rsidR="005C6AFF" w:rsidRPr="0056131A">
        <w:rPr>
          <w:rFonts w:ascii="Arial" w:eastAsia="MS Mincho" w:hAnsi="Arial" w:cs="Arial"/>
          <w:lang w:eastAsia="ja-JP"/>
        </w:rPr>
        <w:t xml:space="preserve"> public</w:t>
      </w:r>
      <w:r w:rsidR="003F5181" w:rsidRPr="0056131A">
        <w:rPr>
          <w:rFonts w:ascii="Arial" w:eastAsia="MS Mincho" w:hAnsi="Arial" w:cs="Arial"/>
          <w:lang w:eastAsia="ja-JP"/>
        </w:rPr>
        <w:t xml:space="preserve"> consultation</w:t>
      </w:r>
      <w:r w:rsidR="0011501B" w:rsidRPr="0056131A">
        <w:rPr>
          <w:rFonts w:ascii="Arial" w:eastAsia="MS Mincho" w:hAnsi="Arial" w:cs="Arial"/>
          <w:lang w:eastAsia="ja-JP"/>
        </w:rPr>
        <w:t xml:space="preserve"> </w:t>
      </w:r>
      <w:r w:rsidR="00EA287E">
        <w:rPr>
          <w:rFonts w:ascii="Arial" w:eastAsia="MS Mincho" w:hAnsi="Arial" w:cs="Arial"/>
          <w:lang w:eastAsia="ja-JP"/>
        </w:rPr>
        <w:t>o</w:t>
      </w:r>
      <w:r w:rsidR="0011501B" w:rsidRPr="0056131A">
        <w:rPr>
          <w:rFonts w:ascii="Arial" w:eastAsia="MS Mincho" w:hAnsi="Arial" w:cs="Arial"/>
          <w:lang w:eastAsia="ja-JP"/>
        </w:rPr>
        <w:t xml:space="preserve">n </w:t>
      </w:r>
      <w:r w:rsidR="00816B3D" w:rsidRPr="0056131A">
        <w:rPr>
          <w:rFonts w:ascii="Arial" w:eastAsia="MS Mincho" w:hAnsi="Arial" w:cs="Arial"/>
          <w:lang w:eastAsia="ja-JP"/>
        </w:rPr>
        <w:t>the proposals</w:t>
      </w:r>
      <w:r w:rsidR="000D5CC0" w:rsidRPr="0056131A">
        <w:rPr>
          <w:rFonts w:ascii="Arial" w:eastAsia="MS Mincho" w:hAnsi="Arial" w:cs="Arial"/>
          <w:lang w:eastAsia="ja-JP"/>
        </w:rPr>
        <w:t xml:space="preserve">, which is due to commence in </w:t>
      </w:r>
      <w:r w:rsidR="0011501B" w:rsidRPr="0056131A">
        <w:rPr>
          <w:rFonts w:ascii="Arial" w:eastAsia="MS Mincho" w:hAnsi="Arial" w:cs="Arial"/>
          <w:lang w:eastAsia="ja-JP"/>
        </w:rPr>
        <w:t>early 202</w:t>
      </w:r>
      <w:r w:rsidR="007D5ECB" w:rsidRPr="0056131A">
        <w:rPr>
          <w:rFonts w:ascii="Arial" w:eastAsia="MS Mincho" w:hAnsi="Arial" w:cs="Arial"/>
          <w:lang w:eastAsia="ja-JP"/>
        </w:rPr>
        <w:t>6</w:t>
      </w:r>
      <w:r w:rsidR="000D5CC0" w:rsidRPr="0056131A">
        <w:rPr>
          <w:rFonts w:ascii="Arial" w:eastAsia="MS Mincho" w:hAnsi="Arial" w:cs="Arial"/>
          <w:lang w:eastAsia="ja-JP"/>
        </w:rPr>
        <w:t>.  Following this consultation, the Minister for</w:t>
      </w:r>
      <w:r w:rsidR="0077368F" w:rsidRPr="0056131A">
        <w:rPr>
          <w:rFonts w:ascii="Arial" w:eastAsia="MS Mincho" w:hAnsi="Arial" w:cs="Arial"/>
          <w:lang w:eastAsia="ja-JP"/>
        </w:rPr>
        <w:t xml:space="preserve"> </w:t>
      </w:r>
      <w:r w:rsidR="0056131A" w:rsidRPr="0056131A">
        <w:rPr>
          <w:rFonts w:ascii="Arial" w:eastAsia="MS Mincho" w:hAnsi="Arial" w:cs="Arial"/>
          <w:lang w:eastAsia="ja-JP"/>
        </w:rPr>
        <w:t>Housing, Communities and Local Government will decide which, if any, proposal to implement, with or without modifications. This decision is currently anticipated by July 2026.</w:t>
      </w:r>
      <w:r w:rsidR="003F46EC">
        <w:rPr>
          <w:rFonts w:ascii="Arial" w:eastAsia="MS Mincho" w:hAnsi="Arial" w:cs="Arial"/>
          <w:lang w:eastAsia="ja-JP"/>
        </w:rPr>
        <w:t xml:space="preserve">  Further details are set out in the Local Government Reorganisation section below.</w:t>
      </w:r>
    </w:p>
    <w:p w14:paraId="7AC14B73" w14:textId="77777777" w:rsidR="003F5181" w:rsidRPr="00F86A79" w:rsidRDefault="003F5181" w:rsidP="009D4681">
      <w:pPr>
        <w:autoSpaceDE w:val="0"/>
        <w:autoSpaceDN w:val="0"/>
        <w:adjustRightInd w:val="0"/>
        <w:jc w:val="both"/>
        <w:rPr>
          <w:rFonts w:ascii="Arial" w:eastAsia="MS Mincho" w:hAnsi="Arial" w:cs="Arial"/>
          <w:lang w:eastAsia="ja-JP"/>
        </w:rPr>
      </w:pPr>
    </w:p>
    <w:p w14:paraId="4CDD97C1" w14:textId="37F6018B" w:rsidR="00FC0097" w:rsidRPr="00777A3D" w:rsidRDefault="000E48AF" w:rsidP="00E65B25">
      <w:pPr>
        <w:spacing w:after="240"/>
        <w:jc w:val="both"/>
        <w:rPr>
          <w:rFonts w:ascii="Arial" w:eastAsia="MS Mincho" w:hAnsi="Arial" w:cs="Arial"/>
          <w:lang w:eastAsia="ja-JP"/>
        </w:rPr>
      </w:pPr>
      <w:r w:rsidRPr="00777A3D">
        <w:rPr>
          <w:rFonts w:ascii="Arial" w:eastAsia="MS Mincho" w:hAnsi="Arial" w:cs="Arial"/>
          <w:lang w:eastAsia="ja-JP"/>
        </w:rPr>
        <w:t>Prior to</w:t>
      </w:r>
      <w:r w:rsidR="00F519C7" w:rsidRPr="00777A3D">
        <w:rPr>
          <w:rFonts w:ascii="Arial" w:eastAsia="MS Mincho" w:hAnsi="Arial" w:cs="Arial"/>
          <w:lang w:eastAsia="ja-JP"/>
        </w:rPr>
        <w:t xml:space="preserve"> publication of the White Paper</w:t>
      </w:r>
      <w:r w:rsidRPr="00777A3D">
        <w:rPr>
          <w:rFonts w:ascii="Arial" w:eastAsia="MS Mincho" w:hAnsi="Arial" w:cs="Arial"/>
          <w:lang w:eastAsia="ja-JP"/>
        </w:rPr>
        <w:t xml:space="preserve"> and Bill</w:t>
      </w:r>
      <w:r w:rsidR="00F519C7" w:rsidRPr="00777A3D">
        <w:rPr>
          <w:rFonts w:ascii="Arial" w:eastAsia="MS Mincho" w:hAnsi="Arial" w:cs="Arial"/>
          <w:lang w:eastAsia="ja-JP"/>
        </w:rPr>
        <w:t xml:space="preserve">, </w:t>
      </w:r>
      <w:r w:rsidR="00C400C8" w:rsidRPr="00777A3D">
        <w:rPr>
          <w:rFonts w:ascii="Arial" w:eastAsia="MS Mincho" w:hAnsi="Arial" w:cs="Arial"/>
          <w:lang w:eastAsia="ja-JP"/>
        </w:rPr>
        <w:t xml:space="preserve">Greater Lincolnshire </w:t>
      </w:r>
      <w:r w:rsidR="00811813" w:rsidRPr="00777A3D">
        <w:rPr>
          <w:rFonts w:ascii="Arial" w:eastAsia="MS Mincho" w:hAnsi="Arial" w:cs="Arial"/>
          <w:lang w:eastAsia="ja-JP"/>
        </w:rPr>
        <w:t>ha</w:t>
      </w:r>
      <w:r w:rsidR="00812C74" w:rsidRPr="00777A3D">
        <w:rPr>
          <w:rFonts w:ascii="Arial" w:eastAsia="MS Mincho" w:hAnsi="Arial" w:cs="Arial"/>
          <w:lang w:eastAsia="ja-JP"/>
        </w:rPr>
        <w:t>d</w:t>
      </w:r>
      <w:r w:rsidR="00811813" w:rsidRPr="00777A3D">
        <w:rPr>
          <w:rFonts w:ascii="Arial" w:eastAsia="MS Mincho" w:hAnsi="Arial" w:cs="Arial"/>
          <w:lang w:eastAsia="ja-JP"/>
        </w:rPr>
        <w:t xml:space="preserve"> </w:t>
      </w:r>
      <w:r w:rsidRPr="00777A3D">
        <w:rPr>
          <w:rFonts w:ascii="Arial" w:eastAsia="MS Mincho" w:hAnsi="Arial" w:cs="Arial"/>
          <w:lang w:eastAsia="ja-JP"/>
        </w:rPr>
        <w:t>already</w:t>
      </w:r>
      <w:r w:rsidR="00811813" w:rsidRPr="00777A3D">
        <w:rPr>
          <w:rFonts w:ascii="Arial" w:eastAsia="MS Mincho" w:hAnsi="Arial" w:cs="Arial"/>
          <w:lang w:eastAsia="ja-JP"/>
        </w:rPr>
        <w:t xml:space="preserve"> secured a devolution deal </w:t>
      </w:r>
      <w:r w:rsidRPr="00777A3D">
        <w:rPr>
          <w:rFonts w:ascii="Arial" w:eastAsia="MS Mincho" w:hAnsi="Arial" w:cs="Arial"/>
          <w:lang w:eastAsia="ja-JP"/>
        </w:rPr>
        <w:t>with Government, with</w:t>
      </w:r>
      <w:r w:rsidR="00811813" w:rsidRPr="00777A3D">
        <w:rPr>
          <w:rFonts w:ascii="Arial" w:eastAsia="MS Mincho" w:hAnsi="Arial" w:cs="Arial"/>
          <w:lang w:eastAsia="ja-JP"/>
        </w:rPr>
        <w:t xml:space="preserve"> the creation of a Mayoral Combined Authority from May 202</w:t>
      </w:r>
      <w:r w:rsidR="00A64112" w:rsidRPr="00777A3D">
        <w:rPr>
          <w:rFonts w:ascii="Arial" w:eastAsia="MS Mincho" w:hAnsi="Arial" w:cs="Arial"/>
          <w:lang w:eastAsia="ja-JP"/>
        </w:rPr>
        <w:t xml:space="preserve">5.  While the devolution </w:t>
      </w:r>
      <w:r w:rsidR="00255667" w:rsidRPr="00777A3D">
        <w:rPr>
          <w:rFonts w:ascii="Arial" w:eastAsia="MS Mincho" w:hAnsi="Arial" w:cs="Arial"/>
          <w:lang w:eastAsia="ja-JP"/>
        </w:rPr>
        <w:t xml:space="preserve">has </w:t>
      </w:r>
      <w:r w:rsidR="00B370FE" w:rsidRPr="00777A3D">
        <w:rPr>
          <w:rFonts w:ascii="Arial" w:eastAsia="MS Mincho" w:hAnsi="Arial" w:cs="Arial"/>
          <w:lang w:eastAsia="ja-JP"/>
        </w:rPr>
        <w:t>secured additional</w:t>
      </w:r>
      <w:r w:rsidR="00072F76" w:rsidRPr="00777A3D">
        <w:rPr>
          <w:rFonts w:ascii="Arial" w:eastAsia="MS Mincho" w:hAnsi="Arial" w:cs="Arial"/>
          <w:lang w:eastAsia="ja-JP"/>
        </w:rPr>
        <w:t xml:space="preserve"> funding </w:t>
      </w:r>
      <w:r w:rsidR="00B370FE" w:rsidRPr="00777A3D">
        <w:rPr>
          <w:rFonts w:ascii="Arial" w:eastAsia="MS Mincho" w:hAnsi="Arial" w:cs="Arial"/>
          <w:lang w:eastAsia="ja-JP"/>
        </w:rPr>
        <w:t>for the area</w:t>
      </w:r>
      <w:r w:rsidR="00072F76" w:rsidRPr="00777A3D">
        <w:rPr>
          <w:rFonts w:ascii="Arial" w:hAnsi="Arial" w:cs="Arial"/>
          <w:lang w:eastAsia="en-GB"/>
        </w:rPr>
        <w:t xml:space="preserve"> and some more localised decision making via </w:t>
      </w:r>
      <w:r w:rsidR="00013DF3" w:rsidRPr="00777A3D">
        <w:rPr>
          <w:rFonts w:ascii="Arial" w:hAnsi="Arial" w:cs="Arial"/>
          <w:lang w:eastAsia="en-GB"/>
        </w:rPr>
        <w:t>the</w:t>
      </w:r>
      <w:r w:rsidR="00072F76" w:rsidRPr="00777A3D">
        <w:rPr>
          <w:rFonts w:ascii="Arial" w:hAnsi="Arial" w:cs="Arial"/>
          <w:lang w:eastAsia="en-GB"/>
        </w:rPr>
        <w:t xml:space="preserve"> elected Mayor</w:t>
      </w:r>
      <w:r w:rsidR="009E3074" w:rsidRPr="00777A3D">
        <w:rPr>
          <w:rFonts w:ascii="Arial" w:hAnsi="Arial" w:cs="Arial"/>
          <w:lang w:eastAsia="en-GB"/>
        </w:rPr>
        <w:t xml:space="preserve">, the creation of the MCA also brings some </w:t>
      </w:r>
      <w:r w:rsidR="00211252" w:rsidRPr="00777A3D">
        <w:rPr>
          <w:rFonts w:ascii="Arial" w:hAnsi="Arial" w:cs="Arial"/>
          <w:lang w:eastAsia="en-GB"/>
        </w:rPr>
        <w:t xml:space="preserve">financial risks to the Council.  </w:t>
      </w:r>
      <w:r w:rsidR="004271FD" w:rsidRPr="00777A3D">
        <w:rPr>
          <w:rFonts w:ascii="Arial" w:hAnsi="Arial" w:cs="Arial"/>
          <w:lang w:eastAsia="en-GB"/>
        </w:rPr>
        <w:t>These r</w:t>
      </w:r>
      <w:r w:rsidR="00DA2E8D" w:rsidRPr="00777A3D">
        <w:rPr>
          <w:rFonts w:ascii="Arial" w:hAnsi="Arial" w:cs="Arial"/>
          <w:lang w:eastAsia="en-GB"/>
        </w:rPr>
        <w:t>isks come in form of the diversion</w:t>
      </w:r>
      <w:r w:rsidR="00211252" w:rsidRPr="00777A3D">
        <w:rPr>
          <w:rFonts w:ascii="Arial" w:hAnsi="Arial" w:cs="Arial"/>
          <w:lang w:eastAsia="en-GB"/>
        </w:rPr>
        <w:t xml:space="preserve"> of </w:t>
      </w:r>
      <w:r w:rsidR="00BF624D" w:rsidRPr="00777A3D">
        <w:rPr>
          <w:rFonts w:ascii="Arial" w:hAnsi="Arial" w:cs="Arial"/>
          <w:lang w:eastAsia="en-GB"/>
        </w:rPr>
        <w:t xml:space="preserve">funding </w:t>
      </w:r>
      <w:r w:rsidR="00402353" w:rsidRPr="00777A3D">
        <w:rPr>
          <w:rFonts w:ascii="Arial" w:hAnsi="Arial" w:cs="Arial"/>
          <w:lang w:eastAsia="en-GB"/>
        </w:rPr>
        <w:t xml:space="preserve">streams </w:t>
      </w:r>
      <w:r w:rsidR="00A901BA" w:rsidRPr="00777A3D">
        <w:rPr>
          <w:rFonts w:ascii="Arial" w:hAnsi="Arial" w:cs="Arial"/>
          <w:lang w:eastAsia="en-GB"/>
        </w:rPr>
        <w:t xml:space="preserve">which have historically been </w:t>
      </w:r>
      <w:r w:rsidR="00CB0BF1" w:rsidRPr="00777A3D">
        <w:rPr>
          <w:rFonts w:ascii="Arial" w:hAnsi="Arial" w:cs="Arial"/>
          <w:lang w:eastAsia="en-GB"/>
        </w:rPr>
        <w:t xml:space="preserve">allocated </w:t>
      </w:r>
      <w:r w:rsidR="00A901BA" w:rsidRPr="00777A3D">
        <w:rPr>
          <w:rFonts w:ascii="Arial" w:hAnsi="Arial" w:cs="Arial"/>
          <w:lang w:eastAsia="en-GB"/>
        </w:rPr>
        <w:t>to the Council</w:t>
      </w:r>
      <w:r w:rsidR="00D458DA" w:rsidRPr="00777A3D">
        <w:rPr>
          <w:rFonts w:ascii="Arial" w:hAnsi="Arial" w:cs="Arial"/>
          <w:lang w:eastAsia="en-GB"/>
        </w:rPr>
        <w:t>, now being</w:t>
      </w:r>
      <w:r w:rsidR="00AF1668" w:rsidRPr="00777A3D">
        <w:rPr>
          <w:rFonts w:ascii="Arial" w:hAnsi="Arial" w:cs="Arial"/>
          <w:lang w:eastAsia="en-GB"/>
        </w:rPr>
        <w:t xml:space="preserve"> channelled through </w:t>
      </w:r>
      <w:r w:rsidR="00D458DA" w:rsidRPr="00777A3D">
        <w:rPr>
          <w:rFonts w:ascii="Arial" w:hAnsi="Arial" w:cs="Arial"/>
          <w:lang w:eastAsia="en-GB"/>
        </w:rPr>
        <w:t>the MCA</w:t>
      </w:r>
      <w:r w:rsidR="00A901BA" w:rsidRPr="00777A3D">
        <w:rPr>
          <w:rFonts w:ascii="Arial" w:hAnsi="Arial" w:cs="Arial"/>
          <w:lang w:eastAsia="en-GB"/>
        </w:rPr>
        <w:t>.</w:t>
      </w:r>
      <w:r w:rsidR="00F01720" w:rsidRPr="00777A3D">
        <w:rPr>
          <w:rFonts w:ascii="Arial" w:hAnsi="Arial" w:cs="Arial"/>
          <w:lang w:eastAsia="en-GB"/>
        </w:rPr>
        <w:t xml:space="preserve">  </w:t>
      </w:r>
      <w:r w:rsidR="00AF6059" w:rsidRPr="00777A3D">
        <w:rPr>
          <w:rFonts w:ascii="Arial" w:hAnsi="Arial" w:cs="Arial"/>
          <w:lang w:eastAsia="en-GB"/>
        </w:rPr>
        <w:t>This creates</w:t>
      </w:r>
      <w:r w:rsidR="00D272E4" w:rsidRPr="00777A3D">
        <w:rPr>
          <w:rFonts w:ascii="Arial" w:hAnsi="Arial" w:cs="Arial"/>
          <w:lang w:eastAsia="en-GB"/>
        </w:rPr>
        <w:t xml:space="preserve"> a risk that the Council will no longer be </w:t>
      </w:r>
      <w:r w:rsidR="008A0581" w:rsidRPr="00777A3D">
        <w:rPr>
          <w:rFonts w:ascii="Arial" w:hAnsi="Arial" w:cs="Arial"/>
          <w:lang w:eastAsia="en-GB"/>
        </w:rPr>
        <w:t xml:space="preserve">able to </w:t>
      </w:r>
      <w:r w:rsidR="00D272E4" w:rsidRPr="00777A3D">
        <w:rPr>
          <w:rFonts w:ascii="Arial" w:hAnsi="Arial" w:cs="Arial"/>
          <w:lang w:eastAsia="en-GB"/>
        </w:rPr>
        <w:t>access funding opportunities and ensure they are used in accordance with the needs of the City, it’s residents and</w:t>
      </w:r>
      <w:r w:rsidR="00753C42" w:rsidRPr="00777A3D">
        <w:rPr>
          <w:rFonts w:ascii="Arial" w:hAnsi="Arial" w:cs="Arial"/>
          <w:lang w:eastAsia="en-GB"/>
        </w:rPr>
        <w:t xml:space="preserve"> businesses</w:t>
      </w:r>
      <w:r w:rsidR="00E65B25" w:rsidRPr="00777A3D">
        <w:rPr>
          <w:rFonts w:ascii="Arial" w:hAnsi="Arial" w:cs="Arial"/>
          <w:lang w:eastAsia="en-GB"/>
        </w:rPr>
        <w:t xml:space="preserve"> and could also limit funding to take forward key projects in support of Vision 2030.</w:t>
      </w:r>
    </w:p>
    <w:p w14:paraId="02184203" w14:textId="75584D19" w:rsidR="00336F55" w:rsidRPr="005A646B" w:rsidRDefault="00336F55" w:rsidP="00937848">
      <w:pPr>
        <w:autoSpaceDE w:val="0"/>
        <w:autoSpaceDN w:val="0"/>
        <w:adjustRightInd w:val="0"/>
        <w:jc w:val="both"/>
        <w:rPr>
          <w:rFonts w:ascii="Arial" w:eastAsia="MS Mincho" w:hAnsi="Arial" w:cs="Arial"/>
          <w:b/>
          <w:lang w:eastAsia="ja-JP"/>
        </w:rPr>
      </w:pPr>
      <w:r w:rsidRPr="005A646B">
        <w:rPr>
          <w:rFonts w:ascii="Arial" w:eastAsia="MS Mincho" w:hAnsi="Arial" w:cs="Arial"/>
          <w:b/>
          <w:lang w:eastAsia="ja-JP"/>
        </w:rPr>
        <w:t>Planning Reforms</w:t>
      </w:r>
    </w:p>
    <w:p w14:paraId="4AA002C9" w14:textId="77777777" w:rsidR="005513A2" w:rsidRPr="005A646B" w:rsidRDefault="005513A2" w:rsidP="00937848">
      <w:pPr>
        <w:autoSpaceDE w:val="0"/>
        <w:autoSpaceDN w:val="0"/>
        <w:adjustRightInd w:val="0"/>
        <w:jc w:val="both"/>
        <w:rPr>
          <w:rFonts w:ascii="Arial" w:eastAsia="MS Mincho" w:hAnsi="Arial" w:cs="Arial"/>
          <w:b/>
          <w:lang w:eastAsia="ja-JP"/>
        </w:rPr>
      </w:pPr>
    </w:p>
    <w:p w14:paraId="12A35DB0" w14:textId="5F59C467" w:rsidR="001C7DD3" w:rsidRPr="005A646B" w:rsidRDefault="005513A2" w:rsidP="005513A2">
      <w:pPr>
        <w:autoSpaceDE w:val="0"/>
        <w:autoSpaceDN w:val="0"/>
        <w:adjustRightInd w:val="0"/>
        <w:jc w:val="both"/>
        <w:rPr>
          <w:rFonts w:ascii="Arial" w:eastAsia="MS Mincho" w:hAnsi="Arial" w:cs="Arial"/>
          <w:lang w:eastAsia="ja-JP"/>
        </w:rPr>
      </w:pPr>
      <w:r w:rsidRPr="005A646B">
        <w:rPr>
          <w:rFonts w:ascii="Arial" w:eastAsia="MS Mincho" w:hAnsi="Arial" w:cs="Arial"/>
          <w:lang w:eastAsia="ja-JP"/>
        </w:rPr>
        <w:t xml:space="preserve">In December 2024, the Government published </w:t>
      </w:r>
      <w:hyperlink r:id="rId22" w:history="1">
        <w:r w:rsidR="0091512A" w:rsidRPr="005A646B">
          <w:rPr>
            <w:rStyle w:val="Hyperlink"/>
            <w:rFonts w:ascii="Arial" w:eastAsia="MS Mincho" w:hAnsi="Arial" w:cs="Arial"/>
            <w:color w:val="auto"/>
            <w:u w:val="none"/>
            <w:lang w:eastAsia="ja-JP"/>
          </w:rPr>
          <w:t>an updated</w:t>
        </w:r>
        <w:r w:rsidRPr="005A646B">
          <w:rPr>
            <w:rStyle w:val="Hyperlink"/>
            <w:rFonts w:ascii="Arial" w:eastAsia="MS Mincho" w:hAnsi="Arial" w:cs="Arial"/>
            <w:color w:val="auto"/>
            <w:u w:val="none"/>
            <w:lang w:eastAsia="ja-JP"/>
          </w:rPr>
          <w:t xml:space="preserve"> National Planning Policy Framework (NPPF) </w:t>
        </w:r>
      </w:hyperlink>
      <w:r w:rsidRPr="005A646B">
        <w:rPr>
          <w:rFonts w:ascii="Arial" w:eastAsia="MS Mincho" w:hAnsi="Arial" w:cs="Arial"/>
          <w:lang w:eastAsia="ja-JP"/>
        </w:rPr>
        <w:t xml:space="preserve">. As part of its plan to </w:t>
      </w:r>
      <w:r w:rsidR="00AC1C01" w:rsidRPr="005A646B">
        <w:rPr>
          <w:rFonts w:ascii="Arial" w:eastAsia="MS Mincho" w:hAnsi="Arial" w:cs="Arial"/>
          <w:lang w:eastAsia="ja-JP"/>
        </w:rPr>
        <w:t xml:space="preserve">significantly </w:t>
      </w:r>
      <w:r w:rsidRPr="005A646B">
        <w:rPr>
          <w:rFonts w:ascii="Arial" w:eastAsia="MS Mincho" w:hAnsi="Arial" w:cs="Arial"/>
          <w:lang w:eastAsia="ja-JP"/>
        </w:rPr>
        <w:t xml:space="preserve">reform the planning system, the Government has introduced new immediate mandatory housing targets for councils to deliver growth in housebuilding, with councils required to adopt up-to-date local plans or develop new plans that work for their communities. </w:t>
      </w:r>
      <w:r w:rsidR="001C7DD3" w:rsidRPr="005A646B">
        <w:rPr>
          <w:rFonts w:ascii="Arial" w:eastAsia="MS Mincho" w:hAnsi="Arial" w:cs="Arial"/>
          <w:lang w:eastAsia="ja-JP"/>
        </w:rPr>
        <w:t>These housing targets, aimed to deliver 1.5 million new homes by 2029, will require councils across country to build 370,000 homes annually, with higher targets set for areas facing severe affordability issues.</w:t>
      </w:r>
    </w:p>
    <w:p w14:paraId="706C3A70" w14:textId="77777777" w:rsidR="00D50796" w:rsidRPr="005A646B" w:rsidRDefault="00D50796" w:rsidP="005513A2">
      <w:pPr>
        <w:autoSpaceDE w:val="0"/>
        <w:autoSpaceDN w:val="0"/>
        <w:adjustRightInd w:val="0"/>
        <w:jc w:val="both"/>
        <w:rPr>
          <w:rFonts w:ascii="Arial" w:eastAsia="MS Mincho" w:hAnsi="Arial" w:cs="Arial"/>
          <w:lang w:eastAsia="ja-JP"/>
        </w:rPr>
      </w:pPr>
    </w:p>
    <w:p w14:paraId="12D7FDAE" w14:textId="77C2AC3B" w:rsidR="00D50796" w:rsidRDefault="00D50796" w:rsidP="00D50796">
      <w:pPr>
        <w:shd w:val="clear" w:color="auto" w:fill="FFFFFF"/>
        <w:jc w:val="both"/>
        <w:textAlignment w:val="baseline"/>
        <w:rPr>
          <w:rFonts w:ascii="Arial" w:hAnsi="Arial" w:cs="Arial"/>
          <w:color w:val="141414"/>
        </w:rPr>
      </w:pPr>
      <w:r w:rsidRPr="005A646B">
        <w:rPr>
          <w:rFonts w:ascii="Arial" w:hAnsi="Arial" w:cs="Arial"/>
          <w:color w:val="141414"/>
        </w:rPr>
        <w:t xml:space="preserve">For the Central Lincolnshire Partnership, which consists of Lincoln, West Lindsey </w:t>
      </w:r>
      <w:r w:rsidR="00BF4357" w:rsidRPr="005A646B">
        <w:rPr>
          <w:rFonts w:ascii="Arial" w:hAnsi="Arial" w:cs="Arial"/>
          <w:color w:val="141414"/>
        </w:rPr>
        <w:t>District</w:t>
      </w:r>
      <w:r w:rsidR="00C3546F" w:rsidRPr="005A646B">
        <w:rPr>
          <w:rFonts w:ascii="Arial" w:hAnsi="Arial" w:cs="Arial"/>
          <w:color w:val="141414"/>
        </w:rPr>
        <w:t xml:space="preserve"> Council</w:t>
      </w:r>
      <w:r w:rsidRPr="005A646B">
        <w:rPr>
          <w:rFonts w:ascii="Arial" w:hAnsi="Arial" w:cs="Arial"/>
          <w:color w:val="141414"/>
        </w:rPr>
        <w:t xml:space="preserve"> and North Kesteven</w:t>
      </w:r>
      <w:r w:rsidR="00C3546F" w:rsidRPr="005A646B">
        <w:rPr>
          <w:rFonts w:ascii="Arial" w:hAnsi="Arial" w:cs="Arial"/>
          <w:color w:val="141414"/>
        </w:rPr>
        <w:t xml:space="preserve"> District Council the housing targets have increased by </w:t>
      </w:r>
      <w:r w:rsidR="008C6927" w:rsidRPr="005A646B">
        <w:rPr>
          <w:rFonts w:ascii="Arial" w:hAnsi="Arial" w:cs="Arial"/>
          <w:color w:val="141414"/>
        </w:rPr>
        <w:t xml:space="preserve">40% from 1,102 </w:t>
      </w:r>
      <w:r w:rsidRPr="005A646B">
        <w:rPr>
          <w:rFonts w:ascii="Arial" w:hAnsi="Arial" w:cs="Arial"/>
          <w:color w:val="141414"/>
        </w:rPr>
        <w:t>to 1</w:t>
      </w:r>
      <w:r w:rsidR="008C6927" w:rsidRPr="005A646B">
        <w:rPr>
          <w:rFonts w:ascii="Arial" w:hAnsi="Arial" w:cs="Arial"/>
          <w:color w:val="141414"/>
        </w:rPr>
        <w:t>,</w:t>
      </w:r>
      <w:r w:rsidRPr="005A646B">
        <w:rPr>
          <w:rFonts w:ascii="Arial" w:hAnsi="Arial" w:cs="Arial"/>
          <w:color w:val="141414"/>
        </w:rPr>
        <w:t>552</w:t>
      </w:r>
      <w:r w:rsidR="00C3546F" w:rsidRPr="005A646B">
        <w:rPr>
          <w:rFonts w:ascii="Arial" w:hAnsi="Arial" w:cs="Arial"/>
          <w:color w:val="141414"/>
        </w:rPr>
        <w:t>, allocated as</w:t>
      </w:r>
      <w:r w:rsidR="00182061" w:rsidRPr="005A646B">
        <w:rPr>
          <w:rFonts w:ascii="Arial" w:hAnsi="Arial" w:cs="Arial"/>
          <w:color w:val="141414"/>
        </w:rPr>
        <w:t>:</w:t>
      </w:r>
      <w:r w:rsidRPr="005A646B">
        <w:rPr>
          <w:rFonts w:ascii="Arial" w:hAnsi="Arial" w:cs="Arial"/>
          <w:color w:val="141414"/>
        </w:rPr>
        <w:t xml:space="preserve"> </w:t>
      </w:r>
      <w:r w:rsidR="00182061" w:rsidRPr="005A646B">
        <w:rPr>
          <w:rFonts w:ascii="Arial" w:hAnsi="Arial" w:cs="Arial"/>
          <w:color w:val="141414"/>
        </w:rPr>
        <w:t>Lincoln</w:t>
      </w:r>
      <w:r w:rsidRPr="005A646B">
        <w:rPr>
          <w:rFonts w:ascii="Arial" w:hAnsi="Arial" w:cs="Arial"/>
          <w:color w:val="141414"/>
        </w:rPr>
        <w:t xml:space="preserve"> 413</w:t>
      </w:r>
      <w:r w:rsidR="00182061" w:rsidRPr="005A646B">
        <w:rPr>
          <w:rFonts w:ascii="Arial" w:hAnsi="Arial" w:cs="Arial"/>
          <w:color w:val="141414"/>
        </w:rPr>
        <w:t xml:space="preserve">; West Lindsey </w:t>
      </w:r>
      <w:r w:rsidRPr="005A646B">
        <w:rPr>
          <w:rFonts w:ascii="Arial" w:hAnsi="Arial" w:cs="Arial"/>
          <w:color w:val="141414"/>
        </w:rPr>
        <w:t xml:space="preserve">487 </w:t>
      </w:r>
      <w:r w:rsidR="00182061" w:rsidRPr="005A646B">
        <w:rPr>
          <w:rFonts w:ascii="Arial" w:hAnsi="Arial" w:cs="Arial"/>
          <w:color w:val="141414"/>
        </w:rPr>
        <w:t xml:space="preserve">and North Kesteven </w:t>
      </w:r>
      <w:r w:rsidRPr="005A646B">
        <w:rPr>
          <w:rFonts w:ascii="Arial" w:hAnsi="Arial" w:cs="Arial"/>
          <w:color w:val="141414"/>
        </w:rPr>
        <w:t xml:space="preserve">652 </w:t>
      </w:r>
      <w:r w:rsidR="00182061" w:rsidRPr="005A646B">
        <w:rPr>
          <w:rFonts w:ascii="Arial" w:hAnsi="Arial" w:cs="Arial"/>
          <w:color w:val="141414"/>
        </w:rPr>
        <w:t>per year.</w:t>
      </w:r>
      <w:r w:rsidR="004C2B68" w:rsidRPr="005A646B">
        <w:rPr>
          <w:rFonts w:ascii="Arial" w:hAnsi="Arial" w:cs="Arial"/>
          <w:color w:val="141414"/>
        </w:rPr>
        <w:t xml:space="preserve">  </w:t>
      </w:r>
      <w:r w:rsidR="00AD14B1" w:rsidRPr="005A646B">
        <w:rPr>
          <w:rFonts w:ascii="Arial" w:hAnsi="Arial" w:cs="Arial"/>
          <w:color w:val="141414"/>
        </w:rPr>
        <w:t xml:space="preserve">In addition to this, the NPPF also requires an additional 5% buffer to be applied, brought forward from later in the plan period, resulting in a need to plan for and deliver 1,630 dwellings per year. </w:t>
      </w:r>
    </w:p>
    <w:p w14:paraId="3EDB1BF4" w14:textId="77777777" w:rsidR="0016037B" w:rsidRDefault="0016037B" w:rsidP="00D50796">
      <w:pPr>
        <w:shd w:val="clear" w:color="auto" w:fill="FFFFFF"/>
        <w:jc w:val="both"/>
        <w:textAlignment w:val="baseline"/>
        <w:rPr>
          <w:rFonts w:ascii="Arial" w:hAnsi="Arial" w:cs="Arial"/>
          <w:color w:val="141414"/>
        </w:rPr>
      </w:pPr>
    </w:p>
    <w:p w14:paraId="523171F0" w14:textId="45FBC496" w:rsidR="00D50796" w:rsidRDefault="00404388" w:rsidP="005513A2">
      <w:pPr>
        <w:autoSpaceDE w:val="0"/>
        <w:autoSpaceDN w:val="0"/>
        <w:adjustRightInd w:val="0"/>
        <w:jc w:val="both"/>
        <w:rPr>
          <w:rFonts w:ascii="Arial" w:eastAsia="MS Mincho" w:hAnsi="Arial" w:cs="Arial"/>
          <w:color w:val="141414"/>
        </w:rPr>
      </w:pPr>
      <w:r>
        <w:rPr>
          <w:rFonts w:ascii="Arial" w:hAnsi="Arial" w:cs="Arial"/>
          <w:color w:val="141414"/>
        </w:rPr>
        <w:t>As Central Lincolnshire</w:t>
      </w:r>
      <w:r w:rsidRPr="00404388">
        <w:rPr>
          <w:rFonts w:ascii="Arial" w:hAnsi="Arial" w:cs="Arial"/>
          <w:color w:val="141414"/>
        </w:rPr>
        <w:t xml:space="preserve"> an up-to-date </w:t>
      </w:r>
      <w:r>
        <w:rPr>
          <w:rFonts w:ascii="Arial" w:hAnsi="Arial" w:cs="Arial"/>
          <w:color w:val="141414"/>
        </w:rPr>
        <w:t>Local P</w:t>
      </w:r>
      <w:r w:rsidRPr="00404388">
        <w:rPr>
          <w:rFonts w:ascii="Arial" w:hAnsi="Arial" w:cs="Arial"/>
          <w:color w:val="141414"/>
        </w:rPr>
        <w:t>lan</w:t>
      </w:r>
      <w:r w:rsidR="00214244">
        <w:rPr>
          <w:rFonts w:ascii="Arial" w:hAnsi="Arial" w:cs="Arial"/>
          <w:color w:val="141414"/>
        </w:rPr>
        <w:t xml:space="preserve"> (CLLP)</w:t>
      </w:r>
      <w:r w:rsidRPr="00404388">
        <w:rPr>
          <w:rFonts w:ascii="Arial" w:hAnsi="Arial" w:cs="Arial"/>
          <w:color w:val="141414"/>
        </w:rPr>
        <w:t xml:space="preserve">, this new nationally derived housing requirement does not yet apply to due to transitional arrangements in the NPPF. Presently, the housing requirement in the CLLP applies. But the transitional arrangements require that a 20% buffer </w:t>
      </w:r>
      <w:r w:rsidR="00214244">
        <w:rPr>
          <w:rFonts w:ascii="Arial" w:hAnsi="Arial" w:cs="Arial"/>
          <w:color w:val="141414"/>
        </w:rPr>
        <w:t xml:space="preserve">is added </w:t>
      </w:r>
      <w:r w:rsidRPr="00404388">
        <w:rPr>
          <w:rFonts w:ascii="Arial" w:hAnsi="Arial" w:cs="Arial"/>
          <w:color w:val="141414"/>
        </w:rPr>
        <w:t>from 1 July 2026 resulting in a new figure for calculating five-year housing land supply – currently 1,322 dwellings per year.</w:t>
      </w:r>
      <w:r w:rsidR="003776D0">
        <w:rPr>
          <w:rFonts w:ascii="Arial" w:hAnsi="Arial" w:cs="Arial"/>
          <w:color w:val="141414"/>
        </w:rPr>
        <w:t xml:space="preserve">  These transitional arrangements apply until the Plan is 5 years old</w:t>
      </w:r>
      <w:r w:rsidR="00D70D0D">
        <w:rPr>
          <w:rFonts w:ascii="Arial" w:hAnsi="Arial" w:cs="Arial"/>
          <w:color w:val="141414"/>
        </w:rPr>
        <w:t xml:space="preserve"> (April 2028)</w:t>
      </w:r>
      <w:r w:rsidR="003776D0">
        <w:rPr>
          <w:rFonts w:ascii="Arial" w:hAnsi="Arial" w:cs="Arial"/>
          <w:color w:val="141414"/>
        </w:rPr>
        <w:t xml:space="preserve">, at which point </w:t>
      </w:r>
      <w:r w:rsidR="00D70D0D">
        <w:rPr>
          <w:rFonts w:ascii="Arial" w:hAnsi="Arial" w:cs="Arial"/>
          <w:color w:val="141414"/>
        </w:rPr>
        <w:t>the latest national housing requirement will be applied.</w:t>
      </w:r>
    </w:p>
    <w:p w14:paraId="2BEF895F" w14:textId="77777777" w:rsidR="00DA2494" w:rsidRPr="007752B4" w:rsidRDefault="00DA2494" w:rsidP="005513A2">
      <w:pPr>
        <w:autoSpaceDE w:val="0"/>
        <w:autoSpaceDN w:val="0"/>
        <w:adjustRightInd w:val="0"/>
        <w:jc w:val="both"/>
        <w:rPr>
          <w:rFonts w:ascii="Arial" w:eastAsia="MS Mincho" w:hAnsi="Arial" w:cs="Arial"/>
          <w:highlight w:val="yellow"/>
          <w:lang w:eastAsia="ja-JP"/>
        </w:rPr>
      </w:pPr>
    </w:p>
    <w:p w14:paraId="39EF1CAA" w14:textId="3D5D56E9" w:rsidR="000D0322" w:rsidRDefault="000D0322" w:rsidP="005513A2">
      <w:pPr>
        <w:autoSpaceDE w:val="0"/>
        <w:autoSpaceDN w:val="0"/>
        <w:adjustRightInd w:val="0"/>
        <w:jc w:val="both"/>
        <w:rPr>
          <w:rFonts w:ascii="Arial" w:eastAsia="MS Mincho" w:hAnsi="Arial" w:cs="Arial"/>
          <w:lang w:eastAsia="ja-JP"/>
        </w:rPr>
      </w:pPr>
      <w:r>
        <w:rPr>
          <w:rFonts w:ascii="Arial" w:eastAsia="MS Mincho" w:hAnsi="Arial" w:cs="Arial"/>
          <w:lang w:eastAsia="ja-JP"/>
        </w:rPr>
        <w:t>Further revisions to the NPPF</w:t>
      </w:r>
      <w:r w:rsidR="001706BE">
        <w:rPr>
          <w:rFonts w:ascii="Arial" w:eastAsia="MS Mincho" w:hAnsi="Arial" w:cs="Arial"/>
          <w:lang w:eastAsia="ja-JP"/>
        </w:rPr>
        <w:t xml:space="preserve"> and planning system</w:t>
      </w:r>
      <w:r w:rsidR="009859F7">
        <w:rPr>
          <w:rFonts w:ascii="Arial" w:eastAsia="MS Mincho" w:hAnsi="Arial" w:cs="Arial"/>
          <w:lang w:eastAsia="ja-JP"/>
        </w:rPr>
        <w:t xml:space="preserve"> announced in December 2025</w:t>
      </w:r>
      <w:r w:rsidR="00880307">
        <w:rPr>
          <w:rFonts w:ascii="Arial" w:eastAsia="MS Mincho" w:hAnsi="Arial" w:cs="Arial"/>
          <w:lang w:eastAsia="ja-JP"/>
        </w:rPr>
        <w:t xml:space="preserve">, </w:t>
      </w:r>
      <w:r w:rsidR="00696883">
        <w:rPr>
          <w:rFonts w:ascii="Arial" w:eastAsia="MS Mincho" w:hAnsi="Arial" w:cs="Arial"/>
          <w:lang w:eastAsia="ja-JP"/>
        </w:rPr>
        <w:t xml:space="preserve">represents </w:t>
      </w:r>
      <w:r w:rsidR="00185166">
        <w:rPr>
          <w:rFonts w:ascii="Arial" w:eastAsia="MS Mincho" w:hAnsi="Arial" w:cs="Arial"/>
          <w:lang w:eastAsia="ja-JP"/>
        </w:rPr>
        <w:t>further significant changes to national planning rules and restructures the framework to prioritise housing deliver</w:t>
      </w:r>
      <w:r w:rsidR="003228BC">
        <w:rPr>
          <w:rFonts w:ascii="Arial" w:eastAsia="MS Mincho" w:hAnsi="Arial" w:cs="Arial"/>
          <w:lang w:eastAsia="ja-JP"/>
        </w:rPr>
        <w:t>y, economic growth and streamlined decision making.</w:t>
      </w:r>
      <w:r w:rsidR="00571A0B">
        <w:rPr>
          <w:rFonts w:ascii="Arial" w:eastAsia="MS Mincho" w:hAnsi="Arial" w:cs="Arial"/>
          <w:lang w:eastAsia="ja-JP"/>
        </w:rPr>
        <w:t xml:space="preserve"> Key impacts </w:t>
      </w:r>
      <w:r w:rsidR="00902BE9">
        <w:rPr>
          <w:rFonts w:ascii="Arial" w:eastAsia="MS Mincho" w:hAnsi="Arial" w:cs="Arial"/>
          <w:lang w:eastAsia="ja-JP"/>
        </w:rPr>
        <w:t>for councils include</w:t>
      </w:r>
      <w:r w:rsidR="005554F5">
        <w:rPr>
          <w:rFonts w:ascii="Arial" w:eastAsia="MS Mincho" w:hAnsi="Arial" w:cs="Arial"/>
          <w:lang w:eastAsia="ja-JP"/>
        </w:rPr>
        <w:t>;</w:t>
      </w:r>
      <w:r w:rsidR="00FB0C8A">
        <w:rPr>
          <w:rFonts w:ascii="Arial" w:eastAsia="MS Mincho" w:hAnsi="Arial" w:cs="Arial"/>
          <w:lang w:eastAsia="ja-JP"/>
        </w:rPr>
        <w:t xml:space="preserve"> demanding more strategic planning, increasing accountability for housing delivery (</w:t>
      </w:r>
      <w:r w:rsidR="002E2C21">
        <w:rPr>
          <w:rFonts w:ascii="Arial" w:eastAsia="MS Mincho" w:hAnsi="Arial" w:cs="Arial"/>
          <w:lang w:eastAsia="ja-JP"/>
        </w:rPr>
        <w:t>particularly</w:t>
      </w:r>
      <w:r w:rsidR="00FB0C8A">
        <w:rPr>
          <w:rFonts w:ascii="Arial" w:eastAsia="MS Mincho" w:hAnsi="Arial" w:cs="Arial"/>
          <w:lang w:eastAsia="ja-JP"/>
        </w:rPr>
        <w:t xml:space="preserve"> affordable </w:t>
      </w:r>
      <w:r w:rsidR="00886018">
        <w:rPr>
          <w:rFonts w:ascii="Arial" w:eastAsia="MS Mincho" w:hAnsi="Arial" w:cs="Arial"/>
          <w:lang w:eastAsia="ja-JP"/>
        </w:rPr>
        <w:t xml:space="preserve">and social rented </w:t>
      </w:r>
      <w:r w:rsidR="00FB0C8A">
        <w:rPr>
          <w:rFonts w:ascii="Arial" w:eastAsia="MS Mincho" w:hAnsi="Arial" w:cs="Arial"/>
          <w:lang w:eastAsia="ja-JP"/>
        </w:rPr>
        <w:t xml:space="preserve">homes), introducing ‘grey belt’ land for development and </w:t>
      </w:r>
      <w:r w:rsidR="008637D3">
        <w:rPr>
          <w:rFonts w:ascii="Arial" w:eastAsia="MS Mincho" w:hAnsi="Arial" w:cs="Arial"/>
          <w:lang w:eastAsia="ja-JP"/>
        </w:rPr>
        <w:t>emphas</w:t>
      </w:r>
      <w:r w:rsidR="0047799E">
        <w:rPr>
          <w:rFonts w:ascii="Arial" w:eastAsia="MS Mincho" w:hAnsi="Arial" w:cs="Arial"/>
          <w:lang w:eastAsia="ja-JP"/>
        </w:rPr>
        <w:t xml:space="preserve">izing climate resilience and </w:t>
      </w:r>
      <w:r w:rsidR="000E5962" w:rsidRPr="000E5962">
        <w:rPr>
          <w:rFonts w:ascii="Arial" w:eastAsia="MS Mincho" w:hAnsi="Arial" w:cs="Arial"/>
          <w:lang w:eastAsia="ja-JP"/>
        </w:rPr>
        <w:t>pushing councils towards higher housing targets, clearer decision-making on Green Belt releases, and greater focus on design quality, while also giving new powers for fee setting and strategic planning through the </w:t>
      </w:r>
      <w:r w:rsidR="000E5962">
        <w:rPr>
          <w:rFonts w:ascii="Arial" w:eastAsia="MS Mincho" w:hAnsi="Arial" w:cs="Arial"/>
          <w:lang w:eastAsia="ja-JP"/>
        </w:rPr>
        <w:t>Planning and Infrastructure Act 2025.</w:t>
      </w:r>
      <w:r w:rsidR="000E5962" w:rsidRPr="000E5962">
        <w:rPr>
          <w:rFonts w:ascii="Arial" w:eastAsia="MS Mincho" w:hAnsi="Arial" w:cs="Arial"/>
          <w:lang w:eastAsia="ja-JP"/>
        </w:rPr>
        <w:t> </w:t>
      </w:r>
      <w:r w:rsidR="007A47C2">
        <w:rPr>
          <w:rFonts w:ascii="Arial" w:eastAsia="MS Mincho" w:hAnsi="Arial" w:cs="Arial"/>
          <w:lang w:eastAsia="ja-JP"/>
        </w:rPr>
        <w:t>The Government have stated that these latest proposals are the final step in the regearing of the planning system.</w:t>
      </w:r>
    </w:p>
    <w:p w14:paraId="7F5992C7" w14:textId="77777777" w:rsidR="00007439" w:rsidRDefault="00007439" w:rsidP="005513A2">
      <w:pPr>
        <w:autoSpaceDE w:val="0"/>
        <w:autoSpaceDN w:val="0"/>
        <w:adjustRightInd w:val="0"/>
        <w:jc w:val="both"/>
        <w:rPr>
          <w:rFonts w:ascii="Arial" w:eastAsia="MS Mincho" w:hAnsi="Arial" w:cs="Arial"/>
          <w:lang w:eastAsia="ja-JP"/>
        </w:rPr>
      </w:pPr>
    </w:p>
    <w:p w14:paraId="633C6BC2" w14:textId="2A9CC42A" w:rsidR="00007439" w:rsidRDefault="007E40C4" w:rsidP="005513A2">
      <w:pPr>
        <w:autoSpaceDE w:val="0"/>
        <w:autoSpaceDN w:val="0"/>
        <w:adjustRightInd w:val="0"/>
        <w:jc w:val="both"/>
        <w:rPr>
          <w:rFonts w:ascii="Arial" w:eastAsia="MS Mincho" w:hAnsi="Arial" w:cs="Arial"/>
          <w:lang w:eastAsia="ja-JP"/>
        </w:rPr>
      </w:pPr>
      <w:r w:rsidRPr="007E40C4">
        <w:rPr>
          <w:rFonts w:ascii="Arial" w:eastAsia="MS Mincho" w:hAnsi="Arial" w:cs="Arial"/>
          <w:lang w:eastAsia="ja-JP"/>
        </w:rPr>
        <w:t xml:space="preserve">The implications for the Council </w:t>
      </w:r>
      <w:r>
        <w:rPr>
          <w:rFonts w:ascii="Arial" w:eastAsia="MS Mincho" w:hAnsi="Arial" w:cs="Arial"/>
          <w:lang w:eastAsia="ja-JP"/>
        </w:rPr>
        <w:t xml:space="preserve">from </w:t>
      </w:r>
      <w:r w:rsidRPr="007E40C4">
        <w:rPr>
          <w:rFonts w:ascii="Arial" w:eastAsia="MS Mincho" w:hAnsi="Arial" w:cs="Arial"/>
          <w:lang w:eastAsia="ja-JP"/>
        </w:rPr>
        <w:t xml:space="preserve">NPPF </w:t>
      </w:r>
      <w:r>
        <w:rPr>
          <w:rFonts w:ascii="Arial" w:eastAsia="MS Mincho" w:hAnsi="Arial" w:cs="Arial"/>
          <w:lang w:eastAsia="ja-JP"/>
        </w:rPr>
        <w:t xml:space="preserve">and Planning and Infrastructure Bill </w:t>
      </w:r>
      <w:r w:rsidRPr="007E40C4">
        <w:rPr>
          <w:rFonts w:ascii="Arial" w:eastAsia="MS Mincho" w:hAnsi="Arial" w:cs="Arial"/>
          <w:lang w:eastAsia="ja-JP"/>
        </w:rPr>
        <w:t>are broad, ranging from direct impacts on the planning team and committee, to direct delivery of new homes by the Council through the Housing Revenue Account and market housing e.g Charterholme, but also through it’s influence in the City with other house builders and the identification and development of suitable sites in order to achieve the ambitious housing targets. </w:t>
      </w:r>
    </w:p>
    <w:p w14:paraId="279DA72F" w14:textId="77777777" w:rsidR="00720D6B" w:rsidRDefault="00720D6B" w:rsidP="005513A2">
      <w:pPr>
        <w:autoSpaceDE w:val="0"/>
        <w:autoSpaceDN w:val="0"/>
        <w:adjustRightInd w:val="0"/>
        <w:jc w:val="both"/>
        <w:rPr>
          <w:rFonts w:ascii="Arial" w:eastAsia="MS Mincho" w:hAnsi="Arial" w:cs="Arial"/>
          <w:lang w:eastAsia="ja-JP"/>
        </w:rPr>
      </w:pPr>
    </w:p>
    <w:p w14:paraId="23A9084F" w14:textId="77777777" w:rsidR="00720D6B" w:rsidRPr="00701C2F" w:rsidRDefault="00720D6B" w:rsidP="00720D6B">
      <w:pPr>
        <w:autoSpaceDE w:val="0"/>
        <w:autoSpaceDN w:val="0"/>
        <w:adjustRightInd w:val="0"/>
        <w:jc w:val="both"/>
        <w:rPr>
          <w:rFonts w:ascii="Arial" w:hAnsi="Arial" w:cs="Arial"/>
          <w:b/>
          <w:bCs/>
          <w:color w:val="C45911" w:themeColor="accent2" w:themeShade="BF"/>
          <w:sz w:val="28"/>
          <w:szCs w:val="28"/>
        </w:rPr>
      </w:pPr>
      <w:r w:rsidRPr="00701C2F">
        <w:rPr>
          <w:rFonts w:ascii="Arial" w:hAnsi="Arial" w:cs="Arial"/>
          <w:b/>
          <w:bCs/>
          <w:color w:val="C45911" w:themeColor="accent2" w:themeShade="BF"/>
          <w:sz w:val="28"/>
          <w:szCs w:val="28"/>
        </w:rPr>
        <w:t>Local Government Reorganisation</w:t>
      </w:r>
    </w:p>
    <w:p w14:paraId="26B079F8" w14:textId="77777777" w:rsidR="00720D6B" w:rsidRPr="00701C2F" w:rsidRDefault="00720D6B" w:rsidP="00720D6B">
      <w:pPr>
        <w:autoSpaceDE w:val="0"/>
        <w:autoSpaceDN w:val="0"/>
        <w:adjustRightInd w:val="0"/>
        <w:jc w:val="both"/>
        <w:rPr>
          <w:rFonts w:ascii="Arial" w:hAnsi="Arial" w:cs="Arial"/>
          <w:b/>
          <w:bCs/>
          <w:color w:val="C45911" w:themeColor="accent2" w:themeShade="BF"/>
          <w:sz w:val="28"/>
          <w:szCs w:val="28"/>
        </w:rPr>
      </w:pPr>
    </w:p>
    <w:p w14:paraId="5B43EC91" w14:textId="7B26ECE2" w:rsidR="00720D6B" w:rsidRDefault="00720D6B" w:rsidP="00720D6B">
      <w:pPr>
        <w:autoSpaceDE w:val="0"/>
        <w:autoSpaceDN w:val="0"/>
        <w:adjustRightInd w:val="0"/>
        <w:jc w:val="both"/>
        <w:rPr>
          <w:rFonts w:ascii="Arial" w:hAnsi="Arial" w:cs="Arial"/>
        </w:rPr>
      </w:pPr>
      <w:r w:rsidRPr="00701C2F">
        <w:rPr>
          <w:rFonts w:ascii="Arial" w:hAnsi="Arial" w:cs="Arial"/>
        </w:rPr>
        <w:t>The Devolution White Paper in December 2024 set out a clear direction of travel towards unitary authorities, and a move away from two tier council structures. The current timetable for LGR would see Lincolnshire move to one or more</w:t>
      </w:r>
      <w:r w:rsidR="00FE78C2">
        <w:rPr>
          <w:rFonts w:ascii="Arial" w:hAnsi="Arial" w:cs="Arial"/>
        </w:rPr>
        <w:t xml:space="preserve"> new</w:t>
      </w:r>
      <w:r w:rsidRPr="00701C2F">
        <w:rPr>
          <w:rFonts w:ascii="Arial" w:hAnsi="Arial" w:cs="Arial"/>
        </w:rPr>
        <w:t xml:space="preserve"> unitary authorities in 2028.</w:t>
      </w:r>
    </w:p>
    <w:p w14:paraId="2FCB1F25" w14:textId="77777777" w:rsidR="007053E3" w:rsidRDefault="007053E3" w:rsidP="00720D6B">
      <w:pPr>
        <w:autoSpaceDE w:val="0"/>
        <w:autoSpaceDN w:val="0"/>
        <w:adjustRightInd w:val="0"/>
        <w:jc w:val="both"/>
        <w:rPr>
          <w:rFonts w:ascii="Arial" w:hAnsi="Arial" w:cs="Arial"/>
        </w:rPr>
      </w:pPr>
    </w:p>
    <w:p w14:paraId="0CDEFA12" w14:textId="7CA4074F" w:rsidR="00041132" w:rsidRDefault="00B17B0A" w:rsidP="00720D6B">
      <w:pPr>
        <w:autoSpaceDE w:val="0"/>
        <w:autoSpaceDN w:val="0"/>
        <w:adjustRightInd w:val="0"/>
        <w:jc w:val="both"/>
        <w:rPr>
          <w:rFonts w:ascii="Arial" w:hAnsi="Arial" w:cs="Arial"/>
        </w:rPr>
      </w:pPr>
      <w:r w:rsidRPr="00B17B0A">
        <w:rPr>
          <w:rFonts w:ascii="Arial" w:hAnsi="Arial" w:cs="Arial"/>
        </w:rPr>
        <w:t>This has a significant impact on how the financial position of the council is viewed</w:t>
      </w:r>
      <w:r>
        <w:rPr>
          <w:rFonts w:ascii="Arial" w:hAnsi="Arial" w:cs="Arial"/>
        </w:rPr>
        <w:t xml:space="preserve">, with the MTFS </w:t>
      </w:r>
      <w:r w:rsidR="00CC5D65">
        <w:rPr>
          <w:rFonts w:ascii="Arial" w:hAnsi="Arial" w:cs="Arial"/>
        </w:rPr>
        <w:t>effectively split into two timeframes, the first covering 2026/27 – 2027/28</w:t>
      </w:r>
      <w:r w:rsidR="00C003D4">
        <w:rPr>
          <w:rFonts w:ascii="Arial" w:hAnsi="Arial" w:cs="Arial"/>
        </w:rPr>
        <w:t xml:space="preserve"> ahead of the move to </w:t>
      </w:r>
      <w:r w:rsidR="008B64C2">
        <w:rPr>
          <w:rFonts w:ascii="Arial" w:hAnsi="Arial" w:cs="Arial"/>
        </w:rPr>
        <w:t xml:space="preserve">new unitary authorities and the second </w:t>
      </w:r>
      <w:r w:rsidR="00E859FA">
        <w:rPr>
          <w:rFonts w:ascii="Arial" w:hAnsi="Arial" w:cs="Arial"/>
        </w:rPr>
        <w:t>from 2028/29 onwards.</w:t>
      </w:r>
    </w:p>
    <w:p w14:paraId="3FBA2812" w14:textId="77777777" w:rsidR="00041132" w:rsidRDefault="00041132" w:rsidP="00720D6B">
      <w:pPr>
        <w:autoSpaceDE w:val="0"/>
        <w:autoSpaceDN w:val="0"/>
        <w:adjustRightInd w:val="0"/>
        <w:jc w:val="both"/>
        <w:rPr>
          <w:rFonts w:ascii="Arial" w:hAnsi="Arial" w:cs="Arial"/>
        </w:rPr>
      </w:pPr>
    </w:p>
    <w:p w14:paraId="57D76FD5" w14:textId="77B0E2FA" w:rsidR="00720D6B" w:rsidRDefault="00720D6B" w:rsidP="00720D6B">
      <w:pPr>
        <w:autoSpaceDE w:val="0"/>
        <w:autoSpaceDN w:val="0"/>
        <w:adjustRightInd w:val="0"/>
        <w:jc w:val="both"/>
        <w:rPr>
          <w:rFonts w:ascii="Arial" w:hAnsi="Arial" w:cs="Arial"/>
        </w:rPr>
      </w:pPr>
      <w:r w:rsidRPr="005C7B59">
        <w:rPr>
          <w:rFonts w:ascii="Arial" w:hAnsi="Arial" w:cs="Arial"/>
        </w:rPr>
        <w:t xml:space="preserve">In the run up to LGR statutory duties including the day to day running of the council, </w:t>
      </w:r>
      <w:r w:rsidRPr="00E44687">
        <w:rPr>
          <w:rFonts w:ascii="Arial" w:hAnsi="Arial" w:cs="Arial"/>
        </w:rPr>
        <w:t xml:space="preserve">ensuring best value and a requirement to set a balanced budget remain in place. </w:t>
      </w:r>
      <w:r w:rsidR="00CC4429" w:rsidRPr="00E44687">
        <w:rPr>
          <w:rFonts w:ascii="Arial" w:hAnsi="Arial" w:cs="Arial"/>
        </w:rPr>
        <w:t xml:space="preserve">The </w:t>
      </w:r>
      <w:r w:rsidRPr="00E44687">
        <w:rPr>
          <w:rFonts w:ascii="Arial" w:hAnsi="Arial" w:cs="Arial"/>
        </w:rPr>
        <w:t xml:space="preserve">Government have also been clear that decisions regarding ongoing service delivery and financial strategy of existing councils must not compromise the sustainability of the new council. Afterall, the new council will continue to serve the same communities of </w:t>
      </w:r>
      <w:r w:rsidR="00E86131" w:rsidRPr="00E44687">
        <w:rPr>
          <w:rFonts w:ascii="Arial" w:hAnsi="Arial" w:cs="Arial"/>
        </w:rPr>
        <w:t xml:space="preserve">the City of </w:t>
      </w:r>
      <w:r w:rsidRPr="00E44687">
        <w:rPr>
          <w:rFonts w:ascii="Arial" w:hAnsi="Arial" w:cs="Arial"/>
        </w:rPr>
        <w:t>Lincoln.</w:t>
      </w:r>
    </w:p>
    <w:p w14:paraId="49D3D02C" w14:textId="77777777" w:rsidR="002F0F10" w:rsidRDefault="002F0F10" w:rsidP="00720D6B">
      <w:pPr>
        <w:autoSpaceDE w:val="0"/>
        <w:autoSpaceDN w:val="0"/>
        <w:adjustRightInd w:val="0"/>
        <w:jc w:val="both"/>
        <w:rPr>
          <w:rFonts w:ascii="Arial" w:hAnsi="Arial" w:cs="Arial"/>
        </w:rPr>
      </w:pPr>
    </w:p>
    <w:p w14:paraId="5DA13926" w14:textId="254E17BE" w:rsidR="002F0F10" w:rsidRDefault="000F36C0" w:rsidP="00720D6B">
      <w:pPr>
        <w:autoSpaceDE w:val="0"/>
        <w:autoSpaceDN w:val="0"/>
        <w:adjustRightInd w:val="0"/>
        <w:jc w:val="both"/>
        <w:rPr>
          <w:rFonts w:ascii="Arial" w:hAnsi="Arial" w:cs="Arial"/>
        </w:rPr>
      </w:pPr>
      <w:r>
        <w:rPr>
          <w:rFonts w:ascii="Arial" w:hAnsi="Arial" w:cs="Arial"/>
        </w:rPr>
        <w:t xml:space="preserve">The transition to new unitary authorities will demand extraordinary focus, planning and resource management by the Council. Irrespective of the structural outcome, </w:t>
      </w:r>
      <w:r w:rsidR="002F3F5A">
        <w:rPr>
          <w:rFonts w:ascii="Arial" w:hAnsi="Arial" w:cs="Arial"/>
        </w:rPr>
        <w:t xml:space="preserve">a </w:t>
      </w:r>
      <w:r w:rsidR="0092201B">
        <w:rPr>
          <w:rFonts w:ascii="Arial" w:hAnsi="Arial" w:cs="Arial"/>
        </w:rPr>
        <w:t xml:space="preserve">transition </w:t>
      </w:r>
      <w:r w:rsidR="002F3F5A">
        <w:rPr>
          <w:rFonts w:ascii="Arial" w:hAnsi="Arial" w:cs="Arial"/>
        </w:rPr>
        <w:t>programme</w:t>
      </w:r>
      <w:r w:rsidR="00E3159D">
        <w:rPr>
          <w:rFonts w:ascii="Arial" w:hAnsi="Arial" w:cs="Arial"/>
        </w:rPr>
        <w:t xml:space="preserve"> to redesign governance frameworks, integrate ICT and finance systems, align policies and contracts and manage workforce transitions at scale will </w:t>
      </w:r>
      <w:r w:rsidR="00C94F76">
        <w:rPr>
          <w:rFonts w:ascii="Arial" w:hAnsi="Arial" w:cs="Arial"/>
        </w:rPr>
        <w:t>require a significant level of capacity and sustained effort by the council during 2026/27 – 2027/28.</w:t>
      </w:r>
      <w:r w:rsidR="00F92797">
        <w:rPr>
          <w:rFonts w:ascii="Arial" w:hAnsi="Arial" w:cs="Arial"/>
        </w:rPr>
        <w:t xml:space="preserve">  </w:t>
      </w:r>
      <w:r w:rsidR="00CE4C7B">
        <w:rPr>
          <w:rFonts w:ascii="Arial" w:hAnsi="Arial" w:cs="Arial"/>
        </w:rPr>
        <w:t xml:space="preserve">Alongside this the Council needs to </w:t>
      </w:r>
      <w:r w:rsidR="008C677B">
        <w:rPr>
          <w:rFonts w:ascii="Arial" w:hAnsi="Arial" w:cs="Arial"/>
        </w:rPr>
        <w:t>continue to maintain full-service delivery</w:t>
      </w:r>
      <w:r w:rsidR="007876CA">
        <w:rPr>
          <w:rFonts w:ascii="Arial" w:hAnsi="Arial" w:cs="Arial"/>
        </w:rPr>
        <w:t xml:space="preserve"> and </w:t>
      </w:r>
      <w:r w:rsidR="00B70675">
        <w:rPr>
          <w:rFonts w:ascii="Arial" w:hAnsi="Arial" w:cs="Arial"/>
        </w:rPr>
        <w:t>deliver against its Vision 2030 priorities</w:t>
      </w:r>
      <w:r w:rsidR="008C677B">
        <w:rPr>
          <w:rFonts w:ascii="Arial" w:hAnsi="Arial" w:cs="Arial"/>
        </w:rPr>
        <w:t>.</w:t>
      </w:r>
    </w:p>
    <w:p w14:paraId="0AF4F87E" w14:textId="77777777" w:rsidR="00B70675" w:rsidRDefault="00B70675" w:rsidP="00720D6B">
      <w:pPr>
        <w:autoSpaceDE w:val="0"/>
        <w:autoSpaceDN w:val="0"/>
        <w:adjustRightInd w:val="0"/>
        <w:jc w:val="both"/>
        <w:rPr>
          <w:rFonts w:ascii="Arial" w:hAnsi="Arial" w:cs="Arial"/>
        </w:rPr>
      </w:pPr>
    </w:p>
    <w:p w14:paraId="6BD24427" w14:textId="3066857C" w:rsidR="00B70675" w:rsidRPr="00896A15" w:rsidRDefault="00B70675" w:rsidP="00B70675">
      <w:pPr>
        <w:jc w:val="both"/>
        <w:rPr>
          <w:rFonts w:ascii="Arial" w:hAnsi="Arial" w:cs="Arial"/>
          <w:lang w:eastAsia="en-GB"/>
        </w:rPr>
      </w:pPr>
      <w:r w:rsidRPr="00896A15">
        <w:rPr>
          <w:rFonts w:ascii="Arial" w:hAnsi="Arial" w:cs="Arial"/>
          <w:lang w:eastAsia="en-GB"/>
        </w:rPr>
        <w:t>Delivering against these three outcomes will no doubt stretch the organisation and test its resilience, it will require a disciplined and co-ordinated approach to how the Council manages its resources and a willingness to make difficult decisions.</w:t>
      </w:r>
    </w:p>
    <w:p w14:paraId="20CEFC70" w14:textId="77777777" w:rsidR="00B70675" w:rsidRDefault="00B70675" w:rsidP="00720D6B">
      <w:pPr>
        <w:autoSpaceDE w:val="0"/>
        <w:autoSpaceDN w:val="0"/>
        <w:adjustRightInd w:val="0"/>
        <w:jc w:val="both"/>
        <w:rPr>
          <w:rFonts w:ascii="Arial" w:hAnsi="Arial" w:cs="Arial"/>
        </w:rPr>
      </w:pPr>
    </w:p>
    <w:p w14:paraId="74FC4A0C" w14:textId="77777777" w:rsidR="00823CFC" w:rsidRDefault="00823CFC" w:rsidP="00720D6B">
      <w:pPr>
        <w:autoSpaceDE w:val="0"/>
        <w:autoSpaceDN w:val="0"/>
        <w:adjustRightInd w:val="0"/>
        <w:jc w:val="both"/>
        <w:rPr>
          <w:rFonts w:ascii="Arial" w:hAnsi="Arial" w:cs="Arial"/>
        </w:rPr>
      </w:pPr>
    </w:p>
    <w:p w14:paraId="1E47C1D7" w14:textId="3446DBAA" w:rsidR="00823CFC" w:rsidRDefault="00384574" w:rsidP="00720D6B">
      <w:pPr>
        <w:autoSpaceDE w:val="0"/>
        <w:autoSpaceDN w:val="0"/>
        <w:adjustRightInd w:val="0"/>
        <w:jc w:val="both"/>
        <w:rPr>
          <w:rFonts w:ascii="Arial" w:hAnsi="Arial" w:cs="Arial"/>
        </w:rPr>
      </w:pPr>
      <w:r w:rsidRPr="008052AF">
        <w:rPr>
          <w:rFonts w:ascii="Arial" w:hAnsi="Arial" w:cs="Arial"/>
        </w:rPr>
        <w:t>While neither the total cost</w:t>
      </w:r>
      <w:r w:rsidR="0021344A" w:rsidRPr="008052AF">
        <w:rPr>
          <w:rFonts w:ascii="Arial" w:hAnsi="Arial" w:cs="Arial"/>
        </w:rPr>
        <w:t xml:space="preserve"> </w:t>
      </w:r>
      <w:r w:rsidR="00E25DFD" w:rsidRPr="008052AF">
        <w:rPr>
          <w:rFonts w:ascii="Arial" w:hAnsi="Arial" w:cs="Arial"/>
        </w:rPr>
        <w:t>n</w:t>
      </w:r>
      <w:r w:rsidRPr="008052AF">
        <w:rPr>
          <w:rFonts w:ascii="Arial" w:hAnsi="Arial" w:cs="Arial"/>
        </w:rPr>
        <w:t xml:space="preserve">or the Council’s share of </w:t>
      </w:r>
      <w:r w:rsidR="0021344A" w:rsidRPr="008052AF">
        <w:rPr>
          <w:rFonts w:ascii="Arial" w:hAnsi="Arial" w:cs="Arial"/>
        </w:rPr>
        <w:t>these upfront reorgan</w:t>
      </w:r>
      <w:r w:rsidR="00186A63" w:rsidRPr="008052AF">
        <w:rPr>
          <w:rFonts w:ascii="Arial" w:hAnsi="Arial" w:cs="Arial"/>
        </w:rPr>
        <w:t>i</w:t>
      </w:r>
      <w:r w:rsidR="0021344A" w:rsidRPr="008052AF">
        <w:rPr>
          <w:rFonts w:ascii="Arial" w:hAnsi="Arial" w:cs="Arial"/>
        </w:rPr>
        <w:t>sation</w:t>
      </w:r>
      <w:r w:rsidRPr="008052AF">
        <w:rPr>
          <w:rFonts w:ascii="Arial" w:hAnsi="Arial" w:cs="Arial"/>
        </w:rPr>
        <w:t xml:space="preserve"> cost</w:t>
      </w:r>
      <w:r w:rsidR="00186A63" w:rsidRPr="008052AF">
        <w:rPr>
          <w:rFonts w:ascii="Arial" w:hAnsi="Arial" w:cs="Arial"/>
        </w:rPr>
        <w:t>s</w:t>
      </w:r>
      <w:r w:rsidRPr="008052AF">
        <w:rPr>
          <w:rFonts w:ascii="Arial" w:hAnsi="Arial" w:cs="Arial"/>
        </w:rPr>
        <w:t xml:space="preserve"> </w:t>
      </w:r>
      <w:r w:rsidR="00186A63" w:rsidRPr="008052AF">
        <w:rPr>
          <w:rFonts w:ascii="Arial" w:hAnsi="Arial" w:cs="Arial"/>
        </w:rPr>
        <w:t>are</w:t>
      </w:r>
      <w:r w:rsidRPr="008052AF">
        <w:rPr>
          <w:rFonts w:ascii="Arial" w:hAnsi="Arial" w:cs="Arial"/>
        </w:rPr>
        <w:t xml:space="preserve"> yet known with certainty, it is prudent to </w:t>
      </w:r>
      <w:r w:rsidR="0009500C">
        <w:rPr>
          <w:rFonts w:ascii="Arial" w:hAnsi="Arial" w:cs="Arial"/>
        </w:rPr>
        <w:t>set</w:t>
      </w:r>
      <w:r w:rsidRPr="008052AF">
        <w:rPr>
          <w:rFonts w:ascii="Arial" w:hAnsi="Arial" w:cs="Arial"/>
        </w:rPr>
        <w:t xml:space="preserve"> </w:t>
      </w:r>
      <w:r w:rsidR="0009500C">
        <w:rPr>
          <w:rFonts w:ascii="Arial" w:hAnsi="Arial" w:cs="Arial"/>
        </w:rPr>
        <w:t>resources</w:t>
      </w:r>
      <w:r w:rsidRPr="008052AF">
        <w:rPr>
          <w:rFonts w:ascii="Arial" w:hAnsi="Arial" w:cs="Arial"/>
        </w:rPr>
        <w:t xml:space="preserve"> aside to fund those costs when the occur</w:t>
      </w:r>
      <w:r w:rsidR="00186A63" w:rsidRPr="008052AF">
        <w:rPr>
          <w:rFonts w:ascii="Arial" w:hAnsi="Arial" w:cs="Arial"/>
        </w:rPr>
        <w:t xml:space="preserve">.  The Council has therefore established a </w:t>
      </w:r>
      <w:r w:rsidR="00823CFC" w:rsidRPr="008052AF">
        <w:rPr>
          <w:rFonts w:ascii="Arial" w:hAnsi="Arial" w:cs="Arial"/>
        </w:rPr>
        <w:t>Future Readiness</w:t>
      </w:r>
      <w:r w:rsidR="008052AF" w:rsidRPr="008052AF">
        <w:rPr>
          <w:rFonts w:ascii="Arial" w:hAnsi="Arial" w:cs="Arial"/>
        </w:rPr>
        <w:t>/Transition</w:t>
      </w:r>
      <w:r w:rsidR="00823CFC" w:rsidRPr="008052AF">
        <w:rPr>
          <w:rFonts w:ascii="Arial" w:hAnsi="Arial" w:cs="Arial"/>
        </w:rPr>
        <w:t xml:space="preserve"> </w:t>
      </w:r>
      <w:r w:rsidR="008052AF" w:rsidRPr="008052AF">
        <w:rPr>
          <w:rFonts w:ascii="Arial" w:hAnsi="Arial" w:cs="Arial"/>
        </w:rPr>
        <w:t>reserve</w:t>
      </w:r>
      <w:r w:rsidR="00823CFC" w:rsidRPr="008052AF">
        <w:rPr>
          <w:rFonts w:ascii="Arial" w:hAnsi="Arial" w:cs="Arial"/>
        </w:rPr>
        <w:t xml:space="preserve"> to provide resources for</w:t>
      </w:r>
      <w:r w:rsidR="00B303F1" w:rsidRPr="008052AF">
        <w:rPr>
          <w:rFonts w:ascii="Arial" w:hAnsi="Arial" w:cs="Arial"/>
        </w:rPr>
        <w:t xml:space="preserve"> both it’s share of upfront reorganisation costs as well as it’s own internal costs</w:t>
      </w:r>
      <w:r w:rsidR="00B2541A" w:rsidRPr="008052AF">
        <w:rPr>
          <w:rFonts w:ascii="Arial" w:hAnsi="Arial" w:cs="Arial"/>
        </w:rPr>
        <w:t>.</w:t>
      </w:r>
    </w:p>
    <w:p w14:paraId="7EEA3390" w14:textId="77777777" w:rsidR="009D3048" w:rsidRDefault="009D3048" w:rsidP="00937848">
      <w:pPr>
        <w:autoSpaceDE w:val="0"/>
        <w:autoSpaceDN w:val="0"/>
        <w:adjustRightInd w:val="0"/>
        <w:jc w:val="both"/>
        <w:rPr>
          <w:rFonts w:ascii="Arial" w:eastAsia="MS Mincho" w:hAnsi="Arial" w:cs="Arial"/>
        </w:rPr>
      </w:pPr>
      <w:bookmarkStart w:id="0" w:name="_Hlk118886554"/>
    </w:p>
    <w:p w14:paraId="52E49F71" w14:textId="5DFBB143" w:rsidR="000A6277" w:rsidRPr="00903CEF" w:rsidRDefault="000A6277" w:rsidP="000A6277">
      <w:pPr>
        <w:pStyle w:val="Heading6"/>
        <w:ind w:left="0"/>
        <w:rPr>
          <w:b w:val="0"/>
          <w:color w:val="C45911"/>
          <w:sz w:val="20"/>
          <w:szCs w:val="20"/>
        </w:rPr>
      </w:pPr>
      <w:r w:rsidRPr="00903CEF">
        <w:rPr>
          <w:color w:val="C45911"/>
          <w:sz w:val="28"/>
        </w:rPr>
        <w:t xml:space="preserve">Local Priorities </w:t>
      </w:r>
    </w:p>
    <w:p w14:paraId="27C59748" w14:textId="77777777" w:rsidR="000A6277" w:rsidRPr="00C751EB" w:rsidRDefault="000A6277" w:rsidP="000A6277">
      <w:pPr>
        <w:jc w:val="both"/>
        <w:rPr>
          <w:rFonts w:ascii="Arial" w:hAnsi="Arial" w:cs="Arial"/>
          <w:highlight w:val="yellow"/>
        </w:rPr>
      </w:pPr>
    </w:p>
    <w:p w14:paraId="624967D7" w14:textId="77777777" w:rsidR="00A6754B" w:rsidRPr="00226D20" w:rsidRDefault="00A6754B" w:rsidP="00FD298C">
      <w:pPr>
        <w:pStyle w:val="Default"/>
        <w:jc w:val="both"/>
        <w:rPr>
          <w:rFonts w:ascii="Arial" w:hAnsi="Arial" w:cs="Arial"/>
          <w:b/>
          <w:color w:val="auto"/>
          <w:lang w:val="en-GB"/>
        </w:rPr>
      </w:pPr>
      <w:r w:rsidRPr="00226D20">
        <w:rPr>
          <w:rFonts w:ascii="Arial" w:hAnsi="Arial" w:cs="Arial"/>
          <w:b/>
          <w:color w:val="auto"/>
          <w:lang w:val="en-GB"/>
        </w:rPr>
        <w:t>City Profile</w:t>
      </w:r>
    </w:p>
    <w:p w14:paraId="35219645" w14:textId="77777777" w:rsidR="00A6754B" w:rsidRPr="00226D20" w:rsidRDefault="00A6754B" w:rsidP="00FD298C">
      <w:pPr>
        <w:pStyle w:val="Default"/>
        <w:jc w:val="both"/>
        <w:rPr>
          <w:rFonts w:ascii="Arial" w:hAnsi="Arial" w:cs="Arial"/>
          <w:color w:val="auto"/>
          <w:lang w:val="en-GB"/>
        </w:rPr>
      </w:pPr>
    </w:p>
    <w:bookmarkEnd w:id="0"/>
    <w:p w14:paraId="0F06CFBA" w14:textId="05B2EE53" w:rsidR="7F5687F0" w:rsidRPr="00226D20" w:rsidRDefault="7F5687F0" w:rsidP="001F303D">
      <w:pPr>
        <w:jc w:val="both"/>
        <w:rPr>
          <w:rFonts w:ascii="Arial" w:eastAsia="Arial" w:hAnsi="Arial" w:cs="Arial"/>
        </w:rPr>
      </w:pPr>
      <w:r w:rsidRPr="00226D20">
        <w:rPr>
          <w:rFonts w:ascii="Arial" w:eastAsia="Arial" w:hAnsi="Arial" w:cs="Arial"/>
        </w:rPr>
        <w:t xml:space="preserve">Lincoln is a cathedral city, and is one of the oldest cities in Britain, with an estimated population of around </w:t>
      </w:r>
      <w:r w:rsidR="003747ED" w:rsidRPr="00226D20">
        <w:rPr>
          <w:rFonts w:ascii="Arial" w:eastAsia="Arial" w:hAnsi="Arial" w:cs="Arial"/>
        </w:rPr>
        <w:t>105,114</w:t>
      </w:r>
      <w:r w:rsidRPr="00226D20">
        <w:rPr>
          <w:rFonts w:ascii="Arial" w:eastAsia="Arial" w:hAnsi="Arial" w:cs="Arial"/>
        </w:rPr>
        <w:t xml:space="preserve"> taken from the Office for National Statistics (ONS) mid</w:t>
      </w:r>
      <w:r w:rsidR="1906B60F" w:rsidRPr="00226D20">
        <w:rPr>
          <w:rFonts w:ascii="Arial" w:eastAsia="Arial" w:hAnsi="Arial" w:cs="Arial"/>
        </w:rPr>
        <w:t>-</w:t>
      </w:r>
      <w:r w:rsidRPr="00226D20">
        <w:rPr>
          <w:rFonts w:ascii="Arial" w:eastAsia="Arial" w:hAnsi="Arial" w:cs="Arial"/>
        </w:rPr>
        <w:t>year population estimate for 202</w:t>
      </w:r>
      <w:r w:rsidR="00C34ADA" w:rsidRPr="00226D20">
        <w:rPr>
          <w:rFonts w:ascii="Arial" w:eastAsia="Arial" w:hAnsi="Arial" w:cs="Arial"/>
        </w:rPr>
        <w:t>4</w:t>
      </w:r>
      <w:r w:rsidRPr="00226D20">
        <w:rPr>
          <w:rFonts w:ascii="Arial" w:eastAsia="Arial" w:hAnsi="Arial" w:cs="Arial"/>
        </w:rPr>
        <w:t xml:space="preserve">. Lincoln also ranked the </w:t>
      </w:r>
      <w:r w:rsidR="00332C7A" w:rsidRPr="00226D20">
        <w:rPr>
          <w:rFonts w:ascii="Arial" w:eastAsia="Arial" w:hAnsi="Arial" w:cs="Arial"/>
        </w:rPr>
        <w:t>ni</w:t>
      </w:r>
      <w:r w:rsidRPr="00226D20">
        <w:rPr>
          <w:rFonts w:ascii="Arial" w:eastAsia="Arial" w:hAnsi="Arial" w:cs="Arial"/>
        </w:rPr>
        <w:t>nth most densely populated local authority area out of 1</w:t>
      </w:r>
      <w:r w:rsidR="00072A90" w:rsidRPr="00226D20">
        <w:rPr>
          <w:rFonts w:ascii="Arial" w:eastAsia="Arial" w:hAnsi="Arial" w:cs="Arial"/>
        </w:rPr>
        <w:t>5</w:t>
      </w:r>
      <w:r w:rsidRPr="00226D20">
        <w:rPr>
          <w:rFonts w:ascii="Arial" w:eastAsia="Arial" w:hAnsi="Arial" w:cs="Arial"/>
        </w:rPr>
        <w:t xml:space="preserve"> CIPFA nearest neighbours, taken from the Office for National Statistics (ONS) mid</w:t>
      </w:r>
      <w:r w:rsidR="70DCC158" w:rsidRPr="00226D20">
        <w:rPr>
          <w:rFonts w:ascii="Arial" w:eastAsia="Arial" w:hAnsi="Arial" w:cs="Arial"/>
        </w:rPr>
        <w:t>-</w:t>
      </w:r>
      <w:r w:rsidRPr="00226D20">
        <w:rPr>
          <w:rFonts w:ascii="Arial" w:eastAsia="Arial" w:hAnsi="Arial" w:cs="Arial"/>
        </w:rPr>
        <w:t>year population estimate for 202</w:t>
      </w:r>
      <w:r w:rsidR="00226D20" w:rsidRPr="00226D20">
        <w:rPr>
          <w:rFonts w:ascii="Arial" w:eastAsia="Arial" w:hAnsi="Arial" w:cs="Arial"/>
        </w:rPr>
        <w:t>4</w:t>
      </w:r>
      <w:r w:rsidRPr="00226D20">
        <w:rPr>
          <w:rFonts w:ascii="Arial" w:eastAsia="Arial" w:hAnsi="Arial" w:cs="Arial"/>
        </w:rPr>
        <w:t>.</w:t>
      </w:r>
    </w:p>
    <w:p w14:paraId="21926872" w14:textId="77777777" w:rsidR="001F303D" w:rsidRPr="00226D20" w:rsidRDefault="001F303D" w:rsidP="001F303D">
      <w:pPr>
        <w:jc w:val="both"/>
        <w:rPr>
          <w:rFonts w:ascii="Arial" w:eastAsia="Arial" w:hAnsi="Arial" w:cs="Arial"/>
        </w:rPr>
      </w:pPr>
    </w:p>
    <w:p w14:paraId="00DD846B" w14:textId="23224AE9" w:rsidR="180815D0" w:rsidRPr="00F97805" w:rsidRDefault="180815D0" w:rsidP="001F303D">
      <w:pPr>
        <w:jc w:val="both"/>
        <w:rPr>
          <w:rFonts w:ascii="Arial" w:eastAsia="Arial" w:hAnsi="Arial" w:cs="Arial"/>
        </w:rPr>
      </w:pPr>
      <w:r w:rsidRPr="00553EA1">
        <w:rPr>
          <w:rFonts w:ascii="Arial" w:eastAsia="Arial" w:hAnsi="Arial" w:cs="Arial"/>
        </w:rPr>
        <w:t xml:space="preserve">Although the population of Lincoln is estimated at over 100,000, many non-Lincoln residents visit </w:t>
      </w:r>
      <w:r w:rsidRPr="00F97805">
        <w:rPr>
          <w:rFonts w:ascii="Arial" w:eastAsia="Arial" w:hAnsi="Arial" w:cs="Arial"/>
        </w:rPr>
        <w:t xml:space="preserve">the city during the daytime, boosting the local economy but also putting immense pressure on local services and infrastructure. </w:t>
      </w:r>
    </w:p>
    <w:p w14:paraId="47B49E0C" w14:textId="77777777" w:rsidR="001F303D" w:rsidRPr="00F97805" w:rsidRDefault="001F303D" w:rsidP="001F303D">
      <w:pPr>
        <w:jc w:val="both"/>
        <w:rPr>
          <w:rFonts w:ascii="Arial" w:eastAsia="Arial" w:hAnsi="Arial" w:cs="Arial"/>
        </w:rPr>
      </w:pPr>
    </w:p>
    <w:p w14:paraId="4BE9B34E" w14:textId="4EE620BB" w:rsidR="180815D0" w:rsidRPr="00F97805" w:rsidRDefault="180815D0" w:rsidP="001F303D">
      <w:pPr>
        <w:jc w:val="both"/>
        <w:rPr>
          <w:rFonts w:ascii="Arial" w:eastAsia="Arial" w:hAnsi="Arial" w:cs="Arial"/>
        </w:rPr>
      </w:pPr>
      <w:r w:rsidRPr="00F97805">
        <w:rPr>
          <w:rFonts w:ascii="Arial" w:eastAsia="Arial" w:hAnsi="Arial" w:cs="Arial"/>
          <w:lang w:val="en-US"/>
        </w:rPr>
        <w:t>Based on the mid</w:t>
      </w:r>
      <w:r w:rsidR="2CAB9948" w:rsidRPr="00F97805">
        <w:rPr>
          <w:rFonts w:ascii="Arial" w:eastAsia="Arial" w:hAnsi="Arial" w:cs="Arial"/>
          <w:lang w:val="en-US"/>
        </w:rPr>
        <w:t>-</w:t>
      </w:r>
      <w:r w:rsidRPr="00F97805">
        <w:rPr>
          <w:rFonts w:ascii="Arial" w:eastAsia="Arial" w:hAnsi="Arial" w:cs="Arial"/>
          <w:lang w:val="en-US"/>
        </w:rPr>
        <w:t>year estimates, in the ten years, from 201</w:t>
      </w:r>
      <w:r w:rsidR="00C03901" w:rsidRPr="00F97805">
        <w:rPr>
          <w:rFonts w:ascii="Arial" w:eastAsia="Arial" w:hAnsi="Arial" w:cs="Arial"/>
          <w:lang w:val="en-US"/>
        </w:rPr>
        <w:t>4</w:t>
      </w:r>
      <w:r w:rsidRPr="00F97805">
        <w:rPr>
          <w:rFonts w:ascii="Arial" w:eastAsia="Arial" w:hAnsi="Arial" w:cs="Arial"/>
          <w:lang w:val="en-US"/>
        </w:rPr>
        <w:t xml:space="preserve"> to 202</w:t>
      </w:r>
      <w:r w:rsidR="00C03901" w:rsidRPr="00F97805">
        <w:rPr>
          <w:rFonts w:ascii="Arial" w:eastAsia="Arial" w:hAnsi="Arial" w:cs="Arial"/>
          <w:lang w:val="en-US"/>
        </w:rPr>
        <w:t>4</w:t>
      </w:r>
      <w:r w:rsidRPr="00F97805">
        <w:rPr>
          <w:rFonts w:ascii="Arial" w:eastAsia="Arial" w:hAnsi="Arial" w:cs="Arial"/>
          <w:lang w:val="en-US"/>
        </w:rPr>
        <w:t xml:space="preserve">, Lincoln has seen </w:t>
      </w:r>
      <w:r w:rsidR="00EB13E2" w:rsidRPr="00F97805">
        <w:rPr>
          <w:rFonts w:ascii="Arial" w:eastAsia="Arial" w:hAnsi="Arial" w:cs="Arial"/>
          <w:lang w:val="en-US"/>
        </w:rPr>
        <w:t>9.3</w:t>
      </w:r>
      <w:r w:rsidRPr="00F97805">
        <w:rPr>
          <w:rFonts w:ascii="Arial" w:eastAsia="Arial" w:hAnsi="Arial" w:cs="Arial"/>
          <w:lang w:val="en-US"/>
        </w:rPr>
        <w:t>% increase in the number of people who live here and subsequently t</w:t>
      </w:r>
      <w:r w:rsidRPr="00F97805">
        <w:rPr>
          <w:rFonts w:ascii="Arial" w:eastAsia="Arial" w:hAnsi="Arial" w:cs="Arial"/>
        </w:rPr>
        <w:t>he number of usual residents in Lincoln per square kilometre increased to 2,</w:t>
      </w:r>
      <w:r w:rsidR="001038F4" w:rsidRPr="00F97805">
        <w:rPr>
          <w:rFonts w:ascii="Arial" w:eastAsia="Arial" w:hAnsi="Arial" w:cs="Arial"/>
        </w:rPr>
        <w:t>945</w:t>
      </w:r>
      <w:r w:rsidRPr="00F97805">
        <w:rPr>
          <w:rFonts w:ascii="Arial" w:eastAsia="Arial" w:hAnsi="Arial" w:cs="Arial"/>
        </w:rPr>
        <w:t xml:space="preserve"> </w:t>
      </w:r>
      <w:r w:rsidR="00F97805" w:rsidRPr="00F97805">
        <w:rPr>
          <w:rFonts w:ascii="Arial" w:eastAsia="Arial" w:hAnsi="Arial" w:cs="Arial"/>
        </w:rPr>
        <w:t>as of 2024</w:t>
      </w:r>
      <w:r w:rsidRPr="00F97805">
        <w:rPr>
          <w:rFonts w:ascii="Arial" w:eastAsia="Arial" w:hAnsi="Arial" w:cs="Arial"/>
        </w:rPr>
        <w:t xml:space="preserve">. </w:t>
      </w:r>
    </w:p>
    <w:p w14:paraId="369848F2" w14:textId="77777777" w:rsidR="001F303D" w:rsidRPr="00EC1B50" w:rsidRDefault="001F303D" w:rsidP="001F303D">
      <w:pPr>
        <w:jc w:val="both"/>
        <w:rPr>
          <w:rFonts w:ascii="Arial" w:eastAsia="Arial" w:hAnsi="Arial" w:cs="Arial"/>
        </w:rPr>
      </w:pPr>
    </w:p>
    <w:p w14:paraId="33A31B0C" w14:textId="6284553F" w:rsidR="180815D0" w:rsidRPr="00EC1B50" w:rsidRDefault="180815D0" w:rsidP="001F303D">
      <w:pPr>
        <w:jc w:val="both"/>
        <w:rPr>
          <w:rFonts w:ascii="Arial" w:eastAsia="Arial" w:hAnsi="Arial" w:cs="Arial"/>
        </w:rPr>
      </w:pPr>
      <w:r w:rsidRPr="00EC1B50">
        <w:rPr>
          <w:rFonts w:ascii="Arial" w:eastAsia="Arial" w:hAnsi="Arial" w:cs="Arial"/>
        </w:rPr>
        <w:t>As expected, a high level of the population continues to fall within the younger age bracket. In 202</w:t>
      </w:r>
      <w:r w:rsidR="00C53588" w:rsidRPr="00EC1B50">
        <w:rPr>
          <w:rFonts w:ascii="Arial" w:eastAsia="Arial" w:hAnsi="Arial" w:cs="Arial"/>
        </w:rPr>
        <w:t>3</w:t>
      </w:r>
      <w:r w:rsidRPr="00EC1B50">
        <w:rPr>
          <w:rFonts w:ascii="Arial" w:eastAsia="Arial" w:hAnsi="Arial" w:cs="Arial"/>
        </w:rPr>
        <w:t>-202</w:t>
      </w:r>
      <w:r w:rsidR="00C53588" w:rsidRPr="00EC1B50">
        <w:rPr>
          <w:rFonts w:ascii="Arial" w:eastAsia="Arial" w:hAnsi="Arial" w:cs="Arial"/>
        </w:rPr>
        <w:t>4</w:t>
      </w:r>
      <w:r w:rsidRPr="00EC1B50">
        <w:rPr>
          <w:rFonts w:ascii="Arial" w:eastAsia="Arial" w:hAnsi="Arial" w:cs="Arial"/>
        </w:rPr>
        <w:t xml:space="preserve">, there were </w:t>
      </w:r>
      <w:r w:rsidR="00A83721" w:rsidRPr="00EC1B50">
        <w:rPr>
          <w:rFonts w:ascii="Arial" w:eastAsia="Arial" w:hAnsi="Arial" w:cs="Arial"/>
        </w:rPr>
        <w:t>20,185</w:t>
      </w:r>
      <w:r w:rsidRPr="00EC1B50">
        <w:rPr>
          <w:rFonts w:ascii="Arial" w:eastAsia="Arial" w:hAnsi="Arial" w:cs="Arial"/>
        </w:rPr>
        <w:t xml:space="preserve"> students at the University of Lincoln and 2,37</w:t>
      </w:r>
      <w:r w:rsidR="003E1143" w:rsidRPr="00EC1B50">
        <w:rPr>
          <w:rFonts w:ascii="Arial" w:eastAsia="Arial" w:hAnsi="Arial" w:cs="Arial"/>
        </w:rPr>
        <w:t>5</w:t>
      </w:r>
      <w:r w:rsidRPr="00EC1B50">
        <w:rPr>
          <w:rFonts w:ascii="Arial" w:eastAsia="Arial" w:hAnsi="Arial" w:cs="Arial"/>
        </w:rPr>
        <w:t xml:space="preserve"> students at </w:t>
      </w:r>
      <w:r w:rsidR="00EC1B50" w:rsidRPr="00EC1B50">
        <w:rPr>
          <w:rFonts w:ascii="Arial" w:eastAsia="Arial" w:hAnsi="Arial" w:cs="Arial"/>
        </w:rPr>
        <w:t xml:space="preserve">Lincoln </w:t>
      </w:r>
      <w:r w:rsidRPr="00EC1B50">
        <w:rPr>
          <w:rFonts w:ascii="Arial" w:eastAsia="Arial" w:hAnsi="Arial" w:cs="Arial"/>
        </w:rPr>
        <w:t xml:space="preserve">Bishop University.  </w:t>
      </w:r>
    </w:p>
    <w:p w14:paraId="4C1BEE98" w14:textId="77777777" w:rsidR="001F303D" w:rsidRPr="00EC1B50" w:rsidRDefault="001F303D" w:rsidP="001F303D">
      <w:pPr>
        <w:jc w:val="both"/>
        <w:rPr>
          <w:rFonts w:ascii="Arial" w:eastAsia="Arial" w:hAnsi="Arial" w:cs="Arial"/>
        </w:rPr>
      </w:pPr>
    </w:p>
    <w:p w14:paraId="13034BF1" w14:textId="3FF60F08" w:rsidR="180815D0" w:rsidRPr="002B60D8" w:rsidRDefault="180815D0" w:rsidP="001F303D">
      <w:pPr>
        <w:jc w:val="both"/>
        <w:rPr>
          <w:rFonts w:ascii="Arial" w:eastAsia="Arial" w:hAnsi="Arial" w:cs="Arial"/>
        </w:rPr>
      </w:pPr>
      <w:r w:rsidRPr="002B60D8">
        <w:rPr>
          <w:rFonts w:ascii="Arial" w:eastAsia="Arial" w:hAnsi="Arial" w:cs="Arial"/>
        </w:rPr>
        <w:t xml:space="preserve">Lincoln remains a young City with </w:t>
      </w:r>
      <w:r w:rsidR="00472DC2" w:rsidRPr="002B60D8">
        <w:rPr>
          <w:rFonts w:ascii="Arial" w:eastAsia="Arial" w:hAnsi="Arial" w:cs="Arial"/>
        </w:rPr>
        <w:t>36.8</w:t>
      </w:r>
      <w:r w:rsidRPr="002B60D8">
        <w:rPr>
          <w:rFonts w:ascii="Arial" w:eastAsia="Arial" w:hAnsi="Arial" w:cs="Arial"/>
        </w:rPr>
        <w:t xml:space="preserve">% of the population in the 15-34 age bracket. </w:t>
      </w:r>
    </w:p>
    <w:p w14:paraId="5AEF72BF" w14:textId="77777777" w:rsidR="00E52E68" w:rsidRPr="002B60D8" w:rsidRDefault="00E52E68" w:rsidP="001F303D">
      <w:pPr>
        <w:jc w:val="both"/>
        <w:rPr>
          <w:rFonts w:ascii="Arial" w:eastAsia="Arial" w:hAnsi="Arial" w:cs="Arial"/>
        </w:rPr>
      </w:pPr>
    </w:p>
    <w:p w14:paraId="49F01740" w14:textId="09DA350B" w:rsidR="00903CEF" w:rsidRPr="002B60D8" w:rsidRDefault="00903CEF" w:rsidP="001F303D">
      <w:pPr>
        <w:autoSpaceDE w:val="0"/>
        <w:autoSpaceDN w:val="0"/>
        <w:adjustRightInd w:val="0"/>
        <w:jc w:val="both"/>
        <w:rPr>
          <w:rFonts w:ascii="Arial" w:eastAsia="Arial" w:hAnsi="Arial" w:cs="Arial"/>
        </w:rPr>
      </w:pPr>
      <w:r w:rsidRPr="002B60D8">
        <w:rPr>
          <w:rFonts w:ascii="Arial" w:eastAsia="Arial" w:hAnsi="Arial" w:cs="Arial"/>
        </w:rPr>
        <w:t xml:space="preserve">In Lincoln as a whole, the most common age group shown in the </w:t>
      </w:r>
      <w:r w:rsidR="180815D0" w:rsidRPr="002B60D8">
        <w:rPr>
          <w:rFonts w:ascii="Arial" w:eastAsia="Arial" w:hAnsi="Arial" w:cs="Arial"/>
        </w:rPr>
        <w:t>Office for National Statistics (ONS) mid</w:t>
      </w:r>
      <w:r w:rsidR="59A04832" w:rsidRPr="002B60D8">
        <w:rPr>
          <w:rFonts w:ascii="Arial" w:eastAsia="Arial" w:hAnsi="Arial" w:cs="Arial"/>
        </w:rPr>
        <w:t>-</w:t>
      </w:r>
      <w:r w:rsidR="180815D0" w:rsidRPr="002B60D8">
        <w:rPr>
          <w:rFonts w:ascii="Arial" w:eastAsia="Arial" w:hAnsi="Arial" w:cs="Arial"/>
        </w:rPr>
        <w:t>year population estimate for 202</w:t>
      </w:r>
      <w:r w:rsidR="002B60D8" w:rsidRPr="002B60D8">
        <w:rPr>
          <w:rFonts w:ascii="Arial" w:eastAsia="Arial" w:hAnsi="Arial" w:cs="Arial"/>
        </w:rPr>
        <w:t>4</w:t>
      </w:r>
      <w:r w:rsidRPr="002B60D8">
        <w:rPr>
          <w:rFonts w:ascii="Arial" w:eastAsia="Arial" w:hAnsi="Arial" w:cs="Arial"/>
        </w:rPr>
        <w:t xml:space="preserve"> was 20-24, </w:t>
      </w:r>
      <w:r w:rsidR="180815D0" w:rsidRPr="002B60D8">
        <w:rPr>
          <w:rFonts w:ascii="Arial" w:eastAsia="Arial" w:hAnsi="Arial" w:cs="Arial"/>
        </w:rPr>
        <w:t>1</w:t>
      </w:r>
      <w:r w:rsidR="002B60D8" w:rsidRPr="002B60D8">
        <w:rPr>
          <w:rFonts w:ascii="Arial" w:eastAsia="Arial" w:hAnsi="Arial" w:cs="Arial"/>
        </w:rPr>
        <w:t>1.8</w:t>
      </w:r>
      <w:r w:rsidR="180815D0" w:rsidRPr="002B60D8">
        <w:rPr>
          <w:rFonts w:ascii="Arial" w:eastAsia="Arial" w:hAnsi="Arial" w:cs="Arial"/>
        </w:rPr>
        <w:t>%</w:t>
      </w:r>
      <w:r w:rsidRPr="002B60D8">
        <w:rPr>
          <w:rFonts w:ascii="Arial" w:eastAsia="Arial" w:hAnsi="Arial" w:cs="Arial"/>
        </w:rPr>
        <w:t xml:space="preserve"> of </w:t>
      </w:r>
      <w:r w:rsidR="180815D0" w:rsidRPr="002B60D8">
        <w:rPr>
          <w:rFonts w:ascii="Arial" w:eastAsia="Arial" w:hAnsi="Arial" w:cs="Arial"/>
        </w:rPr>
        <w:t>the population.</w:t>
      </w:r>
    </w:p>
    <w:p w14:paraId="79D854DA" w14:textId="77777777" w:rsidR="001F303D" w:rsidRPr="002B60D8" w:rsidRDefault="001F303D" w:rsidP="001F303D">
      <w:pPr>
        <w:autoSpaceDE w:val="0"/>
        <w:autoSpaceDN w:val="0"/>
        <w:adjustRightInd w:val="0"/>
        <w:jc w:val="both"/>
        <w:rPr>
          <w:rFonts w:ascii="Arial" w:eastAsia="Arial" w:hAnsi="Arial" w:cs="Arial"/>
        </w:rPr>
      </w:pPr>
    </w:p>
    <w:p w14:paraId="011C8FF0" w14:textId="761D69C8" w:rsidR="001F303D" w:rsidRDefault="00B87407" w:rsidP="001F303D">
      <w:pPr>
        <w:jc w:val="both"/>
        <w:rPr>
          <w:rFonts w:ascii="Arial" w:eastAsia="Arial" w:hAnsi="Arial" w:cs="Arial"/>
        </w:rPr>
      </w:pPr>
      <w:r w:rsidRPr="00B87407">
        <w:rPr>
          <w:rFonts w:ascii="Arial" w:eastAsia="Arial" w:hAnsi="Arial" w:cs="Arial"/>
        </w:rPr>
        <w:t>Lincoln had the second highest survival rate of businesses in their first year of trading compared to CIPFA nearest neighbours. The council continues to offer business support through its Small Business Support Team including an impartial property search facility for businesses looking for commercial premises, regular follow ups to all businesses enquiries, to ensure continuous business support to all sizes from start-ups, sole traders and micro and small businesses in any sector</w:t>
      </w:r>
      <w:r>
        <w:rPr>
          <w:rFonts w:ascii="Arial" w:eastAsia="Arial" w:hAnsi="Arial" w:cs="Arial"/>
        </w:rPr>
        <w:t>.</w:t>
      </w:r>
    </w:p>
    <w:p w14:paraId="50E180F7" w14:textId="77777777" w:rsidR="00B87407" w:rsidRPr="009C09D3" w:rsidRDefault="00B87407" w:rsidP="001F303D">
      <w:pPr>
        <w:jc w:val="both"/>
        <w:rPr>
          <w:rFonts w:ascii="Arial" w:eastAsia="Arial" w:hAnsi="Arial" w:cs="Arial"/>
          <w:highlight w:val="cyan"/>
        </w:rPr>
      </w:pPr>
    </w:p>
    <w:p w14:paraId="529F43FD" w14:textId="1FF88546" w:rsidR="001F303D" w:rsidRPr="009C09D3" w:rsidRDefault="00C43EE5" w:rsidP="001F303D">
      <w:pPr>
        <w:autoSpaceDE w:val="0"/>
        <w:autoSpaceDN w:val="0"/>
        <w:adjustRightInd w:val="0"/>
        <w:jc w:val="both"/>
        <w:rPr>
          <w:rFonts w:ascii="Arial" w:eastAsia="Arial" w:hAnsi="Arial" w:cs="Arial"/>
          <w:highlight w:val="cyan"/>
        </w:rPr>
      </w:pPr>
      <w:r w:rsidRPr="00C43EE5">
        <w:rPr>
          <w:rFonts w:ascii="Arial" w:eastAsia="Arial" w:hAnsi="Arial" w:cs="Arial"/>
        </w:rPr>
        <w:t>Cost of Living pressures have had a major impact on the local economy with many businesses forced to close or make staff redundant. As of September 2025, 14,733 residents within the city were claiming Universal Credit, of which 9,929 were not in employment and 4,904 were in employment. Lincoln has the 9th highest number of Universal Credit claimants when compared with its CIPFA nearest neighbours.</w:t>
      </w:r>
    </w:p>
    <w:p w14:paraId="0EF9560C" w14:textId="77777777" w:rsidR="00903CEF" w:rsidRPr="009C09D3" w:rsidRDefault="00903CEF" w:rsidP="00400F30">
      <w:pPr>
        <w:autoSpaceDE w:val="0"/>
        <w:autoSpaceDN w:val="0"/>
        <w:adjustRightInd w:val="0"/>
        <w:jc w:val="both"/>
        <w:rPr>
          <w:rFonts w:ascii="Arial" w:eastAsia="Arial" w:hAnsi="Arial" w:cs="Arial"/>
          <w:highlight w:val="cyan"/>
        </w:rPr>
      </w:pPr>
    </w:p>
    <w:p w14:paraId="560F023D" w14:textId="64A09514" w:rsidR="368A7977" w:rsidRPr="009C09D3" w:rsidRDefault="00E85859" w:rsidP="001F303D">
      <w:pPr>
        <w:jc w:val="both"/>
        <w:rPr>
          <w:rFonts w:ascii="Arial" w:eastAsia="Arial" w:hAnsi="Arial" w:cs="Arial"/>
          <w:highlight w:val="cyan"/>
        </w:rPr>
      </w:pPr>
      <w:r w:rsidRPr="00E85859">
        <w:rPr>
          <w:rFonts w:ascii="Arial" w:eastAsia="Arial" w:hAnsi="Arial" w:cs="Arial"/>
        </w:rPr>
        <w:t>During 2025</w:t>
      </w:r>
      <w:r w:rsidR="368A7977" w:rsidRPr="00E85859">
        <w:rPr>
          <w:rFonts w:ascii="Arial" w:eastAsia="Arial" w:hAnsi="Arial" w:cs="Arial"/>
        </w:rPr>
        <w:t>, we have seen median gross annual pay rate rise for part-time and full-time workers. We have 81.</w:t>
      </w:r>
      <w:r w:rsidRPr="00E85859">
        <w:rPr>
          <w:rFonts w:ascii="Arial" w:eastAsia="Arial" w:hAnsi="Arial" w:cs="Arial"/>
        </w:rPr>
        <w:t>7</w:t>
      </w:r>
      <w:r w:rsidR="368A7977" w:rsidRPr="00E85859">
        <w:rPr>
          <w:rFonts w:ascii="Arial" w:eastAsia="Arial" w:hAnsi="Arial" w:cs="Arial"/>
        </w:rPr>
        <w:t>% of 16-64</w:t>
      </w:r>
      <w:r w:rsidR="007703FF">
        <w:rPr>
          <w:rFonts w:ascii="Arial" w:eastAsia="Arial" w:hAnsi="Arial" w:cs="Arial"/>
        </w:rPr>
        <w:t>-</w:t>
      </w:r>
      <w:r w:rsidR="368A7977" w:rsidRPr="00E85859">
        <w:rPr>
          <w:rFonts w:ascii="Arial" w:eastAsia="Arial" w:hAnsi="Arial" w:cs="Arial"/>
        </w:rPr>
        <w:t>year-olds who are economically active</w:t>
      </w:r>
      <w:r w:rsidRPr="00E85859">
        <w:rPr>
          <w:rFonts w:ascii="Arial" w:eastAsia="Arial" w:hAnsi="Arial" w:cs="Arial"/>
        </w:rPr>
        <w:t>. However, Lincoln’s job density decreased to 0.91 in 2023, alongside a decreasing rate in East midlands in 2023</w:t>
      </w:r>
      <w:r w:rsidR="368A7977" w:rsidRPr="00E85859">
        <w:rPr>
          <w:rFonts w:ascii="Arial" w:eastAsia="Arial" w:hAnsi="Arial" w:cs="Arial"/>
        </w:rPr>
        <w:t xml:space="preserve"> and the </w:t>
      </w:r>
      <w:r w:rsidRPr="00E85859">
        <w:rPr>
          <w:rFonts w:ascii="Arial" w:eastAsia="Arial" w:hAnsi="Arial" w:cs="Arial"/>
        </w:rPr>
        <w:t>same rate in England in 2023 compared to the previous 2022 figure. Job density in Lincoln remains</w:t>
      </w:r>
      <w:r w:rsidR="368A7977" w:rsidRPr="00E85859">
        <w:rPr>
          <w:rFonts w:ascii="Arial" w:eastAsia="Arial" w:hAnsi="Arial" w:cs="Arial"/>
        </w:rPr>
        <w:t xml:space="preserve"> higher than </w:t>
      </w:r>
      <w:r w:rsidRPr="00E85859">
        <w:rPr>
          <w:rFonts w:ascii="Arial" w:eastAsia="Arial" w:hAnsi="Arial" w:cs="Arial"/>
        </w:rPr>
        <w:t>the regional average of 0.79</w:t>
      </w:r>
      <w:r w:rsidR="368A7977" w:rsidRPr="00E85859">
        <w:rPr>
          <w:rFonts w:ascii="Arial" w:eastAsia="Arial" w:hAnsi="Arial" w:cs="Arial"/>
        </w:rPr>
        <w:t xml:space="preserve"> and </w:t>
      </w:r>
      <w:r w:rsidRPr="00E85859">
        <w:rPr>
          <w:rFonts w:ascii="Arial" w:eastAsia="Arial" w:hAnsi="Arial" w:cs="Arial"/>
        </w:rPr>
        <w:t>national average of 0.86.</w:t>
      </w:r>
    </w:p>
    <w:p w14:paraId="55932CC4" w14:textId="77777777" w:rsidR="001F303D" w:rsidRPr="009C09D3" w:rsidRDefault="001F303D" w:rsidP="001F303D">
      <w:pPr>
        <w:jc w:val="both"/>
        <w:rPr>
          <w:rFonts w:ascii="Arial" w:eastAsia="Arial" w:hAnsi="Arial" w:cs="Arial"/>
          <w:highlight w:val="cyan"/>
        </w:rPr>
      </w:pPr>
    </w:p>
    <w:p w14:paraId="30FFF9B0" w14:textId="2707A284" w:rsidR="00903CEF" w:rsidRPr="007A48FF" w:rsidRDefault="00903CEF" w:rsidP="001F303D">
      <w:pPr>
        <w:jc w:val="both"/>
        <w:rPr>
          <w:rFonts w:ascii="Arial" w:eastAsia="Arial" w:hAnsi="Arial" w:cs="Arial"/>
        </w:rPr>
      </w:pPr>
      <w:r w:rsidRPr="000C46E0">
        <w:rPr>
          <w:rFonts w:ascii="Arial" w:eastAsia="Arial" w:hAnsi="Arial" w:cs="Arial"/>
        </w:rPr>
        <w:t>The number of Local Council Tax Support claimants had reduced year</w:t>
      </w:r>
      <w:r w:rsidR="2B1261F2" w:rsidRPr="000C46E0">
        <w:rPr>
          <w:rFonts w:ascii="Arial" w:eastAsia="Arial" w:hAnsi="Arial" w:cs="Arial"/>
        </w:rPr>
        <w:t>-</w:t>
      </w:r>
      <w:r w:rsidRPr="000C46E0">
        <w:rPr>
          <w:rFonts w:ascii="Arial" w:eastAsia="Arial" w:hAnsi="Arial" w:cs="Arial"/>
        </w:rPr>
        <w:t>on</w:t>
      </w:r>
      <w:r w:rsidR="08D24850" w:rsidRPr="000C46E0">
        <w:rPr>
          <w:rFonts w:ascii="Arial" w:eastAsia="Arial" w:hAnsi="Arial" w:cs="Arial"/>
        </w:rPr>
        <w:t>-</w:t>
      </w:r>
      <w:r w:rsidRPr="000C46E0">
        <w:rPr>
          <w:rFonts w:ascii="Arial" w:eastAsia="Arial" w:hAnsi="Arial" w:cs="Arial"/>
        </w:rPr>
        <w:t xml:space="preserve">year since 2013, but </w:t>
      </w:r>
      <w:r w:rsidRPr="007A48FF">
        <w:rPr>
          <w:rFonts w:ascii="Arial" w:eastAsia="Arial" w:hAnsi="Arial" w:cs="Arial"/>
        </w:rPr>
        <w:t>for the first time in 202</w:t>
      </w:r>
      <w:r w:rsidR="003B2386" w:rsidRPr="007A48FF">
        <w:rPr>
          <w:rFonts w:ascii="Arial" w:eastAsia="Arial" w:hAnsi="Arial" w:cs="Arial"/>
        </w:rPr>
        <w:t>1</w:t>
      </w:r>
      <w:r w:rsidRPr="007A48FF">
        <w:rPr>
          <w:rFonts w:ascii="Arial" w:eastAsia="Arial" w:hAnsi="Arial" w:cs="Arial"/>
        </w:rPr>
        <w:t xml:space="preserve"> we saw a rise in claimants</w:t>
      </w:r>
      <w:r w:rsidR="00AF4BD8" w:rsidRPr="007A48FF">
        <w:rPr>
          <w:rFonts w:ascii="Arial" w:eastAsia="Arial" w:hAnsi="Arial" w:cs="Arial"/>
        </w:rPr>
        <w:t xml:space="preserve">, though this has </w:t>
      </w:r>
      <w:r w:rsidR="00F957B5" w:rsidRPr="007A48FF">
        <w:rPr>
          <w:rFonts w:ascii="Arial" w:eastAsia="Arial" w:hAnsi="Arial" w:cs="Arial"/>
        </w:rPr>
        <w:t xml:space="preserve">subsequently </w:t>
      </w:r>
      <w:r w:rsidR="00AF4BD8" w:rsidRPr="007A48FF">
        <w:rPr>
          <w:rFonts w:ascii="Arial" w:eastAsia="Arial" w:hAnsi="Arial" w:cs="Arial"/>
        </w:rPr>
        <w:t>continued to fall since</w:t>
      </w:r>
      <w:r w:rsidR="00C338BF" w:rsidRPr="007A48FF">
        <w:rPr>
          <w:rFonts w:ascii="Arial" w:eastAsia="Arial" w:hAnsi="Arial" w:cs="Arial"/>
        </w:rPr>
        <w:t xml:space="preserve">.  </w:t>
      </w:r>
      <w:r w:rsidR="368A7977" w:rsidRPr="007A48FF">
        <w:rPr>
          <w:rFonts w:ascii="Arial" w:eastAsia="Arial" w:hAnsi="Arial" w:cs="Arial"/>
        </w:rPr>
        <w:t>As of April 202</w:t>
      </w:r>
      <w:r w:rsidR="000C46E0" w:rsidRPr="007A48FF">
        <w:rPr>
          <w:rFonts w:ascii="Arial" w:eastAsia="Arial" w:hAnsi="Arial" w:cs="Arial"/>
        </w:rPr>
        <w:t>5</w:t>
      </w:r>
      <w:r w:rsidR="368A7977" w:rsidRPr="007A48FF">
        <w:rPr>
          <w:rFonts w:ascii="Arial" w:eastAsia="Arial" w:hAnsi="Arial" w:cs="Arial"/>
        </w:rPr>
        <w:t xml:space="preserve">, </w:t>
      </w:r>
      <w:r w:rsidRPr="007A48FF">
        <w:rPr>
          <w:rFonts w:ascii="Arial" w:eastAsia="Arial" w:hAnsi="Arial" w:cs="Arial"/>
        </w:rPr>
        <w:t xml:space="preserve">we had </w:t>
      </w:r>
      <w:r w:rsidR="000C46E0" w:rsidRPr="007A48FF">
        <w:rPr>
          <w:rFonts w:ascii="Arial" w:eastAsia="Arial" w:hAnsi="Arial" w:cs="Arial"/>
        </w:rPr>
        <w:t>7,989</w:t>
      </w:r>
      <w:r w:rsidRPr="007A48FF">
        <w:rPr>
          <w:rFonts w:ascii="Arial" w:eastAsia="Arial" w:hAnsi="Arial" w:cs="Arial"/>
        </w:rPr>
        <w:t xml:space="preserve"> claimants. </w:t>
      </w:r>
      <w:r w:rsidR="368A7977" w:rsidRPr="007A48FF">
        <w:rPr>
          <w:rFonts w:ascii="Arial" w:eastAsia="Arial" w:hAnsi="Arial" w:cs="Arial"/>
        </w:rPr>
        <w:t xml:space="preserve"> </w:t>
      </w:r>
    </w:p>
    <w:p w14:paraId="0BCEEC2E" w14:textId="77777777" w:rsidR="001F303D" w:rsidRPr="007A48FF" w:rsidRDefault="001F303D" w:rsidP="001F303D">
      <w:pPr>
        <w:jc w:val="both"/>
        <w:rPr>
          <w:rFonts w:ascii="Arial" w:eastAsia="Arial" w:hAnsi="Arial" w:cs="Arial"/>
        </w:rPr>
      </w:pPr>
    </w:p>
    <w:p w14:paraId="156DC9A0" w14:textId="2D6BD22F" w:rsidR="00903CEF" w:rsidRPr="007A48FF" w:rsidRDefault="00903CEF" w:rsidP="001F303D">
      <w:pPr>
        <w:jc w:val="both"/>
        <w:rPr>
          <w:rFonts w:ascii="Arial" w:eastAsia="Arial" w:hAnsi="Arial" w:cs="Arial"/>
        </w:rPr>
      </w:pPr>
      <w:r w:rsidRPr="007A48FF">
        <w:rPr>
          <w:rFonts w:ascii="Arial" w:eastAsia="Arial" w:hAnsi="Arial" w:cs="Arial"/>
        </w:rPr>
        <w:t xml:space="preserve">As of </w:t>
      </w:r>
      <w:r w:rsidR="005F06EC" w:rsidRPr="007A48FF">
        <w:rPr>
          <w:rFonts w:ascii="Arial" w:eastAsia="Arial" w:hAnsi="Arial" w:cs="Arial"/>
        </w:rPr>
        <w:t>December 202</w:t>
      </w:r>
      <w:r w:rsidR="005521DD" w:rsidRPr="007A48FF">
        <w:rPr>
          <w:rFonts w:ascii="Arial" w:eastAsia="Arial" w:hAnsi="Arial" w:cs="Arial"/>
        </w:rPr>
        <w:t>5</w:t>
      </w:r>
      <w:r w:rsidRPr="007A48FF">
        <w:rPr>
          <w:rFonts w:ascii="Arial" w:eastAsia="Arial" w:hAnsi="Arial" w:cs="Arial"/>
        </w:rPr>
        <w:t xml:space="preserve">, 0.4% of properties fall within council tax bands G and H, and </w:t>
      </w:r>
      <w:r w:rsidR="007A3276" w:rsidRPr="007A48FF">
        <w:rPr>
          <w:rFonts w:ascii="Arial" w:eastAsia="Arial" w:hAnsi="Arial" w:cs="Arial"/>
        </w:rPr>
        <w:t>79.3</w:t>
      </w:r>
      <w:r w:rsidRPr="007A48FF">
        <w:rPr>
          <w:rFonts w:ascii="Arial" w:eastAsia="Arial" w:hAnsi="Arial" w:cs="Arial"/>
        </w:rPr>
        <w:t xml:space="preserve">% fall within the lowest bands A or B. </w:t>
      </w:r>
      <w:r w:rsidR="5EC32AAA" w:rsidRPr="007A48FF">
        <w:rPr>
          <w:rFonts w:ascii="Arial" w:eastAsia="Arial" w:hAnsi="Arial" w:cs="Arial"/>
        </w:rPr>
        <w:t xml:space="preserve">The remaining </w:t>
      </w:r>
      <w:r w:rsidR="005F71B2" w:rsidRPr="007A48FF">
        <w:rPr>
          <w:rFonts w:ascii="Arial" w:eastAsia="Arial" w:hAnsi="Arial" w:cs="Arial"/>
        </w:rPr>
        <w:t>20.3</w:t>
      </w:r>
      <w:r w:rsidRPr="007A48FF">
        <w:rPr>
          <w:rFonts w:ascii="Arial" w:eastAsia="Arial" w:hAnsi="Arial" w:cs="Arial"/>
        </w:rPr>
        <w:t xml:space="preserve">% of properties fell within the remaining council tax bands C, D, E and F. </w:t>
      </w:r>
      <w:r w:rsidR="26FC46F2" w:rsidRPr="007A48FF">
        <w:rPr>
          <w:rFonts w:ascii="Arial" w:eastAsia="Arial" w:hAnsi="Arial" w:cs="Arial"/>
        </w:rPr>
        <w:t xml:space="preserve"> </w:t>
      </w:r>
    </w:p>
    <w:p w14:paraId="5C9AECA4" w14:textId="77777777" w:rsidR="001F303D" w:rsidRPr="007A48FF" w:rsidRDefault="001F303D" w:rsidP="001F303D">
      <w:pPr>
        <w:jc w:val="both"/>
        <w:rPr>
          <w:rFonts w:ascii="Arial" w:eastAsia="Arial" w:hAnsi="Arial" w:cs="Arial"/>
        </w:rPr>
      </w:pPr>
    </w:p>
    <w:p w14:paraId="481FA54A" w14:textId="1B6C22D6" w:rsidR="00903CEF" w:rsidRPr="00B76807" w:rsidRDefault="00903CEF" w:rsidP="001F303D">
      <w:pPr>
        <w:jc w:val="both"/>
        <w:rPr>
          <w:rFonts w:ascii="Arial" w:eastAsia="Arial" w:hAnsi="Arial" w:cs="Arial"/>
        </w:rPr>
      </w:pPr>
      <w:r w:rsidRPr="007A48FF">
        <w:rPr>
          <w:rFonts w:ascii="Arial" w:eastAsia="Arial" w:hAnsi="Arial" w:cs="Arial"/>
        </w:rPr>
        <w:t>Like many places, Lincoln is made up of areas of relative affluence, and relative deprivation. The 20</w:t>
      </w:r>
      <w:r w:rsidR="0082396D" w:rsidRPr="007A48FF">
        <w:rPr>
          <w:rFonts w:ascii="Arial" w:eastAsia="Arial" w:hAnsi="Arial" w:cs="Arial"/>
        </w:rPr>
        <w:t>25</w:t>
      </w:r>
      <w:r w:rsidRPr="007A48FF">
        <w:rPr>
          <w:rFonts w:ascii="Arial" w:eastAsia="Arial" w:hAnsi="Arial" w:cs="Arial"/>
        </w:rPr>
        <w:t xml:space="preserve"> </w:t>
      </w:r>
      <w:r w:rsidR="00612269">
        <w:rPr>
          <w:rFonts w:ascii="Arial" w:eastAsia="Arial" w:hAnsi="Arial" w:cs="Arial"/>
        </w:rPr>
        <w:t>IMD</w:t>
      </w:r>
      <w:r w:rsidRPr="007A48FF">
        <w:rPr>
          <w:rFonts w:ascii="Arial" w:eastAsia="Arial" w:hAnsi="Arial" w:cs="Arial"/>
        </w:rPr>
        <w:t xml:space="preserve"> shows Lincoln as </w:t>
      </w:r>
      <w:r w:rsidR="002F7CDD" w:rsidRPr="007A48FF">
        <w:rPr>
          <w:rFonts w:ascii="Arial" w:eastAsia="Arial" w:hAnsi="Arial" w:cs="Arial"/>
        </w:rPr>
        <w:t>4</w:t>
      </w:r>
      <w:r w:rsidRPr="007A48FF">
        <w:rPr>
          <w:rFonts w:ascii="Arial" w:eastAsia="Arial" w:hAnsi="Arial" w:cs="Arial"/>
        </w:rPr>
        <w:t xml:space="preserve">8th of </w:t>
      </w:r>
      <w:r w:rsidR="002F7CDD" w:rsidRPr="007A48FF">
        <w:rPr>
          <w:rFonts w:ascii="Arial" w:eastAsia="Arial" w:hAnsi="Arial" w:cs="Arial"/>
        </w:rPr>
        <w:t>296</w:t>
      </w:r>
      <w:r w:rsidRPr="007A48FF">
        <w:rPr>
          <w:rFonts w:ascii="Arial" w:eastAsia="Arial" w:hAnsi="Arial" w:cs="Arial"/>
        </w:rPr>
        <w:t xml:space="preserve"> Local Authorities. The three domains that Lincoln has scored </w:t>
      </w:r>
      <w:r w:rsidR="007A48FF" w:rsidRPr="007A48FF">
        <w:rPr>
          <w:rFonts w:ascii="Arial" w:eastAsia="Arial" w:hAnsi="Arial" w:cs="Arial"/>
        </w:rPr>
        <w:t>the most LSOA’s ranked</w:t>
      </w:r>
      <w:r w:rsidRPr="007A48FF">
        <w:rPr>
          <w:rFonts w:ascii="Arial" w:eastAsia="Arial" w:hAnsi="Arial" w:cs="Arial"/>
        </w:rPr>
        <w:t xml:space="preserve"> in the </w:t>
      </w:r>
      <w:r w:rsidR="007A48FF" w:rsidRPr="007A48FF">
        <w:rPr>
          <w:rFonts w:ascii="Arial" w:eastAsia="Arial" w:hAnsi="Arial" w:cs="Arial"/>
        </w:rPr>
        <w:t>highest 10% deprivation</w:t>
      </w:r>
      <w:r w:rsidRPr="007A48FF">
        <w:rPr>
          <w:rFonts w:ascii="Arial" w:eastAsia="Arial" w:hAnsi="Arial" w:cs="Arial"/>
        </w:rPr>
        <w:t xml:space="preserve"> are in </w:t>
      </w:r>
      <w:r w:rsidR="007A48FF" w:rsidRPr="007A48FF">
        <w:rPr>
          <w:rFonts w:ascii="Arial" w:eastAsia="Arial" w:hAnsi="Arial" w:cs="Arial"/>
        </w:rPr>
        <w:t xml:space="preserve">Crime, Education, </w:t>
      </w:r>
      <w:r w:rsidR="009C0F1D">
        <w:rPr>
          <w:rFonts w:ascii="Arial" w:eastAsia="Arial" w:hAnsi="Arial" w:cs="Arial"/>
        </w:rPr>
        <w:t>S</w:t>
      </w:r>
      <w:r w:rsidR="007A48FF" w:rsidRPr="007A48FF">
        <w:rPr>
          <w:rFonts w:ascii="Arial" w:eastAsia="Arial" w:hAnsi="Arial" w:cs="Arial"/>
        </w:rPr>
        <w:t>kills</w:t>
      </w:r>
      <w:r w:rsidRPr="007A48FF">
        <w:rPr>
          <w:rFonts w:ascii="Arial" w:eastAsia="Arial" w:hAnsi="Arial" w:cs="Arial"/>
        </w:rPr>
        <w:t xml:space="preserve"> and </w:t>
      </w:r>
      <w:r w:rsidR="009C0F1D">
        <w:rPr>
          <w:rFonts w:ascii="Arial" w:eastAsia="Arial" w:hAnsi="Arial" w:cs="Arial"/>
        </w:rPr>
        <w:t>T</w:t>
      </w:r>
      <w:r w:rsidR="007A48FF" w:rsidRPr="007A48FF">
        <w:rPr>
          <w:rFonts w:ascii="Arial" w:eastAsia="Arial" w:hAnsi="Arial" w:cs="Arial"/>
        </w:rPr>
        <w:t>raining, and</w:t>
      </w:r>
      <w:r w:rsidRPr="007A48FF">
        <w:rPr>
          <w:rFonts w:ascii="Arial" w:eastAsia="Arial" w:hAnsi="Arial" w:cs="Arial"/>
        </w:rPr>
        <w:t xml:space="preserve"> Health </w:t>
      </w:r>
      <w:r w:rsidR="007A48FF" w:rsidRPr="007A48FF">
        <w:rPr>
          <w:rFonts w:ascii="Arial" w:eastAsia="Arial" w:hAnsi="Arial" w:cs="Arial"/>
        </w:rPr>
        <w:t xml:space="preserve">and </w:t>
      </w:r>
      <w:r w:rsidR="00D658D2">
        <w:rPr>
          <w:rFonts w:ascii="Arial" w:eastAsia="Arial" w:hAnsi="Arial" w:cs="Arial"/>
        </w:rPr>
        <w:t>D</w:t>
      </w:r>
      <w:r w:rsidR="007A48FF" w:rsidRPr="007A48FF">
        <w:rPr>
          <w:rFonts w:ascii="Arial" w:eastAsia="Arial" w:hAnsi="Arial" w:cs="Arial"/>
        </w:rPr>
        <w:t xml:space="preserve">isability. Education, skills and </w:t>
      </w:r>
      <w:r w:rsidR="007A48FF" w:rsidRPr="00B76807">
        <w:rPr>
          <w:rFonts w:ascii="Arial" w:eastAsia="Arial" w:hAnsi="Arial" w:cs="Arial"/>
        </w:rPr>
        <w:t>training is Lincoln’s worst domain ranking with 5 LSOA’s within the most 1% deprived.</w:t>
      </w:r>
    </w:p>
    <w:p w14:paraId="54FD5B1D" w14:textId="77777777" w:rsidR="00400F30" w:rsidRPr="00B76807" w:rsidRDefault="00400F30" w:rsidP="001F303D">
      <w:pPr>
        <w:jc w:val="both"/>
        <w:rPr>
          <w:rFonts w:ascii="Arial" w:eastAsia="Arial" w:hAnsi="Arial" w:cs="Arial"/>
        </w:rPr>
      </w:pPr>
    </w:p>
    <w:p w14:paraId="5C356B74" w14:textId="7687B3D0" w:rsidR="00903CEF" w:rsidRPr="00B76807" w:rsidRDefault="26FC46F2" w:rsidP="001F303D">
      <w:pPr>
        <w:jc w:val="both"/>
        <w:rPr>
          <w:rFonts w:ascii="Arial" w:eastAsia="Arial" w:hAnsi="Arial" w:cs="Arial"/>
        </w:rPr>
      </w:pPr>
      <w:r w:rsidRPr="00B76807">
        <w:rPr>
          <w:rFonts w:ascii="Arial" w:eastAsia="Arial" w:hAnsi="Arial" w:cs="Arial"/>
        </w:rPr>
        <w:t>Both male and female life expectancies continue to be lower than national averages between 202</w:t>
      </w:r>
      <w:r w:rsidR="00765912" w:rsidRPr="00B76807">
        <w:rPr>
          <w:rFonts w:ascii="Arial" w:eastAsia="Arial" w:hAnsi="Arial" w:cs="Arial"/>
        </w:rPr>
        <w:t>1</w:t>
      </w:r>
      <w:r w:rsidRPr="00B76807">
        <w:rPr>
          <w:rFonts w:ascii="Arial" w:eastAsia="Arial" w:hAnsi="Arial" w:cs="Arial"/>
        </w:rPr>
        <w:t>-202</w:t>
      </w:r>
      <w:r w:rsidR="00765912" w:rsidRPr="00B76807">
        <w:rPr>
          <w:rFonts w:ascii="Arial" w:eastAsia="Arial" w:hAnsi="Arial" w:cs="Arial"/>
        </w:rPr>
        <w:t>3</w:t>
      </w:r>
      <w:r w:rsidRPr="00B76807">
        <w:rPr>
          <w:rFonts w:ascii="Arial" w:eastAsia="Arial" w:hAnsi="Arial" w:cs="Arial"/>
        </w:rPr>
        <w:t xml:space="preserve"> with male life expectancy </w:t>
      </w:r>
      <w:r w:rsidR="00765912" w:rsidRPr="00B76807">
        <w:rPr>
          <w:rFonts w:ascii="Arial" w:eastAsia="Arial" w:hAnsi="Arial" w:cs="Arial"/>
        </w:rPr>
        <w:t>remain</w:t>
      </w:r>
      <w:r w:rsidRPr="00B76807">
        <w:rPr>
          <w:rFonts w:ascii="Arial" w:eastAsia="Arial" w:hAnsi="Arial" w:cs="Arial"/>
        </w:rPr>
        <w:t xml:space="preserve">ing </w:t>
      </w:r>
      <w:r w:rsidR="00765912" w:rsidRPr="00B76807">
        <w:rPr>
          <w:rFonts w:ascii="Arial" w:eastAsia="Arial" w:hAnsi="Arial" w:cs="Arial"/>
        </w:rPr>
        <w:t>at</w:t>
      </w:r>
      <w:r w:rsidRPr="00B76807">
        <w:rPr>
          <w:rFonts w:ascii="Arial" w:eastAsia="Arial" w:hAnsi="Arial" w:cs="Arial"/>
        </w:rPr>
        <w:t xml:space="preserve"> 75.8 years, </w:t>
      </w:r>
      <w:r w:rsidR="00D1036C" w:rsidRPr="00B76807">
        <w:rPr>
          <w:rFonts w:ascii="Arial" w:eastAsia="Arial" w:hAnsi="Arial" w:cs="Arial"/>
        </w:rPr>
        <w:t xml:space="preserve">compared to the same figure </w:t>
      </w:r>
      <w:r w:rsidRPr="00B76807">
        <w:rPr>
          <w:rFonts w:ascii="Arial" w:eastAsia="Arial" w:hAnsi="Arial" w:cs="Arial"/>
        </w:rPr>
        <w:t xml:space="preserve">reported in </w:t>
      </w:r>
      <w:r w:rsidR="00D1036C" w:rsidRPr="00B76807">
        <w:rPr>
          <w:rFonts w:ascii="Arial" w:eastAsia="Arial" w:hAnsi="Arial" w:cs="Arial"/>
        </w:rPr>
        <w:t xml:space="preserve">2020-2022.  </w:t>
      </w:r>
      <w:r w:rsidR="009832ED" w:rsidRPr="00B76807">
        <w:rPr>
          <w:rFonts w:ascii="Arial" w:eastAsia="Arial" w:hAnsi="Arial" w:cs="Arial"/>
        </w:rPr>
        <w:t>F</w:t>
      </w:r>
      <w:r w:rsidRPr="00B76807">
        <w:rPr>
          <w:rFonts w:ascii="Arial" w:eastAsia="Arial" w:hAnsi="Arial" w:cs="Arial"/>
        </w:rPr>
        <w:t xml:space="preserve">emale life expectancy </w:t>
      </w:r>
      <w:r w:rsidR="00B76807" w:rsidRPr="00B76807">
        <w:rPr>
          <w:rFonts w:ascii="Arial" w:eastAsia="Arial" w:hAnsi="Arial" w:cs="Arial"/>
        </w:rPr>
        <w:t>also reported the same figure in 2021-2023 at</w:t>
      </w:r>
      <w:r w:rsidRPr="00B76807">
        <w:rPr>
          <w:rFonts w:ascii="Arial" w:eastAsia="Arial" w:hAnsi="Arial" w:cs="Arial"/>
        </w:rPr>
        <w:t xml:space="preserve"> 81</w:t>
      </w:r>
      <w:r w:rsidR="00B76807" w:rsidRPr="00B76807">
        <w:rPr>
          <w:rFonts w:ascii="Arial" w:eastAsia="Arial" w:hAnsi="Arial" w:cs="Arial"/>
        </w:rPr>
        <w:t>.0 years compared to the same figure also reported</w:t>
      </w:r>
      <w:r w:rsidRPr="00B76807">
        <w:rPr>
          <w:rFonts w:ascii="Arial" w:eastAsia="Arial" w:hAnsi="Arial" w:cs="Arial"/>
        </w:rPr>
        <w:t xml:space="preserve"> in 2020-2022</w:t>
      </w:r>
      <w:r w:rsidR="00B76807" w:rsidRPr="00B76807">
        <w:rPr>
          <w:rFonts w:ascii="Arial" w:eastAsia="Arial" w:hAnsi="Arial" w:cs="Arial"/>
        </w:rPr>
        <w:t>.</w:t>
      </w:r>
      <w:r w:rsidRPr="00B76807">
        <w:rPr>
          <w:rFonts w:ascii="Arial" w:eastAsia="Arial" w:hAnsi="Arial" w:cs="Arial"/>
        </w:rPr>
        <w:t xml:space="preserve"> Under 75 mortality rates of heart disease </w:t>
      </w:r>
      <w:r w:rsidR="00B76807" w:rsidRPr="00B76807">
        <w:rPr>
          <w:rFonts w:ascii="Arial" w:eastAsia="Arial" w:hAnsi="Arial" w:cs="Arial"/>
        </w:rPr>
        <w:t xml:space="preserve">increased in 2024 </w:t>
      </w:r>
      <w:r w:rsidRPr="00B76807">
        <w:rPr>
          <w:rFonts w:ascii="Arial" w:eastAsia="Arial" w:hAnsi="Arial" w:cs="Arial"/>
        </w:rPr>
        <w:t xml:space="preserve">and </w:t>
      </w:r>
      <w:r w:rsidR="00B76807" w:rsidRPr="00B76807">
        <w:rPr>
          <w:rFonts w:ascii="Arial" w:eastAsia="Arial" w:hAnsi="Arial" w:cs="Arial"/>
        </w:rPr>
        <w:t xml:space="preserve">Under 75 mortality rates of </w:t>
      </w:r>
      <w:r w:rsidRPr="00B76807">
        <w:rPr>
          <w:rFonts w:ascii="Arial" w:eastAsia="Arial" w:hAnsi="Arial" w:cs="Arial"/>
        </w:rPr>
        <w:t xml:space="preserve">cancer have seen </w:t>
      </w:r>
      <w:r w:rsidR="00B76807" w:rsidRPr="00B76807">
        <w:rPr>
          <w:rFonts w:ascii="Arial" w:eastAsia="Arial" w:hAnsi="Arial" w:cs="Arial"/>
        </w:rPr>
        <w:t>a decrease, however</w:t>
      </w:r>
      <w:r w:rsidRPr="00B76807">
        <w:rPr>
          <w:rFonts w:ascii="Arial" w:eastAsia="Arial" w:hAnsi="Arial" w:cs="Arial"/>
        </w:rPr>
        <w:t xml:space="preserve"> Lincoln still ranks </w:t>
      </w:r>
      <w:r w:rsidR="00B76807" w:rsidRPr="00B76807">
        <w:rPr>
          <w:rFonts w:ascii="Arial" w:eastAsia="Arial" w:hAnsi="Arial" w:cs="Arial"/>
        </w:rPr>
        <w:t>the highest</w:t>
      </w:r>
      <w:r w:rsidRPr="00B76807">
        <w:rPr>
          <w:rFonts w:ascii="Arial" w:eastAsia="Arial" w:hAnsi="Arial" w:cs="Arial"/>
        </w:rPr>
        <w:t xml:space="preserve"> amongst our nearest neighbours</w:t>
      </w:r>
      <w:r w:rsidR="00B76807" w:rsidRPr="00B76807">
        <w:rPr>
          <w:rFonts w:ascii="Arial" w:eastAsia="Arial" w:hAnsi="Arial" w:cs="Arial"/>
        </w:rPr>
        <w:t xml:space="preserve"> for both indicators.</w:t>
      </w:r>
    </w:p>
    <w:p w14:paraId="37502849" w14:textId="77777777" w:rsidR="001F303D" w:rsidRPr="00443A5E" w:rsidRDefault="001F303D" w:rsidP="001F303D">
      <w:pPr>
        <w:jc w:val="both"/>
        <w:rPr>
          <w:rFonts w:ascii="Arial" w:eastAsia="Arial" w:hAnsi="Arial" w:cs="Arial"/>
        </w:rPr>
      </w:pPr>
    </w:p>
    <w:p w14:paraId="5B4E2921" w14:textId="0F39B128" w:rsidR="001A295D" w:rsidRPr="00443A5E" w:rsidRDefault="00903CEF" w:rsidP="001F303D">
      <w:pPr>
        <w:jc w:val="both"/>
        <w:rPr>
          <w:rFonts w:ascii="Arial" w:eastAsia="Arial" w:hAnsi="Arial" w:cs="Arial"/>
        </w:rPr>
      </w:pPr>
      <w:r w:rsidRPr="00443A5E">
        <w:rPr>
          <w:rFonts w:ascii="Arial" w:eastAsia="Arial" w:hAnsi="Arial" w:cs="Arial"/>
        </w:rPr>
        <w:t>The Census 2021 recorded that there were approximately 42,500 households in the city which has increased since the last Census undertaken in 2011 which reported a figure of 39,825 households. City of Lincoln Council is landlord to 7,</w:t>
      </w:r>
      <w:r w:rsidR="00B7607D" w:rsidRPr="00443A5E">
        <w:rPr>
          <w:rFonts w:ascii="Arial" w:eastAsia="Arial" w:hAnsi="Arial" w:cs="Arial"/>
        </w:rPr>
        <w:t>743</w:t>
      </w:r>
      <w:r w:rsidRPr="00443A5E">
        <w:rPr>
          <w:rFonts w:ascii="Arial" w:eastAsia="Arial" w:hAnsi="Arial" w:cs="Arial"/>
        </w:rPr>
        <w:t xml:space="preserve"> of these. Despite the fact that housing is generally more affordable in Lincoln than elsewhere, there is still substantial demand for social housing of different types. </w:t>
      </w:r>
      <w:r w:rsidR="23EF3DAF" w:rsidRPr="00443A5E">
        <w:rPr>
          <w:rFonts w:ascii="Arial" w:eastAsia="Arial" w:hAnsi="Arial" w:cs="Arial"/>
        </w:rPr>
        <w:t xml:space="preserve"> </w:t>
      </w:r>
    </w:p>
    <w:p w14:paraId="32DF2558" w14:textId="77777777" w:rsidR="001F303D" w:rsidRPr="00443A5E" w:rsidRDefault="001F303D" w:rsidP="001F303D">
      <w:pPr>
        <w:jc w:val="both"/>
        <w:rPr>
          <w:rFonts w:ascii="Arial" w:eastAsia="Arial" w:hAnsi="Arial" w:cs="Arial"/>
        </w:rPr>
      </w:pPr>
    </w:p>
    <w:p w14:paraId="1CA43B8E" w14:textId="7FA158A9" w:rsidR="001F303D" w:rsidRPr="00627ACA" w:rsidRDefault="001A295D" w:rsidP="001F303D">
      <w:pPr>
        <w:jc w:val="both"/>
        <w:rPr>
          <w:rFonts w:ascii="Arial" w:eastAsia="Arial" w:hAnsi="Arial" w:cs="Arial"/>
        </w:rPr>
      </w:pPr>
      <w:r w:rsidRPr="00D30DF3">
        <w:rPr>
          <w:rFonts w:ascii="Arial" w:eastAsia="Arial" w:hAnsi="Arial" w:cs="Arial"/>
        </w:rPr>
        <w:t xml:space="preserve">The </w:t>
      </w:r>
      <w:r w:rsidR="00D30DF3" w:rsidRPr="00D30DF3">
        <w:rPr>
          <w:rFonts w:ascii="Arial" w:eastAsia="Arial" w:hAnsi="Arial" w:cs="Arial"/>
        </w:rPr>
        <w:t>rising</w:t>
      </w:r>
      <w:r w:rsidR="00DC6457" w:rsidRPr="00D30DF3">
        <w:rPr>
          <w:rFonts w:ascii="Arial" w:eastAsia="Arial" w:hAnsi="Arial" w:cs="Arial"/>
        </w:rPr>
        <w:t xml:space="preserve"> </w:t>
      </w:r>
      <w:r w:rsidR="00CF0AB7" w:rsidRPr="00D30DF3">
        <w:rPr>
          <w:rFonts w:ascii="Arial" w:eastAsia="Arial" w:hAnsi="Arial" w:cs="Arial"/>
        </w:rPr>
        <w:t>cost-of-living</w:t>
      </w:r>
      <w:r w:rsidR="00225166" w:rsidRPr="00D30DF3">
        <w:rPr>
          <w:rFonts w:ascii="Arial" w:eastAsia="Arial" w:hAnsi="Arial" w:cs="Arial"/>
        </w:rPr>
        <w:t xml:space="preserve"> is being</w:t>
      </w:r>
      <w:r w:rsidRPr="00D30DF3">
        <w:rPr>
          <w:rFonts w:ascii="Arial" w:eastAsia="Arial" w:hAnsi="Arial" w:cs="Arial"/>
        </w:rPr>
        <w:t xml:space="preserve"> felt, and will continue to be felt hardest, by the most vulnerable members of the </w:t>
      </w:r>
      <w:r w:rsidR="00D30DF3" w:rsidRPr="00D30DF3">
        <w:rPr>
          <w:rFonts w:ascii="Arial" w:eastAsia="Arial" w:hAnsi="Arial" w:cs="Arial"/>
        </w:rPr>
        <w:t>city.</w:t>
      </w:r>
      <w:r w:rsidRPr="00D30DF3">
        <w:rPr>
          <w:rFonts w:ascii="Arial" w:eastAsia="Arial" w:hAnsi="Arial" w:cs="Arial"/>
        </w:rPr>
        <w:t xml:space="preserve"> Those who are the most economically disadvantaged have experienced </w:t>
      </w:r>
      <w:r w:rsidR="00080C01" w:rsidRPr="00D30DF3">
        <w:rPr>
          <w:rFonts w:ascii="Arial" w:eastAsia="Arial" w:hAnsi="Arial" w:cs="Arial"/>
        </w:rPr>
        <w:t>these cris</w:t>
      </w:r>
      <w:r w:rsidR="007340BB" w:rsidRPr="00D30DF3">
        <w:rPr>
          <w:rFonts w:ascii="Arial" w:eastAsia="Arial" w:hAnsi="Arial" w:cs="Arial"/>
        </w:rPr>
        <w:t>e</w:t>
      </w:r>
      <w:r w:rsidR="00080C01" w:rsidRPr="00D30DF3">
        <w:rPr>
          <w:rFonts w:ascii="Arial" w:eastAsia="Arial" w:hAnsi="Arial" w:cs="Arial"/>
        </w:rPr>
        <w:t>s</w:t>
      </w:r>
      <w:r w:rsidRPr="00D30DF3">
        <w:rPr>
          <w:rFonts w:ascii="Arial" w:eastAsia="Arial" w:hAnsi="Arial" w:cs="Arial"/>
        </w:rPr>
        <w:t xml:space="preserve"> differently as </w:t>
      </w:r>
      <w:r w:rsidR="00080C01" w:rsidRPr="00D30DF3">
        <w:rPr>
          <w:rFonts w:ascii="Arial" w:eastAsia="Arial" w:hAnsi="Arial" w:cs="Arial"/>
        </w:rPr>
        <w:t>they</w:t>
      </w:r>
      <w:r w:rsidRPr="00D30DF3">
        <w:rPr>
          <w:rFonts w:ascii="Arial" w:eastAsia="Arial" w:hAnsi="Arial" w:cs="Arial"/>
        </w:rPr>
        <w:t xml:space="preserve"> interlink with existing health inequalities and social conditions and increase existing adversity: financial difficulties, unemployment, loneliness, social isolation, </w:t>
      </w:r>
      <w:r w:rsidR="00D8126B" w:rsidRPr="00D30DF3">
        <w:rPr>
          <w:rFonts w:ascii="Arial" w:eastAsia="Arial" w:hAnsi="Arial" w:cs="Arial"/>
        </w:rPr>
        <w:t xml:space="preserve">all of </w:t>
      </w:r>
      <w:r w:rsidR="006F2B35" w:rsidRPr="00D30DF3">
        <w:rPr>
          <w:rFonts w:ascii="Arial" w:eastAsia="Arial" w:hAnsi="Arial" w:cs="Arial"/>
        </w:rPr>
        <w:t xml:space="preserve">which </w:t>
      </w:r>
      <w:r w:rsidRPr="00D30DF3">
        <w:rPr>
          <w:rFonts w:ascii="Arial" w:eastAsia="Arial" w:hAnsi="Arial" w:cs="Arial"/>
        </w:rPr>
        <w:t>have been intensified</w:t>
      </w:r>
      <w:r w:rsidR="00D30DF3" w:rsidRPr="00D30DF3">
        <w:rPr>
          <w:rFonts w:ascii="Arial" w:eastAsia="Arial" w:hAnsi="Arial" w:cs="Arial"/>
        </w:rPr>
        <w:t>.</w:t>
      </w:r>
    </w:p>
    <w:p w14:paraId="26C6338F" w14:textId="77777777" w:rsidR="00D30DF3" w:rsidRPr="00627ACA" w:rsidRDefault="00D30DF3" w:rsidP="001F303D">
      <w:pPr>
        <w:jc w:val="both"/>
        <w:rPr>
          <w:rFonts w:ascii="Arial" w:eastAsia="Arial" w:hAnsi="Arial" w:cs="Arial"/>
        </w:rPr>
      </w:pPr>
    </w:p>
    <w:p w14:paraId="3C061B94" w14:textId="095EE90F" w:rsidR="001A295D" w:rsidRPr="00281969" w:rsidRDefault="001A295D" w:rsidP="001F303D">
      <w:pPr>
        <w:jc w:val="both"/>
        <w:rPr>
          <w:rFonts w:ascii="Arial" w:eastAsia="Arial" w:hAnsi="Arial" w:cs="Arial"/>
        </w:rPr>
      </w:pPr>
      <w:r w:rsidRPr="00281969">
        <w:rPr>
          <w:rFonts w:ascii="Arial" w:eastAsia="Arial" w:hAnsi="Arial" w:cs="Arial"/>
        </w:rPr>
        <w:t xml:space="preserve">These factors place significant demands on key services and resource allocation and are a key driver in the development of the Council’s Vision for the future of the City, its strategic priorities and </w:t>
      </w:r>
      <w:r w:rsidR="00E106A0" w:rsidRPr="00281969">
        <w:rPr>
          <w:rFonts w:ascii="Arial" w:eastAsia="Arial" w:hAnsi="Arial" w:cs="Arial"/>
        </w:rPr>
        <w:t xml:space="preserve">how it supports its residents and businesses </w:t>
      </w:r>
      <w:r w:rsidR="00A95D77" w:rsidRPr="00281969">
        <w:rPr>
          <w:rFonts w:ascii="Arial" w:eastAsia="Arial" w:hAnsi="Arial" w:cs="Arial"/>
        </w:rPr>
        <w:t>in</w:t>
      </w:r>
      <w:r w:rsidRPr="00281969">
        <w:rPr>
          <w:rFonts w:ascii="Arial" w:eastAsia="Arial" w:hAnsi="Arial" w:cs="Arial"/>
        </w:rPr>
        <w:t xml:space="preserve"> response to the </w:t>
      </w:r>
      <w:r w:rsidR="006B2C21" w:rsidRPr="00281969">
        <w:rPr>
          <w:rFonts w:ascii="Arial" w:eastAsia="Arial" w:hAnsi="Arial" w:cs="Arial"/>
        </w:rPr>
        <w:t xml:space="preserve">economic </w:t>
      </w:r>
      <w:r w:rsidR="00CF1551" w:rsidRPr="00281969">
        <w:rPr>
          <w:rFonts w:ascii="Arial" w:eastAsia="Arial" w:hAnsi="Arial" w:cs="Arial"/>
        </w:rPr>
        <w:t xml:space="preserve">and </w:t>
      </w:r>
      <w:r w:rsidR="00E8373E" w:rsidRPr="00281969">
        <w:rPr>
          <w:rFonts w:ascii="Arial" w:eastAsia="Arial" w:hAnsi="Arial" w:cs="Arial"/>
        </w:rPr>
        <w:t xml:space="preserve">cost of living </w:t>
      </w:r>
      <w:r w:rsidR="00281969" w:rsidRPr="00281969">
        <w:rPr>
          <w:rFonts w:ascii="Arial" w:eastAsia="Arial" w:hAnsi="Arial" w:cs="Arial"/>
        </w:rPr>
        <w:t>pressures they continue to face</w:t>
      </w:r>
      <w:r w:rsidRPr="00281969">
        <w:rPr>
          <w:rFonts w:ascii="Arial" w:eastAsia="Arial" w:hAnsi="Arial" w:cs="Arial"/>
        </w:rPr>
        <w:t>.</w:t>
      </w:r>
    </w:p>
    <w:p w14:paraId="4E9E3927" w14:textId="77777777" w:rsidR="001A295D" w:rsidRPr="002B41B0" w:rsidRDefault="001A295D" w:rsidP="001A295D">
      <w:pPr>
        <w:rPr>
          <w:highlight w:val="yellow"/>
        </w:rPr>
      </w:pPr>
    </w:p>
    <w:p w14:paraId="03098C23" w14:textId="77777777" w:rsidR="00741FBD" w:rsidRPr="000814C9" w:rsidRDefault="00741FBD" w:rsidP="00741FBD">
      <w:pPr>
        <w:pStyle w:val="Heading2"/>
        <w:numPr>
          <w:ilvl w:val="0"/>
          <w:numId w:val="0"/>
        </w:numPr>
        <w:tabs>
          <w:tab w:val="left" w:pos="9000"/>
        </w:tabs>
        <w:jc w:val="both"/>
        <w:rPr>
          <w:sz w:val="24"/>
        </w:rPr>
      </w:pPr>
      <w:r w:rsidRPr="000814C9">
        <w:rPr>
          <w:sz w:val="24"/>
        </w:rPr>
        <w:t>Vision 2030</w:t>
      </w:r>
    </w:p>
    <w:p w14:paraId="2051D529" w14:textId="77777777" w:rsidR="00741FBD" w:rsidRPr="000814C9" w:rsidRDefault="00741FBD" w:rsidP="00741FBD">
      <w:pPr>
        <w:jc w:val="both"/>
      </w:pPr>
    </w:p>
    <w:p w14:paraId="7E6B5372" w14:textId="77777777" w:rsidR="00741FBD" w:rsidRPr="000814C9" w:rsidRDefault="00741FBD" w:rsidP="00741FBD">
      <w:pPr>
        <w:jc w:val="both"/>
        <w:rPr>
          <w:rFonts w:ascii="Arial" w:hAnsi="Arial" w:cs="Arial"/>
        </w:rPr>
      </w:pPr>
      <w:r w:rsidRPr="000814C9">
        <w:rPr>
          <w:rFonts w:ascii="Arial" w:hAnsi="Arial" w:cs="Arial"/>
        </w:rPr>
        <w:t xml:space="preserve">The Council’s Vision sets out the Council’s vision for the future of the City, strategic priorities and core values.  </w:t>
      </w:r>
    </w:p>
    <w:p w14:paraId="766D2D2E" w14:textId="77777777" w:rsidR="00741FBD" w:rsidRPr="000814C9" w:rsidRDefault="00741FBD" w:rsidP="00741FBD">
      <w:pPr>
        <w:pStyle w:val="BodyText"/>
        <w:jc w:val="both"/>
        <w:rPr>
          <w:b w:val="0"/>
        </w:rPr>
      </w:pPr>
    </w:p>
    <w:p w14:paraId="556B25C9" w14:textId="77777777" w:rsidR="00741FBD" w:rsidRPr="000814C9" w:rsidRDefault="00741FBD" w:rsidP="00741FBD">
      <w:pPr>
        <w:autoSpaceDE w:val="0"/>
        <w:autoSpaceDN w:val="0"/>
        <w:adjustRightInd w:val="0"/>
        <w:jc w:val="both"/>
        <w:rPr>
          <w:rFonts w:ascii="Arial" w:hAnsi="Arial" w:cs="Arial"/>
          <w:szCs w:val="20"/>
        </w:rPr>
      </w:pPr>
      <w:r w:rsidRPr="000814C9">
        <w:rPr>
          <w:rFonts w:ascii="Arial" w:hAnsi="Arial" w:cs="Arial"/>
          <w:szCs w:val="20"/>
        </w:rPr>
        <w:t>The Council’s current vision is;</w:t>
      </w:r>
    </w:p>
    <w:p w14:paraId="0A957567" w14:textId="77777777" w:rsidR="00741FBD" w:rsidRPr="000814C9" w:rsidRDefault="00741FBD" w:rsidP="00741FBD">
      <w:pPr>
        <w:jc w:val="both"/>
        <w:rPr>
          <w:rFonts w:ascii="Arial" w:hAnsi="Arial" w:cs="Arial"/>
          <w:b/>
        </w:rPr>
      </w:pPr>
    </w:p>
    <w:p w14:paraId="22C59AAE" w14:textId="77777777" w:rsidR="00741FBD" w:rsidRPr="000814C9" w:rsidRDefault="00741FBD" w:rsidP="00741FBD">
      <w:pPr>
        <w:autoSpaceDE w:val="0"/>
        <w:autoSpaceDN w:val="0"/>
        <w:adjustRightInd w:val="0"/>
        <w:jc w:val="center"/>
        <w:rPr>
          <w:rFonts w:ascii="Arial" w:hAnsi="Arial" w:cs="Arial"/>
          <w:b/>
        </w:rPr>
      </w:pPr>
      <w:r w:rsidRPr="000814C9">
        <w:rPr>
          <w:rFonts w:ascii="Arial" w:hAnsi="Arial" w:cs="Arial"/>
          <w:b/>
        </w:rPr>
        <w:t>"Together, let’s deliver Lincoln’s ambitious future"</w:t>
      </w:r>
    </w:p>
    <w:p w14:paraId="11CBC9C6" w14:textId="77777777" w:rsidR="00741FBD" w:rsidRPr="000814C9" w:rsidRDefault="00741FBD" w:rsidP="00741FBD">
      <w:pPr>
        <w:autoSpaceDE w:val="0"/>
        <w:autoSpaceDN w:val="0"/>
        <w:adjustRightInd w:val="0"/>
        <w:jc w:val="center"/>
        <w:rPr>
          <w:rFonts w:ascii="Arial" w:hAnsi="Arial" w:cs="Arial"/>
          <w:b/>
        </w:rPr>
      </w:pPr>
    </w:p>
    <w:p w14:paraId="52086C1F" w14:textId="0C7D5D40" w:rsidR="00741FBD" w:rsidRPr="000814C9" w:rsidRDefault="00741FBD" w:rsidP="00741FBD">
      <w:pPr>
        <w:jc w:val="both"/>
        <w:rPr>
          <w:rFonts w:ascii="Arial" w:hAnsi="Arial" w:cs="Arial"/>
        </w:rPr>
      </w:pPr>
      <w:r w:rsidRPr="000814C9">
        <w:rPr>
          <w:rFonts w:ascii="Arial" w:hAnsi="Arial" w:cs="Arial"/>
        </w:rPr>
        <w:t>Underpinning this vision are five strategic priorities, each with a number of supporting aspirations. The aspirations are in turn supported by groups of projects that have been delivered by the Council and it’s partners. The five strategic priorities are:</w:t>
      </w:r>
    </w:p>
    <w:p w14:paraId="2828CE22" w14:textId="77777777" w:rsidR="00741FBD" w:rsidRPr="000814C9" w:rsidRDefault="00741FBD" w:rsidP="00741FBD">
      <w:pPr>
        <w:jc w:val="both"/>
        <w:rPr>
          <w:rFonts w:ascii="Arial" w:hAnsi="Arial" w:cs="Arial"/>
        </w:rPr>
      </w:pPr>
    </w:p>
    <w:p w14:paraId="4078C545" w14:textId="381E96A5" w:rsidR="00741FBD" w:rsidRPr="000814C9" w:rsidRDefault="00D61A65" w:rsidP="00CF25BB">
      <w:pPr>
        <w:numPr>
          <w:ilvl w:val="0"/>
          <w:numId w:val="25"/>
        </w:numPr>
        <w:ind w:hanging="357"/>
        <w:jc w:val="both"/>
        <w:rPr>
          <w:rFonts w:ascii="Arial" w:hAnsi="Arial" w:cs="Arial"/>
        </w:rPr>
      </w:pPr>
      <w:r w:rsidRPr="000814C9">
        <w:rPr>
          <w:rFonts w:ascii="Arial" w:hAnsi="Arial" w:cs="Arial"/>
        </w:rPr>
        <w:t>L</w:t>
      </w:r>
      <w:r w:rsidR="00741FBD" w:rsidRPr="000814C9">
        <w:rPr>
          <w:rFonts w:ascii="Arial" w:hAnsi="Arial" w:cs="Arial"/>
        </w:rPr>
        <w:t>et’s drive inclusive</w:t>
      </w:r>
      <w:r w:rsidR="008E6D9A">
        <w:rPr>
          <w:rFonts w:ascii="Arial" w:hAnsi="Arial" w:cs="Arial"/>
        </w:rPr>
        <w:t xml:space="preserve">, </w:t>
      </w:r>
      <w:r w:rsidR="00741FBD" w:rsidRPr="000814C9">
        <w:rPr>
          <w:rFonts w:ascii="Arial" w:hAnsi="Arial" w:cs="Arial"/>
        </w:rPr>
        <w:t xml:space="preserve">sustainable, economic growth </w:t>
      </w:r>
    </w:p>
    <w:p w14:paraId="7434B683" w14:textId="19DF767A" w:rsidR="00741FBD" w:rsidRPr="000814C9" w:rsidRDefault="00D61A65" w:rsidP="00CF25BB">
      <w:pPr>
        <w:numPr>
          <w:ilvl w:val="0"/>
          <w:numId w:val="25"/>
        </w:numPr>
        <w:ind w:hanging="357"/>
        <w:jc w:val="both"/>
        <w:rPr>
          <w:rFonts w:ascii="Arial" w:hAnsi="Arial" w:cs="Arial"/>
        </w:rPr>
      </w:pPr>
      <w:r w:rsidRPr="000814C9">
        <w:rPr>
          <w:rFonts w:ascii="Arial" w:hAnsi="Arial" w:cs="Arial"/>
        </w:rPr>
        <w:t>L</w:t>
      </w:r>
      <w:r w:rsidR="00741FBD" w:rsidRPr="000814C9">
        <w:rPr>
          <w:rFonts w:ascii="Arial" w:hAnsi="Arial" w:cs="Arial"/>
        </w:rPr>
        <w:t>et’s reduce all kinds of inequality</w:t>
      </w:r>
    </w:p>
    <w:p w14:paraId="254AC69D" w14:textId="1A6C9229" w:rsidR="00741FBD" w:rsidRPr="000814C9" w:rsidRDefault="00D61A65" w:rsidP="00CF25BB">
      <w:pPr>
        <w:numPr>
          <w:ilvl w:val="0"/>
          <w:numId w:val="25"/>
        </w:numPr>
        <w:ind w:hanging="357"/>
        <w:jc w:val="both"/>
        <w:rPr>
          <w:rFonts w:ascii="Arial" w:hAnsi="Arial" w:cs="Arial"/>
        </w:rPr>
      </w:pPr>
      <w:r w:rsidRPr="000814C9">
        <w:rPr>
          <w:rFonts w:ascii="Arial" w:hAnsi="Arial" w:cs="Arial"/>
        </w:rPr>
        <w:t>L</w:t>
      </w:r>
      <w:r w:rsidR="00741FBD" w:rsidRPr="000814C9">
        <w:rPr>
          <w:rFonts w:ascii="Arial" w:hAnsi="Arial" w:cs="Arial"/>
        </w:rPr>
        <w:t>et’s deliver quality housing</w:t>
      </w:r>
    </w:p>
    <w:p w14:paraId="40B234CD" w14:textId="301BA815" w:rsidR="00741FBD" w:rsidRPr="000814C9" w:rsidRDefault="00D61A65" w:rsidP="00CF25BB">
      <w:pPr>
        <w:numPr>
          <w:ilvl w:val="0"/>
          <w:numId w:val="25"/>
        </w:numPr>
        <w:ind w:hanging="357"/>
        <w:jc w:val="both"/>
        <w:rPr>
          <w:rFonts w:ascii="Arial" w:hAnsi="Arial" w:cs="Arial"/>
        </w:rPr>
      </w:pPr>
      <w:r w:rsidRPr="000814C9">
        <w:rPr>
          <w:rFonts w:ascii="Arial" w:hAnsi="Arial" w:cs="Arial"/>
        </w:rPr>
        <w:t>L</w:t>
      </w:r>
      <w:r w:rsidR="00741FBD" w:rsidRPr="000814C9">
        <w:rPr>
          <w:rFonts w:ascii="Arial" w:hAnsi="Arial" w:cs="Arial"/>
        </w:rPr>
        <w:t>et’s enhance our remarkable place</w:t>
      </w:r>
    </w:p>
    <w:p w14:paraId="0FA0660E" w14:textId="0AAEE5CA" w:rsidR="00741FBD" w:rsidRPr="000814C9" w:rsidRDefault="00D61A65" w:rsidP="00CF25BB">
      <w:pPr>
        <w:numPr>
          <w:ilvl w:val="0"/>
          <w:numId w:val="25"/>
        </w:numPr>
        <w:ind w:hanging="357"/>
        <w:jc w:val="both"/>
        <w:rPr>
          <w:rFonts w:ascii="Arial" w:hAnsi="Arial" w:cs="Arial"/>
        </w:rPr>
      </w:pPr>
      <w:r w:rsidRPr="000814C9">
        <w:rPr>
          <w:rFonts w:ascii="Arial" w:hAnsi="Arial" w:cs="Arial"/>
        </w:rPr>
        <w:t>L</w:t>
      </w:r>
      <w:r w:rsidR="00741FBD" w:rsidRPr="000814C9">
        <w:rPr>
          <w:rFonts w:ascii="Arial" w:hAnsi="Arial" w:cs="Arial"/>
        </w:rPr>
        <w:t>et’s address the challenge of climate change</w:t>
      </w:r>
    </w:p>
    <w:p w14:paraId="1777E8CD" w14:textId="77777777" w:rsidR="00741FBD" w:rsidRPr="000814C9" w:rsidRDefault="00741FBD" w:rsidP="00741FBD">
      <w:pPr>
        <w:ind w:left="720"/>
        <w:jc w:val="both"/>
        <w:rPr>
          <w:rFonts w:ascii="Arial" w:hAnsi="Arial" w:cs="Arial"/>
        </w:rPr>
      </w:pPr>
    </w:p>
    <w:p w14:paraId="6E2ABF69" w14:textId="77777777" w:rsidR="00741FBD" w:rsidRPr="000814C9" w:rsidRDefault="00741FBD" w:rsidP="00741FBD">
      <w:pPr>
        <w:jc w:val="both"/>
        <w:rPr>
          <w:rFonts w:ascii="Arial" w:hAnsi="Arial" w:cs="Arial"/>
        </w:rPr>
      </w:pPr>
      <w:r w:rsidRPr="000814C9">
        <w:rPr>
          <w:rFonts w:ascii="Arial" w:hAnsi="Arial" w:cs="Arial"/>
        </w:rPr>
        <w:t xml:space="preserve">The delivery of the five strategic priorities is underpinned by the ‘One Council’ approach, which covers: </w:t>
      </w:r>
    </w:p>
    <w:p w14:paraId="78FE0F29" w14:textId="77777777" w:rsidR="00741FBD" w:rsidRPr="000814C9" w:rsidRDefault="00741FBD" w:rsidP="00741FBD">
      <w:pPr>
        <w:jc w:val="both"/>
        <w:rPr>
          <w:rFonts w:ascii="Arial" w:hAnsi="Arial" w:cs="Arial"/>
        </w:rPr>
      </w:pPr>
    </w:p>
    <w:p w14:paraId="45988703" w14:textId="77777777" w:rsidR="00741FBD" w:rsidRPr="000814C9" w:rsidRDefault="00741FBD" w:rsidP="00CF25BB">
      <w:pPr>
        <w:numPr>
          <w:ilvl w:val="0"/>
          <w:numId w:val="30"/>
        </w:numPr>
        <w:jc w:val="both"/>
        <w:rPr>
          <w:rFonts w:ascii="Arial" w:hAnsi="Arial" w:cs="Arial"/>
        </w:rPr>
      </w:pPr>
      <w:r w:rsidRPr="000814C9">
        <w:rPr>
          <w:rFonts w:ascii="Arial" w:hAnsi="Arial" w:cs="Arial"/>
        </w:rPr>
        <w:t>Organisational development</w:t>
      </w:r>
    </w:p>
    <w:p w14:paraId="07806652" w14:textId="77777777" w:rsidR="00741FBD" w:rsidRPr="000814C9" w:rsidRDefault="00741FBD" w:rsidP="00CF25BB">
      <w:pPr>
        <w:numPr>
          <w:ilvl w:val="0"/>
          <w:numId w:val="30"/>
        </w:numPr>
        <w:jc w:val="both"/>
        <w:rPr>
          <w:rFonts w:ascii="Arial" w:hAnsi="Arial" w:cs="Arial"/>
        </w:rPr>
      </w:pPr>
      <w:r w:rsidRPr="000814C9">
        <w:rPr>
          <w:rFonts w:ascii="Arial" w:hAnsi="Arial" w:cs="Arial"/>
        </w:rPr>
        <w:t>Best use of assets</w:t>
      </w:r>
    </w:p>
    <w:p w14:paraId="63E1FE4D" w14:textId="77777777" w:rsidR="00741FBD" w:rsidRPr="000814C9" w:rsidRDefault="00741FBD" w:rsidP="00CF25BB">
      <w:pPr>
        <w:numPr>
          <w:ilvl w:val="0"/>
          <w:numId w:val="30"/>
        </w:numPr>
        <w:jc w:val="both"/>
        <w:rPr>
          <w:rFonts w:ascii="Arial" w:hAnsi="Arial" w:cs="Arial"/>
        </w:rPr>
      </w:pPr>
      <w:r w:rsidRPr="000814C9">
        <w:rPr>
          <w:rFonts w:ascii="Arial" w:hAnsi="Arial" w:cs="Arial"/>
        </w:rPr>
        <w:t>Technology</w:t>
      </w:r>
    </w:p>
    <w:p w14:paraId="6FE5B7BF" w14:textId="77777777" w:rsidR="00741FBD" w:rsidRPr="000814C9" w:rsidRDefault="00741FBD" w:rsidP="00CF25BB">
      <w:pPr>
        <w:numPr>
          <w:ilvl w:val="0"/>
          <w:numId w:val="30"/>
        </w:numPr>
        <w:jc w:val="both"/>
        <w:rPr>
          <w:rFonts w:ascii="Arial" w:hAnsi="Arial" w:cs="Arial"/>
        </w:rPr>
      </w:pPr>
      <w:r w:rsidRPr="000814C9">
        <w:rPr>
          <w:rFonts w:ascii="Arial" w:hAnsi="Arial" w:cs="Arial"/>
        </w:rPr>
        <w:t xml:space="preserve">Creating value processes </w:t>
      </w:r>
    </w:p>
    <w:p w14:paraId="5AC70A2E" w14:textId="77777777" w:rsidR="00741FBD" w:rsidRPr="000814C9" w:rsidRDefault="00741FBD" w:rsidP="00741FBD">
      <w:pPr>
        <w:jc w:val="both"/>
        <w:rPr>
          <w:rFonts w:ascii="Arial" w:hAnsi="Arial" w:cs="Arial"/>
        </w:rPr>
      </w:pPr>
    </w:p>
    <w:p w14:paraId="20DE60DA" w14:textId="77777777" w:rsidR="00741FBD" w:rsidRPr="000814C9" w:rsidRDefault="00741FBD" w:rsidP="00741FBD">
      <w:pPr>
        <w:jc w:val="both"/>
        <w:rPr>
          <w:rFonts w:ascii="Arial" w:hAnsi="Arial" w:cs="Arial"/>
        </w:rPr>
      </w:pPr>
      <w:r w:rsidRPr="000814C9">
        <w:rPr>
          <w:rFonts w:ascii="Arial" w:hAnsi="Arial" w:cs="Arial"/>
        </w:rPr>
        <w:t xml:space="preserve">One Council aims to put the customer at the heart of everything the Council does and strives to make sure that when they access council services, they receive the support they need and have a good experience.  </w:t>
      </w:r>
    </w:p>
    <w:p w14:paraId="77C8857D" w14:textId="77777777" w:rsidR="00EA7B70" w:rsidRPr="000814C9" w:rsidRDefault="00EA7B70" w:rsidP="00146B3F">
      <w:pPr>
        <w:jc w:val="both"/>
        <w:rPr>
          <w:rFonts w:ascii="Arial" w:hAnsi="Arial" w:cs="Arial"/>
        </w:rPr>
      </w:pPr>
    </w:p>
    <w:p w14:paraId="62B5FC80" w14:textId="77777777" w:rsidR="00EA7B70" w:rsidRPr="000814C9" w:rsidRDefault="00EA7B70" w:rsidP="00146B3F">
      <w:pPr>
        <w:jc w:val="both"/>
        <w:rPr>
          <w:rFonts w:ascii="Arial" w:hAnsi="Arial" w:cs="Arial"/>
        </w:rPr>
      </w:pPr>
      <w:r w:rsidRPr="000814C9">
        <w:rPr>
          <w:rFonts w:ascii="Arial" w:hAnsi="Arial" w:cs="Arial"/>
        </w:rPr>
        <w:t>Additionally</w:t>
      </w:r>
      <w:r w:rsidR="003370DB" w:rsidRPr="000814C9">
        <w:rPr>
          <w:rFonts w:ascii="Arial" w:hAnsi="Arial" w:cs="Arial"/>
        </w:rPr>
        <w:t>,</w:t>
      </w:r>
      <w:r w:rsidR="006F3AC3" w:rsidRPr="000814C9">
        <w:rPr>
          <w:rFonts w:ascii="Arial" w:hAnsi="Arial" w:cs="Arial"/>
        </w:rPr>
        <w:t xml:space="preserve"> the vision includes</w:t>
      </w:r>
      <w:r w:rsidRPr="000814C9">
        <w:rPr>
          <w:rFonts w:ascii="Arial" w:hAnsi="Arial" w:cs="Arial"/>
        </w:rPr>
        <w:t xml:space="preserve"> a set of core values which sum up </w:t>
      </w:r>
      <w:r w:rsidR="00BC6AC6" w:rsidRPr="000814C9">
        <w:rPr>
          <w:rFonts w:ascii="Arial" w:hAnsi="Arial" w:cs="Arial"/>
        </w:rPr>
        <w:t>the Council’s</w:t>
      </w:r>
      <w:r w:rsidRPr="000814C9">
        <w:rPr>
          <w:rFonts w:ascii="Arial" w:hAnsi="Arial" w:cs="Arial"/>
        </w:rPr>
        <w:t xml:space="preserve"> culture, and what </w:t>
      </w:r>
      <w:r w:rsidR="00550AE8" w:rsidRPr="000814C9">
        <w:rPr>
          <w:rFonts w:ascii="Arial" w:hAnsi="Arial" w:cs="Arial"/>
        </w:rPr>
        <w:t>can be</w:t>
      </w:r>
      <w:r w:rsidRPr="000814C9">
        <w:rPr>
          <w:rFonts w:ascii="Arial" w:hAnsi="Arial" w:cs="Arial"/>
        </w:rPr>
        <w:t xml:space="preserve"> expect</w:t>
      </w:r>
      <w:r w:rsidR="00BC6AC6" w:rsidRPr="000814C9">
        <w:rPr>
          <w:rFonts w:ascii="Arial" w:hAnsi="Arial" w:cs="Arial"/>
        </w:rPr>
        <w:t>ed</w:t>
      </w:r>
      <w:r w:rsidRPr="000814C9">
        <w:rPr>
          <w:rFonts w:ascii="Arial" w:hAnsi="Arial" w:cs="Arial"/>
        </w:rPr>
        <w:t xml:space="preserve"> from </w:t>
      </w:r>
      <w:r w:rsidR="00BC6AC6" w:rsidRPr="000814C9">
        <w:rPr>
          <w:rFonts w:ascii="Arial" w:hAnsi="Arial" w:cs="Arial"/>
        </w:rPr>
        <w:t>its</w:t>
      </w:r>
      <w:r w:rsidRPr="000814C9">
        <w:rPr>
          <w:rFonts w:ascii="Arial" w:hAnsi="Arial" w:cs="Arial"/>
        </w:rPr>
        <w:t xml:space="preserve"> services and policies. They should also be present in the way </w:t>
      </w:r>
      <w:r w:rsidR="00146B3F" w:rsidRPr="000814C9">
        <w:rPr>
          <w:rFonts w:ascii="Arial" w:hAnsi="Arial" w:cs="Arial"/>
        </w:rPr>
        <w:t>its officers and member</w:t>
      </w:r>
      <w:r w:rsidRPr="000814C9">
        <w:rPr>
          <w:rFonts w:ascii="Arial" w:hAnsi="Arial" w:cs="Arial"/>
        </w:rPr>
        <w:t xml:space="preserve"> deal with other</w:t>
      </w:r>
      <w:r w:rsidR="00BC6AC6" w:rsidRPr="000814C9">
        <w:rPr>
          <w:rFonts w:ascii="Arial" w:hAnsi="Arial" w:cs="Arial"/>
        </w:rPr>
        <w:t>s</w:t>
      </w:r>
      <w:r w:rsidRPr="000814C9">
        <w:rPr>
          <w:rFonts w:ascii="Arial" w:hAnsi="Arial" w:cs="Arial"/>
        </w:rPr>
        <w:t xml:space="preserve">, </w:t>
      </w:r>
      <w:r w:rsidR="00BC6AC6" w:rsidRPr="000814C9">
        <w:rPr>
          <w:rFonts w:ascii="Arial" w:hAnsi="Arial" w:cs="Arial"/>
        </w:rPr>
        <w:t>its</w:t>
      </w:r>
      <w:r w:rsidRPr="000814C9">
        <w:rPr>
          <w:rFonts w:ascii="Arial" w:hAnsi="Arial" w:cs="Arial"/>
        </w:rPr>
        <w:t xml:space="preserve"> residents, and </w:t>
      </w:r>
      <w:r w:rsidR="00BC6AC6" w:rsidRPr="000814C9">
        <w:rPr>
          <w:rFonts w:ascii="Arial" w:hAnsi="Arial" w:cs="Arial"/>
        </w:rPr>
        <w:t>its</w:t>
      </w:r>
      <w:r w:rsidRPr="000814C9">
        <w:rPr>
          <w:rFonts w:ascii="Arial" w:hAnsi="Arial" w:cs="Arial"/>
        </w:rPr>
        <w:t xml:space="preserve"> partners.</w:t>
      </w:r>
      <w:r w:rsidR="00146B3F" w:rsidRPr="000814C9">
        <w:rPr>
          <w:rFonts w:ascii="Arial" w:hAnsi="Arial" w:cs="Arial"/>
        </w:rPr>
        <w:t xml:space="preserve">  The</w:t>
      </w:r>
      <w:r w:rsidRPr="000814C9">
        <w:rPr>
          <w:rFonts w:ascii="Arial" w:hAnsi="Arial" w:cs="Arial"/>
        </w:rPr>
        <w:t xml:space="preserve"> core values are:</w:t>
      </w:r>
    </w:p>
    <w:p w14:paraId="7AA4B082" w14:textId="77777777" w:rsidR="00146B3F" w:rsidRPr="000814C9" w:rsidRDefault="00146B3F" w:rsidP="00146B3F">
      <w:pPr>
        <w:jc w:val="both"/>
        <w:rPr>
          <w:rFonts w:ascii="Arial" w:hAnsi="Arial" w:cs="Arial"/>
        </w:rPr>
      </w:pPr>
    </w:p>
    <w:p w14:paraId="1B146EA7" w14:textId="77777777" w:rsidR="00EA7B70" w:rsidRPr="000814C9" w:rsidRDefault="00EA7B70" w:rsidP="00CF25BB">
      <w:pPr>
        <w:numPr>
          <w:ilvl w:val="0"/>
          <w:numId w:val="26"/>
        </w:numPr>
        <w:ind w:left="720"/>
        <w:jc w:val="both"/>
        <w:rPr>
          <w:rFonts w:ascii="Arial" w:hAnsi="Arial" w:cs="Arial"/>
          <w:lang w:val="en-US"/>
        </w:rPr>
      </w:pPr>
      <w:r w:rsidRPr="000814C9">
        <w:rPr>
          <w:rFonts w:ascii="Arial" w:hAnsi="Arial" w:cs="Arial"/>
          <w:lang w:val="en-US"/>
        </w:rPr>
        <w:t xml:space="preserve">Let’s be approachable </w:t>
      </w:r>
    </w:p>
    <w:p w14:paraId="79E5C738" w14:textId="77777777" w:rsidR="00EA7B70" w:rsidRPr="000814C9" w:rsidRDefault="00EA7B70" w:rsidP="00CF25BB">
      <w:pPr>
        <w:numPr>
          <w:ilvl w:val="0"/>
          <w:numId w:val="26"/>
        </w:numPr>
        <w:ind w:left="720"/>
        <w:jc w:val="both"/>
        <w:rPr>
          <w:rFonts w:ascii="Arial" w:hAnsi="Arial" w:cs="Arial"/>
          <w:lang w:val="en-US"/>
        </w:rPr>
      </w:pPr>
      <w:r w:rsidRPr="000814C9">
        <w:rPr>
          <w:rFonts w:ascii="Arial" w:hAnsi="Arial" w:cs="Arial"/>
          <w:lang w:val="en-US"/>
        </w:rPr>
        <w:t xml:space="preserve">Let’s be innovative </w:t>
      </w:r>
    </w:p>
    <w:p w14:paraId="7F18A547" w14:textId="77777777" w:rsidR="00EA7B70" w:rsidRPr="000814C9" w:rsidRDefault="00EA7B70" w:rsidP="00CF25BB">
      <w:pPr>
        <w:numPr>
          <w:ilvl w:val="0"/>
          <w:numId w:val="26"/>
        </w:numPr>
        <w:ind w:left="720"/>
        <w:jc w:val="both"/>
        <w:rPr>
          <w:rFonts w:ascii="Arial" w:hAnsi="Arial" w:cs="Arial"/>
          <w:lang w:val="en-US"/>
        </w:rPr>
      </w:pPr>
      <w:r w:rsidRPr="000814C9">
        <w:rPr>
          <w:rFonts w:ascii="Arial" w:eastAsia="NSimSun" w:hAnsi="Arial" w:cs="Arial"/>
          <w:lang w:val="en-US"/>
        </w:rPr>
        <w:t>Let’s be trusted to deliver</w:t>
      </w:r>
      <w:r w:rsidRPr="000814C9">
        <w:rPr>
          <w:rFonts w:ascii="Arial" w:hAnsi="Arial" w:cs="Arial"/>
          <w:lang w:val="en-US"/>
        </w:rPr>
        <w:t xml:space="preserve"> </w:t>
      </w:r>
    </w:p>
    <w:p w14:paraId="6F899165" w14:textId="77777777" w:rsidR="00DE4F8D" w:rsidRPr="002B41B0" w:rsidRDefault="00DE4F8D" w:rsidP="00DE4F8D">
      <w:pPr>
        <w:rPr>
          <w:rFonts w:ascii="Arial" w:hAnsi="Arial" w:cs="Arial"/>
          <w:highlight w:val="yellow"/>
        </w:rPr>
      </w:pPr>
    </w:p>
    <w:p w14:paraId="1732742A" w14:textId="242AC1C6" w:rsidR="000E5FA4" w:rsidRPr="002B41B0" w:rsidRDefault="00D9202D" w:rsidP="000E5FA4">
      <w:pPr>
        <w:jc w:val="both"/>
        <w:rPr>
          <w:rFonts w:ascii="Arial" w:hAnsi="Arial" w:cs="Arial"/>
          <w:b/>
          <w:bCs/>
          <w:highlight w:val="yellow"/>
        </w:rPr>
      </w:pPr>
      <w:r w:rsidRPr="001C7946">
        <w:rPr>
          <w:rFonts w:ascii="Arial" w:hAnsi="Arial" w:cs="Arial"/>
          <w:lang w:eastAsia="en-GB"/>
        </w:rPr>
        <w:t xml:space="preserve">The Council’s current strategic plan, Vision 2030, launched in March 2025 builds upon the progress of Vision 2025 and 2020 and </w:t>
      </w:r>
      <w:r w:rsidRPr="001C7946">
        <w:rPr>
          <w:rFonts w:ascii="Arial" w:hAnsi="Arial" w:cs="Arial"/>
        </w:rPr>
        <w:t>forms phase three of the Council’s vision for the City</w:t>
      </w:r>
      <w:r w:rsidRPr="001C7946">
        <w:rPr>
          <w:rFonts w:ascii="Arial" w:hAnsi="Arial" w:cs="Arial"/>
          <w:lang w:eastAsia="en-GB"/>
        </w:rPr>
        <w:t xml:space="preserve">. </w:t>
      </w:r>
      <w:r w:rsidR="00586FC8" w:rsidRPr="001C7946">
        <w:rPr>
          <w:rFonts w:ascii="Arial" w:hAnsi="Arial" w:cs="Arial"/>
          <w:lang w:eastAsia="en-GB"/>
        </w:rPr>
        <w:t xml:space="preserve">It </w:t>
      </w:r>
      <w:r w:rsidR="005654D8" w:rsidRPr="001C7946">
        <w:rPr>
          <w:rFonts w:ascii="Arial" w:hAnsi="Arial" w:cs="Arial"/>
          <w:lang w:eastAsia="en-GB"/>
        </w:rPr>
        <w:t xml:space="preserve">presents a roadmap to address today’s most pressing issues while embracing opportunities for the future, progressing a vision for both the City and Council through to 2030.   </w:t>
      </w:r>
    </w:p>
    <w:p w14:paraId="4C73BD25" w14:textId="77777777" w:rsidR="005654D8" w:rsidRPr="002B41B0" w:rsidRDefault="005654D8" w:rsidP="005654D8">
      <w:pPr>
        <w:rPr>
          <w:highlight w:val="yellow"/>
          <w:lang w:eastAsia="en-GB"/>
        </w:rPr>
      </w:pPr>
    </w:p>
    <w:p w14:paraId="5802489E" w14:textId="77777777" w:rsidR="00555BEA" w:rsidRDefault="00555BEA" w:rsidP="00555BEA">
      <w:pPr>
        <w:autoSpaceDE w:val="0"/>
        <w:autoSpaceDN w:val="0"/>
        <w:adjustRightInd w:val="0"/>
        <w:jc w:val="both"/>
        <w:rPr>
          <w:rFonts w:ascii="Arial" w:hAnsi="Arial" w:cs="Arial"/>
        </w:rPr>
      </w:pPr>
      <w:r w:rsidRPr="00B27C4D">
        <w:rPr>
          <w:rFonts w:ascii="Arial" w:hAnsi="Arial" w:cs="Arial"/>
          <w:lang w:eastAsia="en-GB"/>
        </w:rPr>
        <w:t xml:space="preserve">The actions and projects within the new Vision have </w:t>
      </w:r>
      <w:r w:rsidRPr="00B27C4D">
        <w:rPr>
          <w:rFonts w:ascii="Arial" w:hAnsi="Arial" w:cs="Arial"/>
        </w:rPr>
        <w:t>been developed by drawing on Lincoln’s City Profile, performance data, feedback from communities and partners, assessment of the impact of key challenges and opportunities and reviewing progress with existing key projects and programmes.  These actions and projects cover both the General Fund and the Housing Revenue Account and the capital programmes.</w:t>
      </w:r>
    </w:p>
    <w:p w14:paraId="77485F07" w14:textId="77777777" w:rsidR="003052C5" w:rsidRPr="002B41B0" w:rsidRDefault="003052C5" w:rsidP="005654D8">
      <w:pPr>
        <w:autoSpaceDE w:val="0"/>
        <w:autoSpaceDN w:val="0"/>
        <w:adjustRightInd w:val="0"/>
        <w:jc w:val="both"/>
        <w:rPr>
          <w:rFonts w:ascii="Arial" w:hAnsi="Arial" w:cs="Arial"/>
          <w:highlight w:val="yellow"/>
        </w:rPr>
      </w:pPr>
    </w:p>
    <w:p w14:paraId="13F887A9" w14:textId="2BD735EA" w:rsidR="003052C5" w:rsidRDefault="003052C5" w:rsidP="003052C5">
      <w:pPr>
        <w:jc w:val="both"/>
        <w:rPr>
          <w:rFonts w:ascii="Arial" w:hAnsi="Arial" w:cs="Arial"/>
          <w:lang w:eastAsia="en-GB"/>
        </w:rPr>
      </w:pPr>
      <w:r w:rsidRPr="00E73BB1">
        <w:rPr>
          <w:rFonts w:ascii="Arial" w:hAnsi="Arial" w:cs="Arial"/>
          <w:lang w:eastAsia="en-GB"/>
        </w:rPr>
        <w:t xml:space="preserve">Recognising the potential impacts of national policy changes in a number of areas, alongside </w:t>
      </w:r>
      <w:r w:rsidR="00707CA0" w:rsidRPr="00E73BB1">
        <w:rPr>
          <w:rFonts w:ascii="Arial" w:hAnsi="Arial" w:cs="Arial"/>
          <w:lang w:eastAsia="en-GB"/>
        </w:rPr>
        <w:t>d</w:t>
      </w:r>
      <w:r w:rsidRPr="00E73BB1">
        <w:rPr>
          <w:rFonts w:ascii="Arial" w:hAnsi="Arial" w:cs="Arial"/>
          <w:lang w:eastAsia="en-GB"/>
        </w:rPr>
        <w:t xml:space="preserve">evolution and </w:t>
      </w:r>
      <w:r w:rsidR="00DC6ECF">
        <w:rPr>
          <w:rFonts w:ascii="Arial" w:hAnsi="Arial" w:cs="Arial"/>
          <w:lang w:eastAsia="en-GB"/>
        </w:rPr>
        <w:t>LGR</w:t>
      </w:r>
      <w:r w:rsidR="00E73BB1" w:rsidRPr="00E73BB1">
        <w:rPr>
          <w:rFonts w:ascii="Arial" w:hAnsi="Arial" w:cs="Arial"/>
          <w:lang w:eastAsia="en-GB"/>
        </w:rPr>
        <w:t xml:space="preserve"> and ahead of</w:t>
      </w:r>
      <w:r w:rsidRPr="00E73BB1">
        <w:rPr>
          <w:rFonts w:ascii="Arial" w:hAnsi="Arial" w:cs="Arial"/>
          <w:lang w:eastAsia="en-GB"/>
        </w:rPr>
        <w:t xml:space="preserve"> the </w:t>
      </w:r>
      <w:r w:rsidR="00E73BB1" w:rsidRPr="00E73BB1">
        <w:rPr>
          <w:rFonts w:ascii="Arial" w:hAnsi="Arial" w:cs="Arial"/>
          <w:lang w:eastAsia="en-GB"/>
        </w:rPr>
        <w:t>FFR</w:t>
      </w:r>
      <w:r w:rsidRPr="00E73BB1">
        <w:rPr>
          <w:rFonts w:ascii="Arial" w:hAnsi="Arial" w:cs="Arial"/>
          <w:lang w:eastAsia="en-GB"/>
        </w:rPr>
        <w:t>, the</w:t>
      </w:r>
      <w:r w:rsidR="00E73BB1" w:rsidRPr="00E73BB1">
        <w:rPr>
          <w:rFonts w:ascii="Arial" w:hAnsi="Arial" w:cs="Arial"/>
          <w:lang w:eastAsia="en-GB"/>
        </w:rPr>
        <w:t xml:space="preserve"> initial</w:t>
      </w:r>
      <w:r w:rsidRPr="00E73BB1">
        <w:rPr>
          <w:rFonts w:ascii="Arial" w:hAnsi="Arial" w:cs="Arial"/>
          <w:lang w:eastAsia="en-GB"/>
        </w:rPr>
        <w:t xml:space="preserve"> action plans supporting Vision 2030 prioritis</w:t>
      </w:r>
      <w:r w:rsidR="00E73BB1" w:rsidRPr="00E73BB1">
        <w:rPr>
          <w:rFonts w:ascii="Arial" w:hAnsi="Arial" w:cs="Arial"/>
          <w:lang w:eastAsia="en-GB"/>
        </w:rPr>
        <w:t>ed</w:t>
      </w:r>
      <w:r w:rsidRPr="00E73BB1">
        <w:rPr>
          <w:rFonts w:ascii="Arial" w:hAnsi="Arial" w:cs="Arial"/>
          <w:lang w:eastAsia="en-GB"/>
        </w:rPr>
        <w:t xml:space="preserve"> </w:t>
      </w:r>
      <w:r w:rsidR="00E73BB1" w:rsidRPr="00E73BB1">
        <w:rPr>
          <w:rFonts w:ascii="Arial" w:hAnsi="Arial" w:cs="Arial"/>
          <w:lang w:eastAsia="en-GB"/>
        </w:rPr>
        <w:t>activities over the first</w:t>
      </w:r>
      <w:r w:rsidRPr="00E73BB1">
        <w:rPr>
          <w:rFonts w:ascii="Arial" w:hAnsi="Arial" w:cs="Arial"/>
          <w:lang w:eastAsia="en-GB"/>
        </w:rPr>
        <w:t xml:space="preserve"> 18 months, ensuring adaptability to legislative, policy and economic changes.</w:t>
      </w:r>
    </w:p>
    <w:p w14:paraId="347F91C5" w14:textId="77777777" w:rsidR="00261BD2" w:rsidRPr="002B41B0" w:rsidRDefault="00261BD2" w:rsidP="0010118F">
      <w:pPr>
        <w:rPr>
          <w:rFonts w:ascii="Arial" w:hAnsi="Arial" w:cs="Arial"/>
          <w:highlight w:val="yellow"/>
        </w:rPr>
      </w:pPr>
    </w:p>
    <w:p w14:paraId="03E45F8A" w14:textId="5A82D4CA" w:rsidR="0025174A" w:rsidRDefault="009709E3" w:rsidP="0025174A">
      <w:pPr>
        <w:autoSpaceDE w:val="0"/>
        <w:autoSpaceDN w:val="0"/>
        <w:adjustRightInd w:val="0"/>
        <w:jc w:val="both"/>
        <w:rPr>
          <w:rFonts w:ascii="Arial" w:hAnsi="Arial" w:cs="Arial"/>
          <w:lang w:eastAsia="en-GB"/>
        </w:rPr>
      </w:pPr>
      <w:r w:rsidRPr="001666C9">
        <w:rPr>
          <w:rFonts w:ascii="Arial" w:hAnsi="Arial" w:cs="Arial"/>
        </w:rPr>
        <w:t xml:space="preserve">Historically the Council has had a strike a careful balance </w:t>
      </w:r>
      <w:r w:rsidR="0074705B" w:rsidRPr="001666C9">
        <w:rPr>
          <w:rFonts w:ascii="Arial" w:hAnsi="Arial" w:cs="Arial"/>
        </w:rPr>
        <w:t>between</w:t>
      </w:r>
      <w:r w:rsidR="0074705B" w:rsidRPr="001666C9">
        <w:rPr>
          <w:rFonts w:ascii="Arial" w:hAnsi="Arial" w:cs="Arial"/>
          <w:lang w:eastAsia="en-GB"/>
        </w:rPr>
        <w:t xml:space="preserve"> delivering a range of new projects that will make a real difference for the City and the need to keep tight control of the council’s financial position</w:t>
      </w:r>
      <w:r w:rsidR="00685CAE" w:rsidRPr="001666C9">
        <w:rPr>
          <w:rFonts w:ascii="Arial" w:hAnsi="Arial" w:cs="Arial"/>
          <w:lang w:eastAsia="en-GB"/>
        </w:rPr>
        <w:t>,</w:t>
      </w:r>
      <w:r w:rsidR="0074705B" w:rsidRPr="001666C9">
        <w:rPr>
          <w:rFonts w:ascii="Arial" w:hAnsi="Arial" w:cs="Arial"/>
          <w:lang w:eastAsia="en-GB"/>
        </w:rPr>
        <w:t xml:space="preserve"> </w:t>
      </w:r>
      <w:r w:rsidR="00BA4B25" w:rsidRPr="001666C9">
        <w:rPr>
          <w:rFonts w:ascii="Arial" w:hAnsi="Arial" w:cs="Arial"/>
          <w:lang w:eastAsia="en-GB"/>
        </w:rPr>
        <w:t>while</w:t>
      </w:r>
      <w:r w:rsidR="0074705B" w:rsidRPr="001666C9">
        <w:rPr>
          <w:rFonts w:ascii="Arial" w:hAnsi="Arial" w:cs="Arial"/>
          <w:lang w:eastAsia="en-GB"/>
        </w:rPr>
        <w:t xml:space="preserve"> also provid</w:t>
      </w:r>
      <w:r w:rsidR="00E1379C" w:rsidRPr="001666C9">
        <w:rPr>
          <w:rFonts w:ascii="Arial" w:hAnsi="Arial" w:cs="Arial"/>
          <w:lang w:eastAsia="en-GB"/>
        </w:rPr>
        <w:t>ing</w:t>
      </w:r>
      <w:r w:rsidR="0074705B" w:rsidRPr="001666C9">
        <w:rPr>
          <w:rFonts w:ascii="Arial" w:hAnsi="Arial" w:cs="Arial"/>
          <w:lang w:eastAsia="en-GB"/>
        </w:rPr>
        <w:t xml:space="preserve"> the capacity to deliver against both</w:t>
      </w:r>
      <w:r w:rsidR="00685CAE" w:rsidRPr="001666C9">
        <w:rPr>
          <w:rFonts w:ascii="Arial" w:hAnsi="Arial" w:cs="Arial"/>
          <w:lang w:eastAsia="en-GB"/>
        </w:rPr>
        <w:t xml:space="preserve">.  </w:t>
      </w:r>
    </w:p>
    <w:p w14:paraId="4302486F" w14:textId="6B31E2F5" w:rsidR="0025174A" w:rsidRDefault="0025174A" w:rsidP="0074705B">
      <w:pPr>
        <w:jc w:val="both"/>
        <w:rPr>
          <w:rFonts w:ascii="Arial" w:hAnsi="Arial" w:cs="Arial"/>
          <w:lang w:eastAsia="en-GB"/>
        </w:rPr>
      </w:pPr>
    </w:p>
    <w:p w14:paraId="34391E65" w14:textId="5B9E4F50" w:rsidR="0025174A" w:rsidRDefault="00AA6FEE" w:rsidP="00E97352">
      <w:pPr>
        <w:autoSpaceDE w:val="0"/>
        <w:autoSpaceDN w:val="0"/>
        <w:adjustRightInd w:val="0"/>
        <w:jc w:val="both"/>
        <w:rPr>
          <w:rFonts w:ascii="Arial" w:hAnsi="Arial" w:cs="Arial"/>
          <w:lang w:eastAsia="en-GB"/>
        </w:rPr>
      </w:pPr>
      <w:r>
        <w:rPr>
          <w:rFonts w:ascii="Arial" w:hAnsi="Arial" w:cs="Arial"/>
          <w:lang w:eastAsia="en-GB"/>
        </w:rPr>
        <w:t xml:space="preserve">This balance was critical during 2025/26 as a result of the financial ramifications for the Council following the liquidation of its leisure services provider in April 2025.  This has required the Council to re-direct a proportion of its Vision 2030 </w:t>
      </w:r>
      <w:r w:rsidR="008915B7">
        <w:rPr>
          <w:rFonts w:ascii="Arial" w:hAnsi="Arial" w:cs="Arial"/>
          <w:lang w:eastAsia="en-GB"/>
        </w:rPr>
        <w:t>resources</w:t>
      </w:r>
      <w:r>
        <w:rPr>
          <w:rFonts w:ascii="Arial" w:hAnsi="Arial" w:cs="Arial"/>
          <w:lang w:eastAsia="en-GB"/>
        </w:rPr>
        <w:t xml:space="preserve"> and implement a temporary halt on further spend on new Vision 2030 initiatives until the new operating arrangements are fully embedded.  </w:t>
      </w:r>
    </w:p>
    <w:p w14:paraId="2722EA91" w14:textId="77777777" w:rsidR="0025174A" w:rsidRDefault="0025174A" w:rsidP="0074705B">
      <w:pPr>
        <w:jc w:val="both"/>
        <w:rPr>
          <w:rFonts w:ascii="Arial" w:hAnsi="Arial" w:cs="Arial"/>
          <w:lang w:eastAsia="en-GB"/>
        </w:rPr>
      </w:pPr>
    </w:p>
    <w:p w14:paraId="55093BE6" w14:textId="55EA35AC" w:rsidR="009709E3" w:rsidRPr="001666C9" w:rsidRDefault="008F6485" w:rsidP="0074705B">
      <w:pPr>
        <w:jc w:val="both"/>
        <w:rPr>
          <w:rFonts w:ascii="Arial" w:hAnsi="Arial" w:cs="Arial"/>
        </w:rPr>
      </w:pPr>
      <w:r w:rsidRPr="001666C9">
        <w:rPr>
          <w:rFonts w:ascii="Arial" w:hAnsi="Arial" w:cs="Arial"/>
          <w:lang w:eastAsia="en-GB"/>
        </w:rPr>
        <w:t>Now though, w</w:t>
      </w:r>
      <w:r w:rsidR="00685CAE" w:rsidRPr="001666C9">
        <w:rPr>
          <w:rFonts w:ascii="Arial" w:hAnsi="Arial" w:cs="Arial"/>
          <w:lang w:eastAsia="en-GB"/>
        </w:rPr>
        <w:t>ith the positive outcome from the FFR and improvement in the Council’s financial sustainability</w:t>
      </w:r>
      <w:r w:rsidR="00280E33">
        <w:rPr>
          <w:rFonts w:ascii="Arial" w:hAnsi="Arial" w:cs="Arial"/>
          <w:lang w:eastAsia="en-GB"/>
        </w:rPr>
        <w:t>,</w:t>
      </w:r>
      <w:r w:rsidR="00B525BD" w:rsidRPr="001666C9">
        <w:rPr>
          <w:rFonts w:ascii="Arial" w:hAnsi="Arial" w:cs="Arial"/>
          <w:lang w:eastAsia="en-GB"/>
        </w:rPr>
        <w:t xml:space="preserve"> </w:t>
      </w:r>
      <w:r w:rsidR="00A14B02">
        <w:rPr>
          <w:rFonts w:ascii="Arial" w:hAnsi="Arial" w:cs="Arial"/>
          <w:lang w:eastAsia="en-GB"/>
        </w:rPr>
        <w:t>but</w:t>
      </w:r>
      <w:r w:rsidR="00A03C97" w:rsidRPr="001666C9">
        <w:rPr>
          <w:rFonts w:ascii="Arial" w:hAnsi="Arial" w:cs="Arial"/>
          <w:lang w:eastAsia="en-GB"/>
        </w:rPr>
        <w:t xml:space="preserve"> with </w:t>
      </w:r>
      <w:r w:rsidR="00B525BD" w:rsidRPr="001666C9">
        <w:rPr>
          <w:rFonts w:ascii="Arial" w:hAnsi="Arial" w:cs="Arial"/>
          <w:lang w:eastAsia="en-GB"/>
        </w:rPr>
        <w:t xml:space="preserve">LGR </w:t>
      </w:r>
      <w:r w:rsidR="00CC7B27" w:rsidRPr="001666C9">
        <w:rPr>
          <w:rFonts w:ascii="Arial" w:hAnsi="Arial" w:cs="Arial"/>
          <w:lang w:eastAsia="en-GB"/>
        </w:rPr>
        <w:t>on the horizon</w:t>
      </w:r>
      <w:r w:rsidR="00685CAE" w:rsidRPr="001666C9">
        <w:rPr>
          <w:rFonts w:ascii="Arial" w:hAnsi="Arial" w:cs="Arial"/>
          <w:lang w:eastAsia="en-GB"/>
        </w:rPr>
        <w:t>, th</w:t>
      </w:r>
      <w:r w:rsidR="0072692B" w:rsidRPr="001666C9">
        <w:rPr>
          <w:rFonts w:ascii="Arial" w:hAnsi="Arial" w:cs="Arial"/>
          <w:lang w:eastAsia="en-GB"/>
        </w:rPr>
        <w:t>is ba</w:t>
      </w:r>
      <w:r w:rsidR="00B525BD" w:rsidRPr="001666C9">
        <w:rPr>
          <w:rFonts w:ascii="Arial" w:hAnsi="Arial" w:cs="Arial"/>
          <w:lang w:eastAsia="en-GB"/>
        </w:rPr>
        <w:t>lanc</w:t>
      </w:r>
      <w:r w:rsidR="00EC0628" w:rsidRPr="001666C9">
        <w:rPr>
          <w:rFonts w:ascii="Arial" w:hAnsi="Arial" w:cs="Arial"/>
          <w:lang w:eastAsia="en-GB"/>
        </w:rPr>
        <w:t>ing of resources has switch</w:t>
      </w:r>
      <w:r w:rsidR="00E53AEF" w:rsidRPr="001666C9">
        <w:rPr>
          <w:rFonts w:ascii="Arial" w:hAnsi="Arial" w:cs="Arial"/>
          <w:lang w:eastAsia="en-GB"/>
        </w:rPr>
        <w:t>ed</w:t>
      </w:r>
      <w:r w:rsidR="00EC0628" w:rsidRPr="001666C9">
        <w:rPr>
          <w:rFonts w:ascii="Arial" w:hAnsi="Arial" w:cs="Arial"/>
          <w:lang w:eastAsia="en-GB"/>
        </w:rPr>
        <w:t xml:space="preserve"> to be one of </w:t>
      </w:r>
      <w:r w:rsidR="00280E33">
        <w:rPr>
          <w:rFonts w:ascii="Arial" w:hAnsi="Arial" w:cs="Arial"/>
          <w:lang w:eastAsia="en-GB"/>
        </w:rPr>
        <w:t>prioritising resources to</w:t>
      </w:r>
      <w:r w:rsidR="0081106A" w:rsidRPr="001666C9">
        <w:rPr>
          <w:rFonts w:ascii="Arial" w:hAnsi="Arial" w:cs="Arial"/>
          <w:lang w:eastAsia="en-GB"/>
        </w:rPr>
        <w:t xml:space="preserve"> support Vision 2030 </w:t>
      </w:r>
      <w:r w:rsidR="00280E33">
        <w:rPr>
          <w:rFonts w:ascii="Arial" w:hAnsi="Arial" w:cs="Arial"/>
          <w:lang w:eastAsia="en-GB"/>
        </w:rPr>
        <w:t>with</w:t>
      </w:r>
      <w:r w:rsidR="00E53AEF" w:rsidRPr="001666C9">
        <w:rPr>
          <w:rFonts w:ascii="Arial" w:hAnsi="Arial" w:cs="Arial"/>
          <w:lang w:eastAsia="en-GB"/>
        </w:rPr>
        <w:t xml:space="preserve"> the need to </w:t>
      </w:r>
      <w:r w:rsidR="0081106A" w:rsidRPr="001666C9">
        <w:rPr>
          <w:rFonts w:ascii="Arial" w:hAnsi="Arial" w:cs="Arial"/>
          <w:lang w:eastAsia="en-GB"/>
        </w:rPr>
        <w:t xml:space="preserve">ensuring sufficient resources </w:t>
      </w:r>
      <w:r w:rsidR="00E53AEF" w:rsidRPr="001666C9">
        <w:rPr>
          <w:rFonts w:ascii="Arial" w:hAnsi="Arial" w:cs="Arial"/>
          <w:lang w:eastAsia="en-GB"/>
        </w:rPr>
        <w:t xml:space="preserve">are set aside </w:t>
      </w:r>
      <w:r w:rsidR="00504216">
        <w:rPr>
          <w:rFonts w:ascii="Arial" w:hAnsi="Arial" w:cs="Arial"/>
          <w:lang w:eastAsia="en-GB"/>
        </w:rPr>
        <w:t>in readiness for</w:t>
      </w:r>
      <w:r w:rsidR="00E53AEF" w:rsidRPr="001666C9">
        <w:rPr>
          <w:rFonts w:ascii="Arial" w:hAnsi="Arial" w:cs="Arial"/>
          <w:lang w:eastAsia="en-GB"/>
        </w:rPr>
        <w:t xml:space="preserve"> LGR, while </w:t>
      </w:r>
      <w:r w:rsidR="00925442">
        <w:rPr>
          <w:rFonts w:ascii="Arial" w:hAnsi="Arial" w:cs="Arial"/>
          <w:lang w:eastAsia="en-GB"/>
        </w:rPr>
        <w:t xml:space="preserve">also </w:t>
      </w:r>
      <w:r w:rsidR="00E53AEF" w:rsidRPr="001666C9">
        <w:rPr>
          <w:rFonts w:ascii="Arial" w:hAnsi="Arial" w:cs="Arial"/>
          <w:lang w:eastAsia="en-GB"/>
        </w:rPr>
        <w:t>providing</w:t>
      </w:r>
      <w:r w:rsidR="001666C9" w:rsidRPr="001666C9">
        <w:rPr>
          <w:rFonts w:ascii="Arial" w:hAnsi="Arial" w:cs="Arial"/>
          <w:lang w:eastAsia="en-GB"/>
        </w:rPr>
        <w:t xml:space="preserve"> the</w:t>
      </w:r>
      <w:r w:rsidR="00925442">
        <w:rPr>
          <w:rFonts w:ascii="Arial" w:hAnsi="Arial" w:cs="Arial"/>
          <w:lang w:eastAsia="en-GB"/>
        </w:rPr>
        <w:t xml:space="preserve"> officer</w:t>
      </w:r>
      <w:r w:rsidR="001666C9" w:rsidRPr="001666C9">
        <w:rPr>
          <w:rFonts w:ascii="Arial" w:hAnsi="Arial" w:cs="Arial"/>
          <w:lang w:eastAsia="en-GB"/>
        </w:rPr>
        <w:t xml:space="preserve"> capacity to deliver against both.</w:t>
      </w:r>
    </w:p>
    <w:p w14:paraId="24DB226C" w14:textId="77777777" w:rsidR="009709E3" w:rsidRDefault="009709E3" w:rsidP="001A713C">
      <w:pPr>
        <w:autoSpaceDE w:val="0"/>
        <w:autoSpaceDN w:val="0"/>
        <w:adjustRightInd w:val="0"/>
        <w:jc w:val="both"/>
        <w:rPr>
          <w:rFonts w:ascii="Arial" w:hAnsi="Arial" w:cs="Arial"/>
          <w:highlight w:val="yellow"/>
        </w:rPr>
      </w:pPr>
    </w:p>
    <w:p w14:paraId="58666C90" w14:textId="4701C328" w:rsidR="000B3183" w:rsidRPr="007617FB" w:rsidRDefault="00305D2A" w:rsidP="001A713C">
      <w:pPr>
        <w:autoSpaceDE w:val="0"/>
        <w:autoSpaceDN w:val="0"/>
        <w:adjustRightInd w:val="0"/>
        <w:jc w:val="both"/>
        <w:rPr>
          <w:rFonts w:ascii="Arial" w:hAnsi="Arial" w:cs="Arial"/>
        </w:rPr>
      </w:pPr>
      <w:r w:rsidRPr="007617FB">
        <w:rPr>
          <w:rFonts w:ascii="Arial" w:hAnsi="Arial" w:cs="Arial"/>
        </w:rPr>
        <w:t xml:space="preserve">Reflecting </w:t>
      </w:r>
      <w:r w:rsidR="001666C9" w:rsidRPr="007617FB">
        <w:rPr>
          <w:rFonts w:ascii="Arial" w:hAnsi="Arial" w:cs="Arial"/>
        </w:rPr>
        <w:t xml:space="preserve">on this current position, work will now be undertaken to review the projects </w:t>
      </w:r>
      <w:r w:rsidR="004304E7" w:rsidRPr="007617FB">
        <w:rPr>
          <w:rFonts w:ascii="Arial" w:hAnsi="Arial" w:cs="Arial"/>
        </w:rPr>
        <w:t xml:space="preserve">and activities in the initial action plans and </w:t>
      </w:r>
      <w:r w:rsidR="00B029E5" w:rsidRPr="007617FB">
        <w:rPr>
          <w:rFonts w:ascii="Arial" w:hAnsi="Arial" w:cs="Arial"/>
        </w:rPr>
        <w:t xml:space="preserve">evaluate </w:t>
      </w:r>
      <w:r w:rsidR="00E91688" w:rsidRPr="007617FB">
        <w:rPr>
          <w:rFonts w:ascii="Arial" w:hAnsi="Arial" w:cs="Arial"/>
        </w:rPr>
        <w:t xml:space="preserve">whether this still remain relevant </w:t>
      </w:r>
      <w:r w:rsidR="00CF248A" w:rsidRPr="007617FB">
        <w:rPr>
          <w:rFonts w:ascii="Arial" w:hAnsi="Arial" w:cs="Arial"/>
        </w:rPr>
        <w:t>and</w:t>
      </w:r>
      <w:r w:rsidR="002B3229" w:rsidRPr="007617FB">
        <w:rPr>
          <w:rFonts w:ascii="Arial" w:hAnsi="Arial" w:cs="Arial"/>
        </w:rPr>
        <w:t xml:space="preserve"> whether there are any new </w:t>
      </w:r>
      <w:r w:rsidR="00326236" w:rsidRPr="007617FB">
        <w:rPr>
          <w:rFonts w:ascii="Arial" w:hAnsi="Arial" w:cs="Arial"/>
        </w:rPr>
        <w:t xml:space="preserve">projects and actions that are </w:t>
      </w:r>
      <w:r w:rsidR="00A7319B" w:rsidRPr="007617FB">
        <w:rPr>
          <w:rFonts w:ascii="Arial" w:hAnsi="Arial" w:cs="Arial"/>
        </w:rPr>
        <w:t>required.</w:t>
      </w:r>
      <w:r w:rsidR="00011BEC" w:rsidRPr="007617FB">
        <w:rPr>
          <w:rFonts w:ascii="Arial" w:hAnsi="Arial" w:cs="Arial"/>
        </w:rPr>
        <w:t xml:space="preserve">  This work will be undertaken in early 2026 and will guide the allocation of resources </w:t>
      </w:r>
      <w:r w:rsidR="007617FB" w:rsidRPr="007617FB">
        <w:rPr>
          <w:rFonts w:ascii="Arial" w:hAnsi="Arial" w:cs="Arial"/>
        </w:rPr>
        <w:t xml:space="preserve">for the </w:t>
      </w:r>
      <w:r w:rsidR="00EE7571">
        <w:rPr>
          <w:rFonts w:ascii="Arial" w:hAnsi="Arial" w:cs="Arial"/>
        </w:rPr>
        <w:t>two</w:t>
      </w:r>
      <w:r w:rsidR="00BC6D7C">
        <w:rPr>
          <w:rFonts w:ascii="Arial" w:hAnsi="Arial" w:cs="Arial"/>
        </w:rPr>
        <w:t xml:space="preserve"> year period to </w:t>
      </w:r>
      <w:r w:rsidR="00EE7571">
        <w:rPr>
          <w:rFonts w:ascii="Arial" w:hAnsi="Arial" w:cs="Arial"/>
        </w:rPr>
        <w:t>March 20</w:t>
      </w:r>
      <w:r w:rsidR="00BC6D7C">
        <w:rPr>
          <w:rFonts w:ascii="Arial" w:hAnsi="Arial" w:cs="Arial"/>
        </w:rPr>
        <w:t>28</w:t>
      </w:r>
      <w:r w:rsidR="007617FB" w:rsidRPr="007617FB">
        <w:rPr>
          <w:rFonts w:ascii="Arial" w:hAnsi="Arial" w:cs="Arial"/>
        </w:rPr>
        <w:t>.</w:t>
      </w:r>
    </w:p>
    <w:p w14:paraId="31313C40" w14:textId="77777777" w:rsidR="000B3183" w:rsidRDefault="000B3183" w:rsidP="001A713C">
      <w:pPr>
        <w:autoSpaceDE w:val="0"/>
        <w:autoSpaceDN w:val="0"/>
        <w:adjustRightInd w:val="0"/>
        <w:jc w:val="both"/>
        <w:rPr>
          <w:rFonts w:ascii="Arial" w:hAnsi="Arial" w:cs="Arial"/>
          <w:highlight w:val="yellow"/>
        </w:rPr>
      </w:pPr>
    </w:p>
    <w:p w14:paraId="1C9743C4" w14:textId="5F13DDB5" w:rsidR="001A713C" w:rsidRPr="004A59E7" w:rsidRDefault="001F42D4" w:rsidP="001A713C">
      <w:pPr>
        <w:autoSpaceDE w:val="0"/>
        <w:autoSpaceDN w:val="0"/>
        <w:adjustRightInd w:val="0"/>
        <w:jc w:val="both"/>
        <w:rPr>
          <w:rFonts w:ascii="Arial" w:hAnsi="Arial" w:cs="Arial"/>
          <w:color w:val="000000"/>
          <w:lang w:eastAsia="en-GB"/>
        </w:rPr>
      </w:pPr>
      <w:r w:rsidRPr="004A59E7">
        <w:rPr>
          <w:rFonts w:ascii="Arial" w:hAnsi="Arial" w:cs="Arial"/>
          <w:lang w:eastAsia="en-GB"/>
        </w:rPr>
        <w:t>Despite the improvement in the Council’s financial position, it</w:t>
      </w:r>
      <w:r w:rsidR="00494657" w:rsidRPr="004A59E7">
        <w:rPr>
          <w:rFonts w:ascii="Arial" w:hAnsi="Arial" w:cs="Arial"/>
          <w:lang w:eastAsia="en-GB"/>
        </w:rPr>
        <w:t xml:space="preserve"> cannot achieve </w:t>
      </w:r>
      <w:r w:rsidR="00692EDF" w:rsidRPr="004A59E7">
        <w:rPr>
          <w:rFonts w:ascii="Arial" w:hAnsi="Arial" w:cs="Arial"/>
          <w:lang w:eastAsia="en-GB"/>
        </w:rPr>
        <w:t>it’s</w:t>
      </w:r>
      <w:r w:rsidR="00494657" w:rsidRPr="004A59E7">
        <w:rPr>
          <w:rFonts w:ascii="Arial" w:hAnsi="Arial" w:cs="Arial"/>
          <w:lang w:eastAsia="en-GB"/>
        </w:rPr>
        <w:t xml:space="preserve"> vision alone</w:t>
      </w:r>
      <w:r w:rsidR="00692EDF" w:rsidRPr="004A59E7">
        <w:rPr>
          <w:rFonts w:ascii="Arial" w:hAnsi="Arial" w:cs="Arial"/>
          <w:lang w:eastAsia="en-GB"/>
        </w:rPr>
        <w:t>, s</w:t>
      </w:r>
      <w:r w:rsidR="00494657" w:rsidRPr="004A59E7">
        <w:rPr>
          <w:rFonts w:ascii="Arial" w:hAnsi="Arial" w:cs="Arial"/>
          <w:lang w:eastAsia="en-GB"/>
        </w:rPr>
        <w:t>uccess requires strong partnerships, shared commitments, and collective determination to ensure Lincoln continues to be a city that works for everyone</w:t>
      </w:r>
      <w:r w:rsidR="00692EDF" w:rsidRPr="004A59E7">
        <w:rPr>
          <w:rFonts w:ascii="Arial" w:hAnsi="Arial" w:cs="Arial"/>
          <w:lang w:eastAsia="en-GB"/>
        </w:rPr>
        <w:t>.</w:t>
      </w:r>
      <w:r w:rsidR="00494657" w:rsidRPr="004A59E7">
        <w:rPr>
          <w:rFonts w:ascii="Arial" w:hAnsi="Arial" w:cs="Arial"/>
          <w:lang w:eastAsia="en-GB"/>
        </w:rPr>
        <w:t xml:space="preserve"> </w:t>
      </w:r>
      <w:r w:rsidR="001A713C" w:rsidRPr="004A59E7">
        <w:rPr>
          <w:rFonts w:ascii="Arial" w:hAnsi="Arial" w:cs="Arial"/>
          <w:lang w:eastAsia="en-GB"/>
        </w:rPr>
        <w:t>K</w:t>
      </w:r>
      <w:r w:rsidR="001A713C" w:rsidRPr="004A59E7">
        <w:rPr>
          <w:rFonts w:ascii="Arial" w:hAnsi="Arial" w:cs="Arial"/>
          <w:color w:val="000000"/>
          <w:lang w:eastAsia="en-GB"/>
        </w:rPr>
        <w:t xml:space="preserve">ey to delivery of a </w:t>
      </w:r>
      <w:r w:rsidR="00040B56" w:rsidRPr="004A59E7">
        <w:rPr>
          <w:rFonts w:ascii="Arial" w:hAnsi="Arial" w:cs="Arial"/>
          <w:color w:val="000000"/>
          <w:lang w:eastAsia="en-GB"/>
        </w:rPr>
        <w:t>Vision 2030</w:t>
      </w:r>
      <w:r w:rsidR="001A713C" w:rsidRPr="004A59E7">
        <w:rPr>
          <w:rFonts w:ascii="Arial" w:hAnsi="Arial" w:cs="Arial"/>
          <w:color w:val="000000"/>
          <w:lang w:eastAsia="en-GB"/>
        </w:rPr>
        <w:t xml:space="preserve"> </w:t>
      </w:r>
      <w:r w:rsidR="00040B56" w:rsidRPr="004A59E7">
        <w:rPr>
          <w:rFonts w:ascii="Arial" w:hAnsi="Arial" w:cs="Arial"/>
          <w:color w:val="000000"/>
          <w:lang w:eastAsia="en-GB"/>
        </w:rPr>
        <w:t>is</w:t>
      </w:r>
      <w:r w:rsidR="001A713C" w:rsidRPr="004A59E7">
        <w:rPr>
          <w:rFonts w:ascii="Arial" w:hAnsi="Arial" w:cs="Arial"/>
          <w:color w:val="000000"/>
          <w:lang w:eastAsia="en-GB"/>
        </w:rPr>
        <w:t xml:space="preserve"> the ability to continue to attract external funding, work in partnership with others and </w:t>
      </w:r>
      <w:r w:rsidR="00647CEC" w:rsidRPr="004A59E7">
        <w:rPr>
          <w:rFonts w:ascii="Arial" w:hAnsi="Arial" w:cs="Arial"/>
          <w:color w:val="000000"/>
          <w:lang w:eastAsia="en-GB"/>
        </w:rPr>
        <w:t xml:space="preserve">effective and efficient use of internal </w:t>
      </w:r>
      <w:r w:rsidR="001A713C" w:rsidRPr="004A59E7">
        <w:rPr>
          <w:rFonts w:ascii="Arial" w:hAnsi="Arial" w:cs="Arial"/>
          <w:color w:val="000000"/>
          <w:lang w:eastAsia="en-GB"/>
        </w:rPr>
        <w:t>resources.</w:t>
      </w:r>
      <w:r w:rsidR="001A713C" w:rsidRPr="004A59E7">
        <w:rPr>
          <w:rFonts w:ascii="Arial" w:hAnsi="Arial" w:cs="Arial"/>
          <w:lang w:eastAsia="en-GB"/>
        </w:rPr>
        <w:t xml:space="preserve"> These internal resources will be available in the form of; </w:t>
      </w:r>
      <w:r w:rsidR="001E7CA7" w:rsidRPr="004A59E7">
        <w:rPr>
          <w:rFonts w:ascii="Arial" w:hAnsi="Arial" w:cs="Arial"/>
          <w:lang w:eastAsia="en-GB"/>
        </w:rPr>
        <w:t xml:space="preserve">additional resources </w:t>
      </w:r>
      <w:r w:rsidR="00D17353" w:rsidRPr="004A59E7">
        <w:rPr>
          <w:rFonts w:ascii="Arial" w:hAnsi="Arial" w:cs="Arial"/>
          <w:lang w:eastAsia="en-GB"/>
        </w:rPr>
        <w:t>allocated through the FFR</w:t>
      </w:r>
      <w:r w:rsidR="001A713C" w:rsidRPr="004A59E7">
        <w:rPr>
          <w:rFonts w:ascii="Arial" w:hAnsi="Arial" w:cs="Arial"/>
          <w:lang w:eastAsia="en-GB"/>
        </w:rPr>
        <w:t xml:space="preserve">, through earmarked reserves, borrowing capacity, from capital budgets set aside and from unallocated capital receipts. The attraction of external grants </w:t>
      </w:r>
      <w:r w:rsidR="004A59E7">
        <w:rPr>
          <w:rFonts w:ascii="Arial" w:hAnsi="Arial" w:cs="Arial"/>
          <w:lang w:eastAsia="en-GB"/>
        </w:rPr>
        <w:t xml:space="preserve">still </w:t>
      </w:r>
      <w:r w:rsidR="001A713C" w:rsidRPr="004A59E7">
        <w:rPr>
          <w:rFonts w:ascii="Arial" w:hAnsi="Arial" w:cs="Arial"/>
          <w:lang w:eastAsia="en-GB"/>
        </w:rPr>
        <w:t>remains a critical element of the Council’s Vision and plans.</w:t>
      </w:r>
      <w:r w:rsidR="00494657" w:rsidRPr="004A59E7">
        <w:rPr>
          <w:rFonts w:ascii="Arial" w:hAnsi="Arial" w:cs="Arial"/>
          <w:lang w:eastAsia="en-GB"/>
        </w:rPr>
        <w:t xml:space="preserve"> </w:t>
      </w:r>
    </w:p>
    <w:p w14:paraId="31BD9098" w14:textId="77777777" w:rsidR="00435712" w:rsidRPr="002B41B0" w:rsidRDefault="00435712" w:rsidP="002D150D">
      <w:pPr>
        <w:jc w:val="both"/>
        <w:rPr>
          <w:rFonts w:ascii="Arial" w:hAnsi="Arial" w:cs="Arial"/>
          <w:highlight w:val="yellow"/>
        </w:rPr>
      </w:pPr>
    </w:p>
    <w:p w14:paraId="284DEB20" w14:textId="3171579C" w:rsidR="00435712" w:rsidRPr="00B60C2C" w:rsidRDefault="00435712" w:rsidP="00435712">
      <w:pPr>
        <w:pStyle w:val="Heading5"/>
        <w:rPr>
          <w:b w:val="0"/>
          <w:i/>
          <w:color w:val="auto"/>
          <w:sz w:val="24"/>
        </w:rPr>
      </w:pPr>
      <w:r w:rsidRPr="00B60C2C">
        <w:rPr>
          <w:b w:val="0"/>
          <w:color w:val="auto"/>
          <w:sz w:val="24"/>
        </w:rPr>
        <w:t xml:space="preserve">Despite the </w:t>
      </w:r>
      <w:r w:rsidR="004E43F9" w:rsidRPr="00B60C2C">
        <w:rPr>
          <w:b w:val="0"/>
          <w:color w:val="auto"/>
          <w:sz w:val="24"/>
        </w:rPr>
        <w:t>potential for changes</w:t>
      </w:r>
      <w:r w:rsidRPr="00B60C2C">
        <w:rPr>
          <w:b w:val="0"/>
          <w:color w:val="auto"/>
          <w:sz w:val="24"/>
        </w:rPr>
        <w:t xml:space="preserve"> to the </w:t>
      </w:r>
      <w:r w:rsidR="00457700" w:rsidRPr="00B60C2C">
        <w:rPr>
          <w:b w:val="0"/>
          <w:color w:val="auto"/>
          <w:sz w:val="24"/>
        </w:rPr>
        <w:t>local government structures in Greater Lincolnshire, the Council</w:t>
      </w:r>
      <w:r w:rsidRPr="00B60C2C">
        <w:rPr>
          <w:b w:val="0"/>
          <w:color w:val="auto"/>
          <w:sz w:val="24"/>
        </w:rPr>
        <w:t xml:space="preserve"> remains committed to seeking to deliver against it’s strategic priorities and </w:t>
      </w:r>
      <w:r w:rsidR="00457700" w:rsidRPr="00B60C2C">
        <w:rPr>
          <w:b w:val="0"/>
          <w:color w:val="auto"/>
          <w:sz w:val="24"/>
        </w:rPr>
        <w:t>Vision 2030</w:t>
      </w:r>
      <w:r w:rsidRPr="00B60C2C">
        <w:rPr>
          <w:b w:val="0"/>
          <w:color w:val="auto"/>
          <w:sz w:val="24"/>
        </w:rPr>
        <w:t>.</w:t>
      </w:r>
    </w:p>
    <w:p w14:paraId="45DFE084" w14:textId="77777777" w:rsidR="00850920" w:rsidRPr="002B41B0" w:rsidRDefault="00850920" w:rsidP="002D150D">
      <w:pPr>
        <w:jc w:val="both"/>
        <w:rPr>
          <w:rFonts w:ascii="Arial" w:hAnsi="Arial" w:cs="Arial"/>
          <w:highlight w:val="yellow"/>
          <w:lang w:eastAsia="en-GB"/>
        </w:rPr>
      </w:pPr>
    </w:p>
    <w:p w14:paraId="0CF212F0" w14:textId="0ECBA816" w:rsidR="003E5BF2" w:rsidRPr="002B41B0" w:rsidRDefault="003E5BF2" w:rsidP="001D191B">
      <w:pPr>
        <w:pStyle w:val="Heading5"/>
        <w:rPr>
          <w:b w:val="0"/>
          <w:bCs w:val="0"/>
          <w:color w:val="auto"/>
          <w:sz w:val="24"/>
          <w:highlight w:val="yellow"/>
          <w:lang w:eastAsia="en-GB"/>
        </w:rPr>
      </w:pPr>
    </w:p>
    <w:p w14:paraId="49730D25" w14:textId="20142B29" w:rsidR="00384776" w:rsidRPr="0084597C" w:rsidRDefault="000A6277" w:rsidP="001B2415">
      <w:pPr>
        <w:pStyle w:val="Heading5"/>
        <w:ind w:left="0"/>
        <w:rPr>
          <w:b w:val="0"/>
          <w:color w:val="C45911"/>
          <w:sz w:val="32"/>
        </w:rPr>
      </w:pPr>
      <w:r w:rsidRPr="002B41B0">
        <w:rPr>
          <w:highlight w:val="yellow"/>
        </w:rPr>
        <w:br w:type="page"/>
      </w:r>
      <w:r w:rsidR="00384776" w:rsidRPr="0084597C">
        <w:rPr>
          <w:color w:val="C45911"/>
          <w:sz w:val="32"/>
          <w:szCs w:val="32"/>
        </w:rPr>
        <w:t xml:space="preserve">Section </w:t>
      </w:r>
      <w:r w:rsidR="002D0A4E" w:rsidRPr="0084597C">
        <w:rPr>
          <w:color w:val="C45911"/>
          <w:sz w:val="32"/>
          <w:szCs w:val="32"/>
        </w:rPr>
        <w:t>3</w:t>
      </w:r>
      <w:r w:rsidR="00384776" w:rsidRPr="0084597C">
        <w:rPr>
          <w:color w:val="C45911"/>
          <w:sz w:val="32"/>
          <w:szCs w:val="32"/>
        </w:rPr>
        <w:t xml:space="preserve"> </w:t>
      </w:r>
      <w:r w:rsidR="008740DF" w:rsidRPr="0084597C">
        <w:rPr>
          <w:color w:val="C45911"/>
          <w:sz w:val="32"/>
          <w:szCs w:val="32"/>
        </w:rPr>
        <w:t>–</w:t>
      </w:r>
      <w:r w:rsidR="00384776" w:rsidRPr="0084597C">
        <w:rPr>
          <w:color w:val="C45911"/>
          <w:sz w:val="32"/>
        </w:rPr>
        <w:t xml:space="preserve"> Revenue</w:t>
      </w:r>
      <w:r w:rsidR="008740DF" w:rsidRPr="0084597C">
        <w:rPr>
          <w:color w:val="C45911"/>
          <w:sz w:val="32"/>
        </w:rPr>
        <w:t xml:space="preserve"> (General Fund)</w:t>
      </w:r>
    </w:p>
    <w:p w14:paraId="5DCC15BD" w14:textId="77777777" w:rsidR="00384776" w:rsidRPr="0084597C" w:rsidRDefault="00384776">
      <w:pPr>
        <w:jc w:val="both"/>
        <w:rPr>
          <w:rFonts w:ascii="Arial" w:hAnsi="Arial" w:cs="Arial"/>
          <w:b/>
          <w:color w:val="C45911"/>
          <w:sz w:val="28"/>
          <w:szCs w:val="28"/>
        </w:rPr>
      </w:pPr>
    </w:p>
    <w:p w14:paraId="796AD091" w14:textId="66DE33FE" w:rsidR="00F314C1" w:rsidRPr="0084597C" w:rsidRDefault="00FB6C72">
      <w:pPr>
        <w:jc w:val="both"/>
      </w:pPr>
      <w:r w:rsidRPr="0084597C">
        <w:rPr>
          <w:rFonts w:ascii="Arial" w:hAnsi="Arial" w:cs="Arial"/>
          <w:b/>
          <w:color w:val="C45911"/>
          <w:sz w:val="28"/>
          <w:szCs w:val="28"/>
        </w:rPr>
        <w:t>Spend</w:t>
      </w:r>
      <w:r w:rsidR="00C95BE7" w:rsidRPr="0084597C">
        <w:rPr>
          <w:rFonts w:ascii="Arial" w:hAnsi="Arial" w:cs="Arial"/>
          <w:b/>
          <w:color w:val="C45911"/>
          <w:sz w:val="28"/>
          <w:szCs w:val="28"/>
        </w:rPr>
        <w:t>ing Pressures</w:t>
      </w:r>
    </w:p>
    <w:p w14:paraId="11D053DF" w14:textId="77777777" w:rsidR="00F314C1" w:rsidRPr="002B41B0" w:rsidRDefault="00F314C1">
      <w:pPr>
        <w:jc w:val="both"/>
        <w:rPr>
          <w:rFonts w:ascii="Arial" w:hAnsi="Arial" w:cs="Arial"/>
          <w:highlight w:val="yellow"/>
        </w:rPr>
      </w:pPr>
    </w:p>
    <w:p w14:paraId="00007922" w14:textId="6133359D" w:rsidR="00270EF0" w:rsidRPr="00C238B6" w:rsidRDefault="00995047" w:rsidP="00270EF0">
      <w:pPr>
        <w:autoSpaceDE w:val="0"/>
        <w:autoSpaceDN w:val="0"/>
        <w:adjustRightInd w:val="0"/>
        <w:jc w:val="both"/>
        <w:rPr>
          <w:rFonts w:ascii="Arial" w:hAnsi="Arial" w:cs="Arial"/>
        </w:rPr>
      </w:pPr>
      <w:r w:rsidRPr="00C238B6">
        <w:rPr>
          <w:rFonts w:ascii="Arial" w:hAnsi="Arial" w:cs="Arial"/>
        </w:rPr>
        <w:t>Local Authorities</w:t>
      </w:r>
      <w:r w:rsidR="00C35263" w:rsidRPr="00C238B6">
        <w:rPr>
          <w:rFonts w:ascii="Arial" w:hAnsi="Arial" w:cs="Arial"/>
        </w:rPr>
        <w:t xml:space="preserve"> continue to face cost</w:t>
      </w:r>
      <w:r w:rsidR="00237BE0" w:rsidRPr="00C238B6">
        <w:rPr>
          <w:rFonts w:ascii="Arial" w:hAnsi="Arial" w:cs="Arial"/>
        </w:rPr>
        <w:t xml:space="preserve"> and</w:t>
      </w:r>
      <w:r w:rsidR="00B54B06" w:rsidRPr="00C238B6">
        <w:rPr>
          <w:rFonts w:ascii="Arial" w:hAnsi="Arial" w:cs="Arial"/>
        </w:rPr>
        <w:t xml:space="preserve"> </w:t>
      </w:r>
      <w:r w:rsidR="00C35263" w:rsidRPr="00C238B6">
        <w:rPr>
          <w:rFonts w:ascii="Arial" w:hAnsi="Arial" w:cs="Arial"/>
        </w:rPr>
        <w:t>demand</w:t>
      </w:r>
      <w:r w:rsidR="00B54B06" w:rsidRPr="00C238B6">
        <w:rPr>
          <w:rFonts w:ascii="Arial" w:hAnsi="Arial" w:cs="Arial"/>
        </w:rPr>
        <w:t xml:space="preserve"> </w:t>
      </w:r>
      <w:r w:rsidR="00C35263" w:rsidRPr="00C238B6">
        <w:rPr>
          <w:rFonts w:ascii="Arial" w:hAnsi="Arial" w:cs="Arial"/>
        </w:rPr>
        <w:t>pressures, along with pressures on income streams</w:t>
      </w:r>
      <w:r w:rsidR="00237BE0" w:rsidRPr="00C238B6">
        <w:rPr>
          <w:rFonts w:ascii="Arial" w:hAnsi="Arial" w:cs="Arial"/>
        </w:rPr>
        <w:t xml:space="preserve"> and new statutory requirements</w:t>
      </w:r>
      <w:r w:rsidR="00C35263" w:rsidRPr="00C238B6">
        <w:rPr>
          <w:rFonts w:ascii="Arial" w:hAnsi="Arial" w:cs="Arial"/>
        </w:rPr>
        <w:t xml:space="preserve">.  The Council’s own financial position is no different to this; inflation, pay awards, </w:t>
      </w:r>
      <w:r w:rsidR="001E74BC" w:rsidRPr="00C238B6">
        <w:rPr>
          <w:rFonts w:ascii="Arial" w:hAnsi="Arial" w:cs="Arial"/>
        </w:rPr>
        <w:t xml:space="preserve">national insurance contribution increases, </w:t>
      </w:r>
      <w:r w:rsidR="00C35263" w:rsidRPr="00C238B6">
        <w:rPr>
          <w:rFonts w:ascii="Arial" w:hAnsi="Arial" w:cs="Arial"/>
        </w:rPr>
        <w:t>maintenance and construction costs, borrowing costs and reductions in local income streams all have a significant impact on the Council’s cost base.  In addition, the Council continues to see increased demand for services, by those who rely on the safety net provided by local government, driven in part by the cost-of-living crisis and housing shortfall</w:t>
      </w:r>
      <w:r w:rsidR="00270EF0" w:rsidRPr="00C238B6">
        <w:rPr>
          <w:rFonts w:ascii="Arial" w:hAnsi="Arial" w:cs="Arial"/>
        </w:rPr>
        <w:t>.</w:t>
      </w:r>
      <w:r w:rsidR="00C31646" w:rsidRPr="00C238B6">
        <w:rPr>
          <w:rFonts w:ascii="Arial" w:hAnsi="Arial" w:cs="Arial"/>
        </w:rPr>
        <w:t xml:space="preserve"> </w:t>
      </w:r>
      <w:r w:rsidR="00270EF0" w:rsidRPr="00C238B6">
        <w:rPr>
          <w:rFonts w:ascii="Arial" w:hAnsi="Arial" w:cs="Arial"/>
        </w:rPr>
        <w:t>Due to Lincoln’s specific set of local socio-economic factors this places a greater demand on key services and resource allocation than in most other places.</w:t>
      </w:r>
      <w:r w:rsidR="00C21A73" w:rsidRPr="00C238B6">
        <w:rPr>
          <w:rFonts w:ascii="Arial" w:hAnsi="Arial" w:cs="Arial"/>
        </w:rPr>
        <w:t xml:space="preserve">  </w:t>
      </w:r>
    </w:p>
    <w:p w14:paraId="311150B3" w14:textId="77777777" w:rsidR="00270EF0" w:rsidRPr="002B41B0" w:rsidRDefault="00270EF0" w:rsidP="00C35263">
      <w:pPr>
        <w:jc w:val="both"/>
        <w:rPr>
          <w:rFonts w:ascii="Arial" w:hAnsi="Arial" w:cs="Arial"/>
          <w:highlight w:val="yellow"/>
        </w:rPr>
      </w:pPr>
    </w:p>
    <w:p w14:paraId="6FB2056B" w14:textId="5C172DC4" w:rsidR="00A02E8F" w:rsidRPr="00C238B6" w:rsidRDefault="00A02E8F" w:rsidP="00A02E8F">
      <w:pPr>
        <w:jc w:val="both"/>
        <w:rPr>
          <w:rFonts w:ascii="Arial" w:hAnsi="Arial" w:cs="Arial"/>
        </w:rPr>
      </w:pPr>
      <w:r>
        <w:rPr>
          <w:rFonts w:ascii="Arial" w:hAnsi="Arial" w:cs="Arial"/>
        </w:rPr>
        <w:t xml:space="preserve">These </w:t>
      </w:r>
      <w:r w:rsidRPr="00C238B6">
        <w:rPr>
          <w:rFonts w:ascii="Arial" w:hAnsi="Arial" w:cs="Arial"/>
        </w:rPr>
        <w:t>escalating cost, demand and income pressures have arisen across a number of key areas</w:t>
      </w:r>
      <w:r w:rsidR="00237BE0" w:rsidRPr="00C238B6">
        <w:rPr>
          <w:rFonts w:ascii="Arial" w:hAnsi="Arial" w:cs="Arial"/>
        </w:rPr>
        <w:t>:</w:t>
      </w:r>
    </w:p>
    <w:p w14:paraId="1B86DF05" w14:textId="77777777" w:rsidR="00A02E8F" w:rsidRPr="002B41B0" w:rsidRDefault="00A02E8F" w:rsidP="00A02E8F">
      <w:pPr>
        <w:pStyle w:val="ListParagraph"/>
        <w:jc w:val="both"/>
        <w:rPr>
          <w:rFonts w:ascii="Arial" w:hAnsi="Arial" w:cs="Arial"/>
          <w:sz w:val="24"/>
          <w:szCs w:val="24"/>
          <w:highlight w:val="yellow"/>
        </w:rPr>
      </w:pPr>
    </w:p>
    <w:p w14:paraId="48007055" w14:textId="4B976D63" w:rsidR="00546268" w:rsidRPr="00A61019" w:rsidRDefault="0051584C" w:rsidP="00CF25BB">
      <w:pPr>
        <w:pStyle w:val="ListParagraph"/>
        <w:numPr>
          <w:ilvl w:val="0"/>
          <w:numId w:val="32"/>
        </w:numPr>
        <w:spacing w:after="0" w:line="240" w:lineRule="auto"/>
        <w:jc w:val="both"/>
        <w:rPr>
          <w:rFonts w:ascii="Arial" w:hAnsi="Arial" w:cs="Arial"/>
          <w:sz w:val="24"/>
          <w:szCs w:val="24"/>
        </w:rPr>
      </w:pPr>
      <w:r w:rsidRPr="00A61019">
        <w:rPr>
          <w:rFonts w:ascii="Arial" w:hAnsi="Arial" w:cs="Arial"/>
          <w:sz w:val="24"/>
          <w:szCs w:val="24"/>
        </w:rPr>
        <w:t>Cost inflation</w:t>
      </w:r>
      <w:r w:rsidR="008C7371" w:rsidRPr="00A61019">
        <w:rPr>
          <w:rFonts w:ascii="Arial" w:hAnsi="Arial" w:cs="Arial"/>
          <w:sz w:val="24"/>
          <w:szCs w:val="24"/>
        </w:rPr>
        <w:t xml:space="preserve"> and contractual commitments</w:t>
      </w:r>
      <w:r w:rsidRPr="00A61019">
        <w:rPr>
          <w:rFonts w:ascii="Arial" w:hAnsi="Arial" w:cs="Arial"/>
          <w:sz w:val="24"/>
          <w:szCs w:val="24"/>
        </w:rPr>
        <w:t>: the prolonged period of high price inflation</w:t>
      </w:r>
      <w:r w:rsidR="008601C4" w:rsidRPr="00A61019">
        <w:rPr>
          <w:rFonts w:ascii="Arial" w:hAnsi="Arial" w:cs="Arial"/>
          <w:sz w:val="24"/>
          <w:szCs w:val="24"/>
        </w:rPr>
        <w:t xml:space="preserve"> has </w:t>
      </w:r>
      <w:r w:rsidR="00546268" w:rsidRPr="00A61019">
        <w:rPr>
          <w:rFonts w:ascii="Arial" w:hAnsi="Arial" w:cs="Arial"/>
          <w:sz w:val="24"/>
          <w:szCs w:val="24"/>
        </w:rPr>
        <w:t>driv</w:t>
      </w:r>
      <w:r w:rsidR="008601C4" w:rsidRPr="00A61019">
        <w:rPr>
          <w:rFonts w:ascii="Arial" w:hAnsi="Arial" w:cs="Arial"/>
          <w:sz w:val="24"/>
          <w:szCs w:val="24"/>
        </w:rPr>
        <w:t>en</w:t>
      </w:r>
      <w:r w:rsidR="00546268" w:rsidRPr="00A61019">
        <w:rPr>
          <w:rFonts w:ascii="Arial" w:hAnsi="Arial" w:cs="Arial"/>
          <w:sz w:val="24"/>
          <w:szCs w:val="24"/>
        </w:rPr>
        <w:t xml:space="preserve"> up</w:t>
      </w:r>
      <w:r w:rsidR="00C966B8" w:rsidRPr="00A61019">
        <w:rPr>
          <w:rFonts w:ascii="Arial" w:hAnsi="Arial" w:cs="Arial"/>
          <w:sz w:val="24"/>
          <w:szCs w:val="24"/>
        </w:rPr>
        <w:t xml:space="preserve"> the cost of contracts, utilities and materials</w:t>
      </w:r>
      <w:r w:rsidR="008601C4" w:rsidRPr="00A61019">
        <w:rPr>
          <w:rFonts w:ascii="Arial" w:hAnsi="Arial" w:cs="Arial"/>
          <w:sz w:val="24"/>
          <w:szCs w:val="24"/>
        </w:rPr>
        <w:t xml:space="preserve"> </w:t>
      </w:r>
      <w:r w:rsidR="0069214A" w:rsidRPr="00A61019">
        <w:rPr>
          <w:rFonts w:ascii="Arial" w:hAnsi="Arial" w:cs="Arial"/>
          <w:sz w:val="24"/>
          <w:szCs w:val="24"/>
        </w:rPr>
        <w:t>impact</w:t>
      </w:r>
      <w:r w:rsidR="00153A66">
        <w:rPr>
          <w:rFonts w:ascii="Arial" w:hAnsi="Arial" w:cs="Arial"/>
          <w:sz w:val="24"/>
          <w:szCs w:val="24"/>
        </w:rPr>
        <w:t>ing</w:t>
      </w:r>
      <w:r w:rsidR="0069214A" w:rsidRPr="00A61019">
        <w:rPr>
          <w:rFonts w:ascii="Arial" w:hAnsi="Arial" w:cs="Arial"/>
          <w:sz w:val="24"/>
          <w:szCs w:val="24"/>
        </w:rPr>
        <w:t xml:space="preserve"> on the cost of core services</w:t>
      </w:r>
      <w:r w:rsidR="001D456C" w:rsidRPr="00A61019">
        <w:rPr>
          <w:rFonts w:ascii="Arial" w:hAnsi="Arial" w:cs="Arial"/>
          <w:sz w:val="24"/>
          <w:szCs w:val="24"/>
        </w:rPr>
        <w:t xml:space="preserve">.  </w:t>
      </w:r>
      <w:r w:rsidR="0030750C" w:rsidRPr="00A61019">
        <w:rPr>
          <w:rFonts w:ascii="Arial" w:hAnsi="Arial" w:cs="Arial"/>
          <w:sz w:val="24"/>
          <w:szCs w:val="24"/>
        </w:rPr>
        <w:t xml:space="preserve"> </w:t>
      </w:r>
      <w:r w:rsidR="009749BC" w:rsidRPr="00A61019">
        <w:rPr>
          <w:rFonts w:ascii="Arial" w:hAnsi="Arial" w:cs="Arial"/>
          <w:sz w:val="24"/>
          <w:szCs w:val="24"/>
        </w:rPr>
        <w:t>A</w:t>
      </w:r>
      <w:r w:rsidR="001D456C" w:rsidRPr="00A61019">
        <w:rPr>
          <w:rFonts w:ascii="Arial" w:hAnsi="Arial" w:cs="Arial"/>
          <w:sz w:val="24"/>
          <w:szCs w:val="24"/>
        </w:rPr>
        <w:t xml:space="preserve"> number of </w:t>
      </w:r>
      <w:r w:rsidR="009749BC" w:rsidRPr="00A61019">
        <w:rPr>
          <w:rFonts w:ascii="Arial" w:hAnsi="Arial" w:cs="Arial"/>
          <w:sz w:val="24"/>
          <w:szCs w:val="24"/>
        </w:rPr>
        <w:t xml:space="preserve">the Council’s </w:t>
      </w:r>
      <w:r w:rsidR="001D456C" w:rsidRPr="00A61019">
        <w:rPr>
          <w:rFonts w:ascii="Arial" w:hAnsi="Arial" w:cs="Arial"/>
          <w:sz w:val="24"/>
          <w:szCs w:val="24"/>
        </w:rPr>
        <w:t xml:space="preserve">key front line services e.g. waste collection, street cleansing, grounds maintenance,  repairs and </w:t>
      </w:r>
      <w:r w:rsidR="006E3CE6" w:rsidRPr="00A61019">
        <w:rPr>
          <w:rFonts w:ascii="Arial" w:hAnsi="Arial" w:cs="Arial"/>
          <w:sz w:val="24"/>
          <w:szCs w:val="24"/>
        </w:rPr>
        <w:t>maintenance</w:t>
      </w:r>
      <w:r w:rsidR="001D456C" w:rsidRPr="00A61019">
        <w:rPr>
          <w:rFonts w:ascii="Arial" w:hAnsi="Arial" w:cs="Arial"/>
          <w:sz w:val="24"/>
          <w:szCs w:val="24"/>
        </w:rPr>
        <w:t> etc,</w:t>
      </w:r>
      <w:r w:rsidR="009749BC" w:rsidRPr="00A61019">
        <w:rPr>
          <w:rFonts w:ascii="Arial" w:hAnsi="Arial" w:cs="Arial"/>
          <w:sz w:val="24"/>
          <w:szCs w:val="24"/>
        </w:rPr>
        <w:t xml:space="preserve"> are contracted out and have been impacted</w:t>
      </w:r>
      <w:r w:rsidR="00636D4F" w:rsidRPr="00A61019">
        <w:rPr>
          <w:rFonts w:ascii="Arial" w:hAnsi="Arial" w:cs="Arial"/>
          <w:sz w:val="24"/>
          <w:szCs w:val="24"/>
        </w:rPr>
        <w:t xml:space="preserve"> by</w:t>
      </w:r>
      <w:r w:rsidR="001D456C" w:rsidRPr="00A61019">
        <w:rPr>
          <w:rFonts w:ascii="Arial" w:hAnsi="Arial" w:cs="Arial"/>
          <w:sz w:val="24"/>
          <w:szCs w:val="24"/>
        </w:rPr>
        <w:t xml:space="preserve"> annual contractual inflationary increases</w:t>
      </w:r>
      <w:r w:rsidR="00636D4F" w:rsidRPr="00A61019">
        <w:rPr>
          <w:rFonts w:ascii="Arial" w:hAnsi="Arial" w:cs="Arial"/>
          <w:sz w:val="24"/>
          <w:szCs w:val="24"/>
        </w:rPr>
        <w:t>.  In addition, following the expiry of the long term contracts for waste collection, st</w:t>
      </w:r>
      <w:r w:rsidR="00C013ED" w:rsidRPr="00A61019">
        <w:rPr>
          <w:rFonts w:ascii="Arial" w:hAnsi="Arial" w:cs="Arial"/>
          <w:sz w:val="24"/>
          <w:szCs w:val="24"/>
        </w:rPr>
        <w:t xml:space="preserve">reet cleansing and grounds maintenance, </w:t>
      </w:r>
      <w:r w:rsidR="003B5B08" w:rsidRPr="00A61019">
        <w:rPr>
          <w:rFonts w:ascii="Arial" w:hAnsi="Arial" w:cs="Arial"/>
          <w:sz w:val="24"/>
          <w:szCs w:val="24"/>
        </w:rPr>
        <w:t xml:space="preserve">these have been re-tendered with </w:t>
      </w:r>
      <w:r w:rsidR="00A61019" w:rsidRPr="00A61019">
        <w:rPr>
          <w:rFonts w:ascii="Arial" w:hAnsi="Arial" w:cs="Arial"/>
          <w:sz w:val="24"/>
          <w:szCs w:val="24"/>
        </w:rPr>
        <w:t>a net overall increase in service delivery costs.</w:t>
      </w:r>
    </w:p>
    <w:p w14:paraId="25F18519" w14:textId="77777777" w:rsidR="0051584C" w:rsidRPr="005E7949" w:rsidRDefault="0051584C" w:rsidP="00A61019">
      <w:pPr>
        <w:pStyle w:val="ListParagraph"/>
        <w:spacing w:after="0" w:line="240" w:lineRule="auto"/>
        <w:jc w:val="both"/>
        <w:rPr>
          <w:rFonts w:ascii="Arial" w:hAnsi="Arial" w:cs="Arial"/>
        </w:rPr>
      </w:pPr>
    </w:p>
    <w:p w14:paraId="2DC5B0EF" w14:textId="77777777" w:rsidR="0051584C" w:rsidRPr="009C4D1E" w:rsidRDefault="0051584C" w:rsidP="00CF25BB">
      <w:pPr>
        <w:pStyle w:val="ListParagraph"/>
        <w:numPr>
          <w:ilvl w:val="0"/>
          <w:numId w:val="32"/>
        </w:numPr>
        <w:spacing w:after="0" w:line="240" w:lineRule="auto"/>
        <w:jc w:val="both"/>
        <w:rPr>
          <w:rFonts w:ascii="Arial" w:hAnsi="Arial" w:cs="Arial"/>
          <w:sz w:val="24"/>
          <w:szCs w:val="24"/>
        </w:rPr>
      </w:pPr>
      <w:r w:rsidRPr="009C4D1E">
        <w:rPr>
          <w:rFonts w:ascii="Arial" w:hAnsi="Arial" w:cs="Arial"/>
          <w:sz w:val="24"/>
          <w:szCs w:val="24"/>
        </w:rPr>
        <w:t>Demand increases in temporary and supported (exempt) accommodation: cost-of-living pressures have increased demand for a range of council services and contributed to a higher demand for temporary accommodation. In addition, an increase in the number of supported (exempt) accommodations claims in non-housing association properties has significantly escalated the cost to the Council. For both temporary and supported accommodation, while the Council is able to reclaim an element of the costs through the housing subsidy system, a large proportion of this is not funded and is left for the Council to fund.</w:t>
      </w:r>
    </w:p>
    <w:p w14:paraId="14219559" w14:textId="77777777" w:rsidR="0051584C" w:rsidRPr="005E7949" w:rsidRDefault="0051584C" w:rsidP="0051584C">
      <w:pPr>
        <w:jc w:val="both"/>
        <w:rPr>
          <w:rFonts w:ascii="Arial" w:hAnsi="Arial" w:cs="Arial"/>
        </w:rPr>
      </w:pPr>
    </w:p>
    <w:p w14:paraId="676B269C" w14:textId="70864CA0" w:rsidR="0051584C" w:rsidRPr="009C4D1E" w:rsidRDefault="0051584C" w:rsidP="00CF25BB">
      <w:pPr>
        <w:pStyle w:val="ListParagraph"/>
        <w:numPr>
          <w:ilvl w:val="0"/>
          <w:numId w:val="32"/>
        </w:numPr>
        <w:spacing w:after="0" w:line="240" w:lineRule="auto"/>
        <w:jc w:val="both"/>
        <w:rPr>
          <w:rFonts w:ascii="Arial" w:hAnsi="Arial" w:cs="Arial"/>
          <w:sz w:val="24"/>
          <w:szCs w:val="24"/>
        </w:rPr>
      </w:pPr>
      <w:r w:rsidRPr="009C4D1E">
        <w:rPr>
          <w:rFonts w:ascii="Arial" w:hAnsi="Arial" w:cs="Arial"/>
          <w:sz w:val="24"/>
          <w:szCs w:val="24"/>
        </w:rPr>
        <w:t>Wage inflation: staff costs make up a significant percentage of council expenditure. Recent pay agreements, negotiated by the National Employers side, whilst recognising the below inflation pay increases of local government workers in recent years, has placed a significant additional burden on local authorities.  In addition, increases in Employer National Insurance contributions from April 2025 significantly increased the Council’s salary costs.  Although the Government provided grant funding to support councils</w:t>
      </w:r>
      <w:r>
        <w:rPr>
          <w:rFonts w:ascii="Arial" w:hAnsi="Arial" w:cs="Arial"/>
          <w:sz w:val="24"/>
          <w:szCs w:val="24"/>
        </w:rPr>
        <w:t xml:space="preserve"> </w:t>
      </w:r>
      <w:r w:rsidR="001B2C37">
        <w:rPr>
          <w:rFonts w:ascii="Arial" w:hAnsi="Arial" w:cs="Arial"/>
          <w:sz w:val="24"/>
          <w:szCs w:val="24"/>
        </w:rPr>
        <w:t xml:space="preserve">(which is now rolled into </w:t>
      </w:r>
      <w:r w:rsidR="00EB22E1">
        <w:rPr>
          <w:rFonts w:ascii="Arial" w:hAnsi="Arial" w:cs="Arial"/>
          <w:sz w:val="24"/>
          <w:szCs w:val="24"/>
        </w:rPr>
        <w:t>core funding)</w:t>
      </w:r>
      <w:r w:rsidRPr="009C4D1E">
        <w:rPr>
          <w:rFonts w:ascii="Arial" w:hAnsi="Arial" w:cs="Arial"/>
          <w:sz w:val="24"/>
          <w:szCs w:val="24"/>
        </w:rPr>
        <w:t xml:space="preserve"> with these extra additional costs, the funding was inadequate to meet the full costs.</w:t>
      </w:r>
    </w:p>
    <w:p w14:paraId="58A23E49" w14:textId="77777777" w:rsidR="00A02E8F" w:rsidRPr="005E7949" w:rsidRDefault="00A02E8F" w:rsidP="00A02E8F">
      <w:pPr>
        <w:jc w:val="both"/>
        <w:rPr>
          <w:rFonts w:ascii="Arial" w:hAnsi="Arial" w:cs="Arial"/>
        </w:rPr>
      </w:pPr>
    </w:p>
    <w:p w14:paraId="633C6E07" w14:textId="6D7CEB8E" w:rsidR="00A02E8F" w:rsidRPr="009C4D1E" w:rsidRDefault="008D33B2" w:rsidP="00CF25BB">
      <w:pPr>
        <w:pStyle w:val="ListParagraph"/>
        <w:numPr>
          <w:ilvl w:val="0"/>
          <w:numId w:val="32"/>
        </w:numPr>
        <w:spacing w:after="0" w:line="240" w:lineRule="auto"/>
        <w:jc w:val="both"/>
        <w:rPr>
          <w:rFonts w:ascii="Arial" w:hAnsi="Arial" w:cs="Arial"/>
          <w:sz w:val="24"/>
          <w:szCs w:val="24"/>
        </w:rPr>
      </w:pPr>
      <w:r>
        <w:rPr>
          <w:rFonts w:ascii="Arial" w:hAnsi="Arial" w:cs="Arial"/>
          <w:sz w:val="24"/>
          <w:szCs w:val="24"/>
        </w:rPr>
        <w:t>Volatile</w:t>
      </w:r>
      <w:r w:rsidR="00A02E8F">
        <w:rPr>
          <w:rFonts w:ascii="Arial" w:hAnsi="Arial" w:cs="Arial"/>
          <w:sz w:val="24"/>
          <w:szCs w:val="24"/>
        </w:rPr>
        <w:t xml:space="preserve"> income</w:t>
      </w:r>
      <w:r>
        <w:rPr>
          <w:rFonts w:ascii="Arial" w:hAnsi="Arial" w:cs="Arial"/>
          <w:sz w:val="24"/>
          <w:szCs w:val="24"/>
        </w:rPr>
        <w:t xml:space="preserve"> streams</w:t>
      </w:r>
      <w:r w:rsidR="000156AE">
        <w:rPr>
          <w:rFonts w:ascii="Arial" w:hAnsi="Arial" w:cs="Arial"/>
          <w:sz w:val="24"/>
          <w:szCs w:val="24"/>
        </w:rPr>
        <w:t xml:space="preserve"> – in key areas such as</w:t>
      </w:r>
      <w:r w:rsidR="0051584C" w:rsidRPr="009C4D1E">
        <w:rPr>
          <w:rFonts w:ascii="Arial" w:hAnsi="Arial" w:cs="Arial"/>
          <w:sz w:val="24"/>
          <w:szCs w:val="24"/>
        </w:rPr>
        <w:t xml:space="preserve"> </w:t>
      </w:r>
      <w:r w:rsidR="000156AE">
        <w:rPr>
          <w:rFonts w:ascii="Arial" w:hAnsi="Arial" w:cs="Arial"/>
          <w:sz w:val="24"/>
          <w:szCs w:val="24"/>
        </w:rPr>
        <w:t>f</w:t>
      </w:r>
      <w:r w:rsidR="0051584C" w:rsidRPr="009C4D1E">
        <w:rPr>
          <w:rFonts w:ascii="Arial" w:hAnsi="Arial" w:cs="Arial"/>
          <w:sz w:val="24"/>
          <w:szCs w:val="24"/>
        </w:rPr>
        <w:t xml:space="preserve">ees and </w:t>
      </w:r>
      <w:r w:rsidR="000156AE">
        <w:rPr>
          <w:rFonts w:ascii="Arial" w:hAnsi="Arial" w:cs="Arial"/>
          <w:sz w:val="24"/>
          <w:szCs w:val="24"/>
        </w:rPr>
        <w:t>c</w:t>
      </w:r>
      <w:r w:rsidR="0051584C" w:rsidRPr="009C4D1E">
        <w:rPr>
          <w:rFonts w:ascii="Arial" w:hAnsi="Arial" w:cs="Arial"/>
          <w:sz w:val="24"/>
          <w:szCs w:val="24"/>
        </w:rPr>
        <w:t>harges</w:t>
      </w:r>
      <w:r w:rsidR="000156AE">
        <w:rPr>
          <w:rFonts w:ascii="Arial" w:hAnsi="Arial" w:cs="Arial"/>
          <w:sz w:val="24"/>
          <w:szCs w:val="24"/>
        </w:rPr>
        <w:t xml:space="preserve"> and property </w:t>
      </w:r>
      <w:r w:rsidR="00D74C13">
        <w:rPr>
          <w:rFonts w:ascii="Arial" w:hAnsi="Arial" w:cs="Arial"/>
          <w:sz w:val="24"/>
          <w:szCs w:val="24"/>
        </w:rPr>
        <w:t>investment</w:t>
      </w:r>
      <w:r w:rsidR="00A02E8F">
        <w:rPr>
          <w:rFonts w:ascii="Arial" w:hAnsi="Arial" w:cs="Arial"/>
          <w:sz w:val="24"/>
          <w:szCs w:val="24"/>
        </w:rPr>
        <w:t xml:space="preserve"> income</w:t>
      </w:r>
      <w:r w:rsidR="00283C64">
        <w:rPr>
          <w:rFonts w:ascii="Arial" w:hAnsi="Arial" w:cs="Arial"/>
          <w:sz w:val="24"/>
          <w:szCs w:val="24"/>
        </w:rPr>
        <w:t xml:space="preserve">. </w:t>
      </w:r>
      <w:r w:rsidR="0051584C" w:rsidRPr="009C4D1E">
        <w:rPr>
          <w:rFonts w:ascii="Arial" w:hAnsi="Arial" w:cs="Arial"/>
          <w:sz w:val="24"/>
          <w:szCs w:val="24"/>
        </w:rPr>
        <w:t xml:space="preserve"> </w:t>
      </w:r>
      <w:r w:rsidR="00D74C13">
        <w:rPr>
          <w:rFonts w:ascii="Arial" w:hAnsi="Arial" w:cs="Arial"/>
          <w:sz w:val="24"/>
          <w:szCs w:val="24"/>
        </w:rPr>
        <w:t>Fees and charges in</w:t>
      </w:r>
      <w:r w:rsidR="0051584C" w:rsidRPr="009C4D1E">
        <w:rPr>
          <w:rStyle w:val="normaltextrun"/>
          <w:rFonts w:ascii="Arial" w:hAnsi="Arial" w:cs="Arial"/>
          <w:color w:val="000000"/>
          <w:sz w:val="24"/>
          <w:szCs w:val="24"/>
          <w:shd w:val="clear" w:color="auto" w:fill="FFFFFF"/>
        </w:rPr>
        <w:t>come</w:t>
      </w:r>
      <w:r w:rsidR="00D74C13">
        <w:rPr>
          <w:rStyle w:val="normaltextrun"/>
          <w:rFonts w:ascii="Arial" w:hAnsi="Arial" w:cs="Arial"/>
          <w:color w:val="000000"/>
          <w:sz w:val="24"/>
          <w:szCs w:val="24"/>
          <w:shd w:val="clear" w:color="auto" w:fill="FFFFFF"/>
        </w:rPr>
        <w:t xml:space="preserve"> </w:t>
      </w:r>
      <w:r w:rsidR="00A02E8F" w:rsidRPr="009C4D1E">
        <w:rPr>
          <w:rStyle w:val="normaltextrun"/>
          <w:rFonts w:ascii="Arial" w:hAnsi="Arial" w:cs="Arial"/>
          <w:color w:val="000000"/>
          <w:sz w:val="24"/>
          <w:szCs w:val="24"/>
          <w:shd w:val="clear" w:color="auto" w:fill="FFFFFF"/>
        </w:rPr>
        <w:t xml:space="preserve">of a development nature e.g. from planning applications, land charges and building control remains at depressed levels due to pressures in the construction and housing market </w:t>
      </w:r>
      <w:r w:rsidR="009B16D7">
        <w:rPr>
          <w:rStyle w:val="normaltextrun"/>
          <w:rFonts w:ascii="Arial" w:hAnsi="Arial" w:cs="Arial"/>
          <w:color w:val="000000"/>
          <w:sz w:val="24"/>
          <w:szCs w:val="24"/>
          <w:shd w:val="clear" w:color="auto" w:fill="FFFFFF"/>
        </w:rPr>
        <w:t>which are sensitive</w:t>
      </w:r>
      <w:r w:rsidR="00A02E8F">
        <w:rPr>
          <w:rStyle w:val="normaltextrun"/>
          <w:rFonts w:ascii="Arial" w:hAnsi="Arial" w:cs="Arial"/>
          <w:color w:val="000000"/>
          <w:sz w:val="24"/>
          <w:szCs w:val="24"/>
          <w:shd w:val="clear" w:color="auto" w:fill="FFFFFF"/>
        </w:rPr>
        <w:t xml:space="preserve"> to </w:t>
      </w:r>
      <w:r w:rsidR="009B16D7">
        <w:rPr>
          <w:rStyle w:val="normaltextrun"/>
          <w:rFonts w:ascii="Arial" w:hAnsi="Arial" w:cs="Arial"/>
          <w:color w:val="000000"/>
          <w:sz w:val="24"/>
          <w:szCs w:val="24"/>
          <w:shd w:val="clear" w:color="auto" w:fill="FFFFFF"/>
        </w:rPr>
        <w:t>ma</w:t>
      </w:r>
      <w:r w:rsidR="00283C64">
        <w:rPr>
          <w:rStyle w:val="normaltextrun"/>
          <w:rFonts w:ascii="Arial" w:hAnsi="Arial" w:cs="Arial"/>
          <w:color w:val="000000"/>
          <w:sz w:val="24"/>
          <w:szCs w:val="24"/>
          <w:shd w:val="clear" w:color="auto" w:fill="FFFFFF"/>
        </w:rPr>
        <w:t>croeconomic conditions</w:t>
      </w:r>
      <w:r w:rsidR="0051584C" w:rsidRPr="009C4D1E">
        <w:rPr>
          <w:rStyle w:val="normaltextrun"/>
          <w:rFonts w:ascii="Arial" w:hAnsi="Arial" w:cs="Arial"/>
          <w:color w:val="000000"/>
          <w:sz w:val="24"/>
          <w:szCs w:val="24"/>
          <w:shd w:val="clear" w:color="auto" w:fill="FFFFFF"/>
        </w:rPr>
        <w:t>. In addition, due to changes in the marketplace, with new more low cost options available, income from the crematorium has been on a downward trajectory in the last two years.</w:t>
      </w:r>
      <w:r w:rsidR="008459F1">
        <w:rPr>
          <w:rStyle w:val="normaltextrun"/>
          <w:rFonts w:ascii="Arial" w:hAnsi="Arial" w:cs="Arial"/>
          <w:color w:val="000000"/>
          <w:sz w:val="24"/>
          <w:szCs w:val="24"/>
          <w:shd w:val="clear" w:color="auto" w:fill="FFFFFF"/>
        </w:rPr>
        <w:t xml:space="preserve"> </w:t>
      </w:r>
      <w:r w:rsidR="0031780E">
        <w:rPr>
          <w:rStyle w:val="normaltextrun"/>
          <w:rFonts w:ascii="Arial" w:hAnsi="Arial" w:cs="Arial"/>
          <w:color w:val="000000"/>
          <w:sz w:val="24"/>
          <w:szCs w:val="24"/>
          <w:shd w:val="clear" w:color="auto" w:fill="FFFFFF"/>
        </w:rPr>
        <w:t xml:space="preserve">While the Council maintains a healthy yield from it’s </w:t>
      </w:r>
      <w:r w:rsidR="00B67B19">
        <w:rPr>
          <w:rStyle w:val="normaltextrun"/>
          <w:rFonts w:ascii="Arial" w:hAnsi="Arial" w:cs="Arial"/>
          <w:color w:val="000000"/>
          <w:sz w:val="24"/>
          <w:szCs w:val="24"/>
          <w:shd w:val="clear" w:color="auto" w:fill="FFFFFF"/>
        </w:rPr>
        <w:t>property</w:t>
      </w:r>
      <w:r w:rsidR="005F0AE5">
        <w:rPr>
          <w:rStyle w:val="normaltextrun"/>
          <w:rFonts w:ascii="Arial" w:hAnsi="Arial" w:cs="Arial"/>
          <w:color w:val="000000"/>
          <w:sz w:val="24"/>
          <w:szCs w:val="24"/>
          <w:shd w:val="clear" w:color="auto" w:fill="FFFFFF"/>
        </w:rPr>
        <w:t xml:space="preserve"> investment</w:t>
      </w:r>
      <w:r w:rsidR="00B67B19">
        <w:rPr>
          <w:rStyle w:val="normaltextrun"/>
          <w:rFonts w:ascii="Arial" w:hAnsi="Arial" w:cs="Arial"/>
          <w:color w:val="000000"/>
          <w:sz w:val="24"/>
          <w:szCs w:val="24"/>
          <w:shd w:val="clear" w:color="auto" w:fill="FFFFFF"/>
        </w:rPr>
        <w:t xml:space="preserve"> assets, a significant lease arrangement is set to end in 2026</w:t>
      </w:r>
      <w:r w:rsidR="00E75F2F">
        <w:rPr>
          <w:rStyle w:val="normaltextrun"/>
          <w:rFonts w:ascii="Arial" w:hAnsi="Arial" w:cs="Arial"/>
          <w:color w:val="000000"/>
          <w:sz w:val="24"/>
          <w:szCs w:val="24"/>
          <w:shd w:val="clear" w:color="auto" w:fill="FFFFFF"/>
        </w:rPr>
        <w:t xml:space="preserve"> resulting in a</w:t>
      </w:r>
      <w:r w:rsidR="00891000">
        <w:rPr>
          <w:rStyle w:val="normaltextrun"/>
          <w:rFonts w:ascii="Arial" w:hAnsi="Arial" w:cs="Arial"/>
          <w:color w:val="000000"/>
          <w:sz w:val="24"/>
          <w:szCs w:val="24"/>
          <w:shd w:val="clear" w:color="auto" w:fill="FFFFFF"/>
        </w:rPr>
        <w:t xml:space="preserve"> substantial</w:t>
      </w:r>
      <w:r w:rsidR="00E75F2F">
        <w:rPr>
          <w:rStyle w:val="normaltextrun"/>
          <w:rFonts w:ascii="Arial" w:hAnsi="Arial" w:cs="Arial"/>
          <w:color w:val="000000"/>
          <w:sz w:val="24"/>
          <w:szCs w:val="24"/>
          <w:shd w:val="clear" w:color="auto" w:fill="FFFFFF"/>
        </w:rPr>
        <w:t xml:space="preserve"> loss of overall property investment income.</w:t>
      </w:r>
    </w:p>
    <w:p w14:paraId="3B8B64C9" w14:textId="77777777" w:rsidR="00A02E8F" w:rsidRPr="00864F53" w:rsidRDefault="00A02E8F" w:rsidP="00A02E8F">
      <w:pPr>
        <w:pStyle w:val="ListParagraph"/>
        <w:rPr>
          <w:rFonts w:ascii="Arial" w:hAnsi="Arial" w:cs="Arial"/>
          <w:sz w:val="24"/>
          <w:szCs w:val="24"/>
        </w:rPr>
      </w:pPr>
    </w:p>
    <w:p w14:paraId="1A4DF3B7" w14:textId="680B1F75" w:rsidR="00864F53" w:rsidRPr="0013270D" w:rsidRDefault="00F00490" w:rsidP="00CF25BB">
      <w:pPr>
        <w:pStyle w:val="ListParagraph"/>
        <w:numPr>
          <w:ilvl w:val="0"/>
          <w:numId w:val="32"/>
        </w:numPr>
        <w:spacing w:after="0" w:line="240" w:lineRule="auto"/>
        <w:jc w:val="both"/>
        <w:rPr>
          <w:rFonts w:ascii="Arial" w:hAnsi="Arial" w:cs="Arial"/>
          <w:sz w:val="24"/>
          <w:szCs w:val="24"/>
        </w:rPr>
      </w:pPr>
      <w:r>
        <w:rPr>
          <w:rFonts w:ascii="Arial" w:hAnsi="Arial" w:cs="Arial"/>
          <w:sz w:val="24"/>
          <w:szCs w:val="24"/>
        </w:rPr>
        <w:t>Business Rates: f</w:t>
      </w:r>
      <w:r w:rsidR="00CF1520" w:rsidRPr="0013270D">
        <w:rPr>
          <w:rFonts w:ascii="Arial" w:hAnsi="Arial" w:cs="Arial"/>
          <w:sz w:val="24"/>
          <w:szCs w:val="24"/>
        </w:rPr>
        <w:t xml:space="preserve">ollowing the </w:t>
      </w:r>
      <w:r w:rsidR="00DD3996" w:rsidRPr="0013270D">
        <w:rPr>
          <w:rFonts w:ascii="Arial" w:hAnsi="Arial" w:cs="Arial"/>
          <w:sz w:val="24"/>
          <w:szCs w:val="24"/>
        </w:rPr>
        <w:t>2026</w:t>
      </w:r>
      <w:r w:rsidR="00CF1520" w:rsidRPr="0013270D">
        <w:rPr>
          <w:rFonts w:ascii="Arial" w:hAnsi="Arial" w:cs="Arial"/>
          <w:sz w:val="24"/>
          <w:szCs w:val="24"/>
        </w:rPr>
        <w:t xml:space="preserve"> </w:t>
      </w:r>
      <w:r w:rsidR="00DD3996" w:rsidRPr="0013270D">
        <w:rPr>
          <w:rFonts w:ascii="Arial" w:hAnsi="Arial" w:cs="Arial"/>
          <w:sz w:val="24"/>
          <w:szCs w:val="24"/>
        </w:rPr>
        <w:t xml:space="preserve">revaluation of </w:t>
      </w:r>
      <w:r w:rsidR="00B93AB7" w:rsidRPr="0013270D">
        <w:rPr>
          <w:rFonts w:ascii="Arial" w:hAnsi="Arial" w:cs="Arial"/>
          <w:sz w:val="24"/>
          <w:szCs w:val="24"/>
        </w:rPr>
        <w:t xml:space="preserve">the rateable values of all commercial and non-domestic properties, the </w:t>
      </w:r>
      <w:r w:rsidR="007B37E9" w:rsidRPr="0013270D">
        <w:rPr>
          <w:rFonts w:ascii="Arial" w:hAnsi="Arial" w:cs="Arial"/>
          <w:sz w:val="24"/>
          <w:szCs w:val="24"/>
        </w:rPr>
        <w:t xml:space="preserve">business rates payable on the Council’s own assets has increased </w:t>
      </w:r>
      <w:r w:rsidR="00D051AD" w:rsidRPr="0013270D">
        <w:rPr>
          <w:rFonts w:ascii="Arial" w:hAnsi="Arial" w:cs="Arial"/>
          <w:sz w:val="24"/>
          <w:szCs w:val="24"/>
        </w:rPr>
        <w:t>by over 20%</w:t>
      </w:r>
      <w:r w:rsidR="0013270D" w:rsidRPr="0013270D">
        <w:rPr>
          <w:rFonts w:ascii="Arial" w:hAnsi="Arial" w:cs="Arial"/>
          <w:sz w:val="24"/>
          <w:szCs w:val="24"/>
        </w:rPr>
        <w:t>.</w:t>
      </w:r>
    </w:p>
    <w:p w14:paraId="3F4750B3" w14:textId="77777777" w:rsidR="007176D1" w:rsidRDefault="007176D1" w:rsidP="008E657B">
      <w:pPr>
        <w:jc w:val="both"/>
        <w:rPr>
          <w:rFonts w:ascii="Arial" w:hAnsi="Arial" w:cs="Arial"/>
          <w:highlight w:val="yellow"/>
        </w:rPr>
      </w:pPr>
    </w:p>
    <w:p w14:paraId="478C735E" w14:textId="77777777" w:rsidR="00237C9C" w:rsidRDefault="00B353AD" w:rsidP="00237C9C">
      <w:pPr>
        <w:jc w:val="both"/>
        <w:rPr>
          <w:rFonts w:ascii="Arial" w:hAnsi="Arial" w:cs="Arial"/>
        </w:rPr>
      </w:pPr>
      <w:r w:rsidRPr="00237C9C">
        <w:rPr>
          <w:rFonts w:ascii="Arial" w:hAnsi="Arial" w:cs="Arial"/>
        </w:rPr>
        <w:t xml:space="preserve">In addition to the cost and demand pressures for existing services, </w:t>
      </w:r>
      <w:r w:rsidR="00A02E8F" w:rsidRPr="00237C9C">
        <w:rPr>
          <w:rFonts w:ascii="Arial" w:hAnsi="Arial" w:cs="Arial"/>
        </w:rPr>
        <w:t>over recent years there have been more and more</w:t>
      </w:r>
      <w:r w:rsidRPr="00237C9C">
        <w:rPr>
          <w:rFonts w:ascii="Arial" w:hAnsi="Arial" w:cs="Arial"/>
        </w:rPr>
        <w:t xml:space="preserve"> new</w:t>
      </w:r>
      <w:r w:rsidR="00A02E8F" w:rsidRPr="00237C9C">
        <w:rPr>
          <w:rFonts w:ascii="Arial" w:hAnsi="Arial" w:cs="Arial"/>
        </w:rPr>
        <w:t xml:space="preserve"> burdens placed on councils with little or no additional funding. </w:t>
      </w:r>
    </w:p>
    <w:p w14:paraId="1DC5838B" w14:textId="77777777" w:rsidR="00237C9C" w:rsidRDefault="00237C9C" w:rsidP="00237C9C">
      <w:pPr>
        <w:jc w:val="both"/>
        <w:rPr>
          <w:rFonts w:ascii="Arial" w:hAnsi="Arial" w:cs="Arial"/>
        </w:rPr>
      </w:pPr>
    </w:p>
    <w:p w14:paraId="782218C2" w14:textId="7D2D40BA" w:rsidR="00A274E3" w:rsidRDefault="00A02E8F" w:rsidP="003A3458">
      <w:pPr>
        <w:jc w:val="both"/>
        <w:rPr>
          <w:rFonts w:ascii="Arial" w:hAnsi="Arial" w:cs="Arial"/>
        </w:rPr>
      </w:pPr>
      <w:r w:rsidRPr="00237C9C">
        <w:rPr>
          <w:rFonts w:ascii="Arial" w:hAnsi="Arial" w:cs="Arial"/>
        </w:rPr>
        <w:t xml:space="preserve">A key </w:t>
      </w:r>
      <w:r w:rsidR="006F0FA6" w:rsidRPr="00237C9C">
        <w:rPr>
          <w:rFonts w:ascii="Arial" w:hAnsi="Arial" w:cs="Arial"/>
        </w:rPr>
        <w:t xml:space="preserve">cost </w:t>
      </w:r>
      <w:r w:rsidR="004074BE" w:rsidRPr="00237C9C">
        <w:rPr>
          <w:rFonts w:ascii="Arial" w:hAnsi="Arial" w:cs="Arial"/>
        </w:rPr>
        <w:t>burden</w:t>
      </w:r>
      <w:r w:rsidRPr="00237C9C">
        <w:rPr>
          <w:rFonts w:ascii="Arial" w:hAnsi="Arial" w:cs="Arial"/>
        </w:rPr>
        <w:t xml:space="preserve"> that the Council faces</w:t>
      </w:r>
      <w:r w:rsidR="004074BE" w:rsidRPr="00237C9C">
        <w:rPr>
          <w:rFonts w:ascii="Arial" w:hAnsi="Arial" w:cs="Arial"/>
        </w:rPr>
        <w:t xml:space="preserve"> from April 2026</w:t>
      </w:r>
      <w:r w:rsidRPr="00237C9C">
        <w:rPr>
          <w:rFonts w:ascii="Arial" w:hAnsi="Arial" w:cs="Arial"/>
        </w:rPr>
        <w:t xml:space="preserve"> </w:t>
      </w:r>
      <w:r w:rsidR="00894A1F" w:rsidRPr="00237C9C">
        <w:rPr>
          <w:rFonts w:ascii="Arial" w:hAnsi="Arial" w:cs="Arial"/>
        </w:rPr>
        <w:t xml:space="preserve">is </w:t>
      </w:r>
      <w:r w:rsidR="006E5245" w:rsidRPr="00237C9C">
        <w:rPr>
          <w:rFonts w:ascii="Arial" w:hAnsi="Arial" w:cs="Arial"/>
        </w:rPr>
        <w:t>a</w:t>
      </w:r>
      <w:r w:rsidR="00894A1F" w:rsidRPr="00237C9C">
        <w:rPr>
          <w:rFonts w:ascii="Arial" w:hAnsi="Arial" w:cs="Arial"/>
        </w:rPr>
        <w:t xml:space="preserve"> new statutory requirement</w:t>
      </w:r>
      <w:r w:rsidR="002D3076" w:rsidRPr="00237C9C">
        <w:rPr>
          <w:rFonts w:ascii="Arial" w:hAnsi="Arial" w:cs="Arial"/>
        </w:rPr>
        <w:t xml:space="preserve">, </w:t>
      </w:r>
      <w:r w:rsidR="00861CF5" w:rsidRPr="00237C9C">
        <w:rPr>
          <w:rFonts w:ascii="Arial" w:hAnsi="Arial" w:cs="Arial"/>
        </w:rPr>
        <w:t>under the Governments Simpler Recycling in England Policy</w:t>
      </w:r>
      <w:r w:rsidR="00094F9F" w:rsidRPr="00237C9C">
        <w:rPr>
          <w:rFonts w:ascii="Arial" w:hAnsi="Arial" w:cs="Arial"/>
        </w:rPr>
        <w:t xml:space="preserve">, to </w:t>
      </w:r>
      <w:r w:rsidR="003A22D1" w:rsidRPr="00237C9C">
        <w:rPr>
          <w:rFonts w:ascii="Arial" w:hAnsi="Arial" w:cs="Arial"/>
        </w:rPr>
        <w:t>implement a weekly food waste collection service</w:t>
      </w:r>
      <w:r w:rsidR="007F3C77" w:rsidRPr="00237C9C">
        <w:rPr>
          <w:rFonts w:ascii="Arial" w:hAnsi="Arial" w:cs="Arial"/>
        </w:rPr>
        <w:t xml:space="preserve"> - </w:t>
      </w:r>
      <w:r w:rsidR="0038128D" w:rsidRPr="00237C9C">
        <w:rPr>
          <w:rFonts w:ascii="Arial" w:hAnsi="Arial" w:cs="Arial"/>
        </w:rPr>
        <w:t>this will be the largest change to waste collection services in Lincoln since the introduction of wheeled bins</w:t>
      </w:r>
      <w:r w:rsidR="006E0094" w:rsidRPr="00237C9C">
        <w:rPr>
          <w:rFonts w:ascii="Arial" w:hAnsi="Arial" w:cs="Arial"/>
        </w:rPr>
        <w:t>.</w:t>
      </w:r>
      <w:r w:rsidR="003A22D1" w:rsidRPr="00237C9C">
        <w:rPr>
          <w:rFonts w:ascii="Arial" w:hAnsi="Arial" w:cs="Arial"/>
        </w:rPr>
        <w:t xml:space="preserve"> </w:t>
      </w:r>
      <w:r w:rsidRPr="00237C9C">
        <w:rPr>
          <w:rFonts w:ascii="Arial" w:hAnsi="Arial" w:cs="Arial"/>
        </w:rPr>
        <w:t xml:space="preserve"> </w:t>
      </w:r>
      <w:r w:rsidR="00237C9C" w:rsidRPr="00237C9C">
        <w:rPr>
          <w:rFonts w:ascii="Arial" w:hAnsi="Arial" w:cs="Arial"/>
        </w:rPr>
        <w:t>The introduction of food waste collections requires significant resources</w:t>
      </w:r>
      <w:r w:rsidR="00237C9C">
        <w:rPr>
          <w:rFonts w:ascii="Arial" w:hAnsi="Arial" w:cs="Arial"/>
        </w:rPr>
        <w:t>,</w:t>
      </w:r>
      <w:r w:rsidR="00237C9C" w:rsidRPr="00237C9C">
        <w:rPr>
          <w:rFonts w:ascii="Arial" w:hAnsi="Arial" w:cs="Arial"/>
        </w:rPr>
        <w:t xml:space="preserve"> of both a capital and revenue nature</w:t>
      </w:r>
      <w:r w:rsidR="00237C9C">
        <w:rPr>
          <w:rFonts w:ascii="Arial" w:hAnsi="Arial" w:cs="Arial"/>
        </w:rPr>
        <w:t>,</w:t>
      </w:r>
      <w:r w:rsidR="00237C9C" w:rsidRPr="00237C9C">
        <w:rPr>
          <w:rFonts w:ascii="Arial" w:hAnsi="Arial" w:cs="Arial"/>
        </w:rPr>
        <w:t xml:space="preserve"> to implement. Under the New Burdens doctrine, the Government</w:t>
      </w:r>
      <w:r w:rsidR="00991465">
        <w:rPr>
          <w:rFonts w:ascii="Arial" w:hAnsi="Arial" w:cs="Arial"/>
        </w:rPr>
        <w:t xml:space="preserve"> </w:t>
      </w:r>
      <w:r w:rsidR="00237C9C" w:rsidRPr="00237C9C">
        <w:rPr>
          <w:rFonts w:ascii="Arial" w:hAnsi="Arial" w:cs="Arial"/>
        </w:rPr>
        <w:t xml:space="preserve">stated that they would provide local authorities with funding to meet agreed reasonable new burdens arising from these new statutory requirements.  While capital and revenue transitional grant allocations have already been </w:t>
      </w:r>
      <w:r w:rsidR="00E8331D">
        <w:rPr>
          <w:rFonts w:ascii="Arial" w:hAnsi="Arial" w:cs="Arial"/>
        </w:rPr>
        <w:t>allocated</w:t>
      </w:r>
      <w:r w:rsidR="00237C9C" w:rsidRPr="00237C9C">
        <w:rPr>
          <w:rFonts w:ascii="Arial" w:hAnsi="Arial" w:cs="Arial"/>
        </w:rPr>
        <w:t xml:space="preserve">, </w:t>
      </w:r>
      <w:r w:rsidR="00355835">
        <w:rPr>
          <w:rFonts w:ascii="Arial" w:hAnsi="Arial" w:cs="Arial"/>
        </w:rPr>
        <w:t xml:space="preserve">there has been no </w:t>
      </w:r>
      <w:r w:rsidR="002638FF">
        <w:rPr>
          <w:rFonts w:ascii="Arial" w:hAnsi="Arial" w:cs="Arial"/>
        </w:rPr>
        <w:t>specific</w:t>
      </w:r>
      <w:r w:rsidR="00742D0E">
        <w:rPr>
          <w:rFonts w:ascii="Arial" w:hAnsi="Arial" w:cs="Arial"/>
        </w:rPr>
        <w:t xml:space="preserve"> new burdens</w:t>
      </w:r>
      <w:r w:rsidR="002638FF">
        <w:rPr>
          <w:rFonts w:ascii="Arial" w:hAnsi="Arial" w:cs="Arial"/>
        </w:rPr>
        <w:t xml:space="preserve"> </w:t>
      </w:r>
      <w:r w:rsidR="00237C9C" w:rsidRPr="00237C9C">
        <w:rPr>
          <w:rFonts w:ascii="Arial" w:hAnsi="Arial" w:cs="Arial"/>
        </w:rPr>
        <w:t xml:space="preserve">funding </w:t>
      </w:r>
      <w:r w:rsidR="00742D0E">
        <w:rPr>
          <w:rFonts w:ascii="Arial" w:hAnsi="Arial" w:cs="Arial"/>
        </w:rPr>
        <w:t>announced for the ongoing revenue costs</w:t>
      </w:r>
      <w:r w:rsidR="00237C9C" w:rsidRPr="00237C9C">
        <w:rPr>
          <w:rFonts w:ascii="Arial" w:hAnsi="Arial" w:cs="Arial"/>
        </w:rPr>
        <w:t xml:space="preserve">.  </w:t>
      </w:r>
      <w:r w:rsidR="00112572">
        <w:rPr>
          <w:rFonts w:ascii="Arial" w:hAnsi="Arial" w:cs="Arial"/>
        </w:rPr>
        <w:t>Instead</w:t>
      </w:r>
      <w:r w:rsidR="00F24148">
        <w:rPr>
          <w:rFonts w:ascii="Arial" w:hAnsi="Arial" w:cs="Arial"/>
        </w:rPr>
        <w:t>, ongoing funding</w:t>
      </w:r>
      <w:r w:rsidR="002A623E">
        <w:rPr>
          <w:rFonts w:ascii="Arial" w:hAnsi="Arial" w:cs="Arial"/>
        </w:rPr>
        <w:t xml:space="preserve"> was confirmed to have been allocated through the </w:t>
      </w:r>
      <w:r w:rsidR="0000335D">
        <w:rPr>
          <w:rFonts w:ascii="Arial" w:hAnsi="Arial" w:cs="Arial"/>
        </w:rPr>
        <w:t xml:space="preserve">Settlement rather than as a separate </w:t>
      </w:r>
      <w:r w:rsidR="004D2256">
        <w:rPr>
          <w:rFonts w:ascii="Arial" w:hAnsi="Arial" w:cs="Arial"/>
        </w:rPr>
        <w:t>n</w:t>
      </w:r>
      <w:r w:rsidR="0000335D">
        <w:rPr>
          <w:rFonts w:ascii="Arial" w:hAnsi="Arial" w:cs="Arial"/>
        </w:rPr>
        <w:t xml:space="preserve">ew </w:t>
      </w:r>
      <w:r w:rsidR="004D2256">
        <w:rPr>
          <w:rFonts w:ascii="Arial" w:hAnsi="Arial" w:cs="Arial"/>
        </w:rPr>
        <w:t>b</w:t>
      </w:r>
      <w:r w:rsidR="0000335D">
        <w:rPr>
          <w:rFonts w:ascii="Arial" w:hAnsi="Arial" w:cs="Arial"/>
        </w:rPr>
        <w:t xml:space="preserve">urdens grant. </w:t>
      </w:r>
      <w:r w:rsidR="00E840E6">
        <w:rPr>
          <w:rFonts w:ascii="Arial" w:hAnsi="Arial" w:cs="Arial"/>
        </w:rPr>
        <w:t xml:space="preserve">This was positioned as aligning with </w:t>
      </w:r>
      <w:r w:rsidR="001A0855">
        <w:rPr>
          <w:rFonts w:ascii="Arial" w:hAnsi="Arial" w:cs="Arial"/>
        </w:rPr>
        <w:t xml:space="preserve">the broader FFR aim to simplify funding, </w:t>
      </w:r>
      <w:r w:rsidR="006534C1">
        <w:rPr>
          <w:rFonts w:ascii="Arial" w:hAnsi="Arial" w:cs="Arial"/>
        </w:rPr>
        <w:t xml:space="preserve"> </w:t>
      </w:r>
      <w:r w:rsidR="001A0855">
        <w:rPr>
          <w:rFonts w:ascii="Arial" w:hAnsi="Arial" w:cs="Arial"/>
        </w:rPr>
        <w:t>bu</w:t>
      </w:r>
      <w:r w:rsidR="00153862">
        <w:rPr>
          <w:rFonts w:ascii="Arial" w:hAnsi="Arial" w:cs="Arial"/>
        </w:rPr>
        <w:t xml:space="preserve">t </w:t>
      </w:r>
      <w:r w:rsidR="00563665">
        <w:rPr>
          <w:rFonts w:ascii="Arial" w:hAnsi="Arial" w:cs="Arial"/>
        </w:rPr>
        <w:t>instead</w:t>
      </w:r>
      <w:r w:rsidR="006534C1">
        <w:rPr>
          <w:rFonts w:ascii="Arial" w:hAnsi="Arial" w:cs="Arial"/>
        </w:rPr>
        <w:t xml:space="preserve"> it</w:t>
      </w:r>
      <w:r w:rsidR="00563665">
        <w:rPr>
          <w:rFonts w:ascii="Arial" w:hAnsi="Arial" w:cs="Arial"/>
        </w:rPr>
        <w:t xml:space="preserve"> lacks transparency and risks diluting funding.  </w:t>
      </w:r>
      <w:r w:rsidR="0000335D">
        <w:rPr>
          <w:rFonts w:ascii="Arial" w:hAnsi="Arial" w:cs="Arial"/>
        </w:rPr>
        <w:t xml:space="preserve"> </w:t>
      </w:r>
      <w:r w:rsidR="00F24148">
        <w:rPr>
          <w:rFonts w:ascii="Arial" w:hAnsi="Arial" w:cs="Arial"/>
        </w:rPr>
        <w:t xml:space="preserve"> </w:t>
      </w:r>
    </w:p>
    <w:p w14:paraId="1075D64D" w14:textId="77777777" w:rsidR="00784B06" w:rsidRDefault="00784B06" w:rsidP="003A3458">
      <w:pPr>
        <w:jc w:val="both"/>
        <w:rPr>
          <w:rFonts w:ascii="Arial" w:hAnsi="Arial" w:cs="Arial"/>
        </w:rPr>
      </w:pPr>
    </w:p>
    <w:p w14:paraId="1FD6AF76" w14:textId="42A30F2B" w:rsidR="005B6ED4" w:rsidRDefault="008760D9" w:rsidP="00237C9C">
      <w:pPr>
        <w:jc w:val="both"/>
        <w:rPr>
          <w:rFonts w:ascii="Arial" w:hAnsi="Arial" w:cs="Arial"/>
        </w:rPr>
      </w:pPr>
      <w:r>
        <w:rPr>
          <w:rFonts w:ascii="Arial" w:hAnsi="Arial" w:cs="Arial"/>
        </w:rPr>
        <w:t xml:space="preserve">The </w:t>
      </w:r>
      <w:r w:rsidR="001B626E">
        <w:rPr>
          <w:rFonts w:ascii="Arial" w:hAnsi="Arial" w:cs="Arial"/>
        </w:rPr>
        <w:t xml:space="preserve">cost of providing the service is </w:t>
      </w:r>
      <w:r w:rsidR="003860F6">
        <w:rPr>
          <w:rFonts w:ascii="Arial" w:hAnsi="Arial" w:cs="Arial"/>
        </w:rPr>
        <w:t xml:space="preserve">c£0.750m </w:t>
      </w:r>
      <w:r w:rsidR="00796977">
        <w:rPr>
          <w:rFonts w:ascii="Arial" w:hAnsi="Arial" w:cs="Arial"/>
        </w:rPr>
        <w:t>p.a.</w:t>
      </w:r>
      <w:r w:rsidR="005A3674">
        <w:rPr>
          <w:rFonts w:ascii="Arial" w:hAnsi="Arial" w:cs="Arial"/>
        </w:rPr>
        <w:t xml:space="preserve"> </w:t>
      </w:r>
      <w:r w:rsidR="009371B1">
        <w:rPr>
          <w:rFonts w:ascii="Arial" w:hAnsi="Arial" w:cs="Arial"/>
        </w:rPr>
        <w:t xml:space="preserve">A significant proportion of the </w:t>
      </w:r>
      <w:r w:rsidR="009823CD">
        <w:rPr>
          <w:rFonts w:ascii="Arial" w:hAnsi="Arial" w:cs="Arial"/>
        </w:rPr>
        <w:t xml:space="preserve">increased funding </w:t>
      </w:r>
      <w:r w:rsidR="00670EFC">
        <w:rPr>
          <w:rFonts w:ascii="Arial" w:hAnsi="Arial" w:cs="Arial"/>
        </w:rPr>
        <w:t xml:space="preserve">the Council has received in </w:t>
      </w:r>
      <w:r w:rsidR="00D14C68">
        <w:rPr>
          <w:rFonts w:ascii="Arial" w:hAnsi="Arial" w:cs="Arial"/>
        </w:rPr>
        <w:t xml:space="preserve">its </w:t>
      </w:r>
      <w:r w:rsidR="005162A0" w:rsidRPr="00CE7808">
        <w:rPr>
          <w:rFonts w:ascii="Arial" w:hAnsi="Arial" w:cs="Arial"/>
        </w:rPr>
        <w:t>Fair Funding Assessment (FFA)</w:t>
      </w:r>
      <w:r w:rsidR="00D14C68" w:rsidRPr="00CE7808">
        <w:rPr>
          <w:rFonts w:ascii="Arial" w:hAnsi="Arial" w:cs="Arial"/>
        </w:rPr>
        <w:t xml:space="preserve"> will</w:t>
      </w:r>
      <w:r w:rsidR="00593259">
        <w:rPr>
          <w:rFonts w:ascii="Arial" w:hAnsi="Arial" w:cs="Arial"/>
        </w:rPr>
        <w:t xml:space="preserve"> therefore</w:t>
      </w:r>
      <w:r w:rsidR="00D14C68">
        <w:rPr>
          <w:rFonts w:ascii="Arial" w:hAnsi="Arial" w:cs="Arial"/>
        </w:rPr>
        <w:t xml:space="preserve"> be required to meet </w:t>
      </w:r>
      <w:r w:rsidR="005A3674">
        <w:rPr>
          <w:rFonts w:ascii="Arial" w:hAnsi="Arial" w:cs="Arial"/>
        </w:rPr>
        <w:t>these ongo</w:t>
      </w:r>
      <w:r w:rsidR="00BF154B">
        <w:rPr>
          <w:rFonts w:ascii="Arial" w:hAnsi="Arial" w:cs="Arial"/>
        </w:rPr>
        <w:t>ing costs</w:t>
      </w:r>
      <w:r w:rsidR="00593259">
        <w:rPr>
          <w:rFonts w:ascii="Arial" w:hAnsi="Arial" w:cs="Arial"/>
        </w:rPr>
        <w:t>.</w:t>
      </w:r>
    </w:p>
    <w:p w14:paraId="69E26997" w14:textId="77777777" w:rsidR="002C256C" w:rsidRDefault="002C256C" w:rsidP="00237C9C">
      <w:pPr>
        <w:jc w:val="both"/>
        <w:rPr>
          <w:rFonts w:ascii="Arial" w:hAnsi="Arial" w:cs="Arial"/>
        </w:rPr>
      </w:pPr>
    </w:p>
    <w:p w14:paraId="6627EDF5" w14:textId="77777777" w:rsidR="003F5BFA" w:rsidRDefault="003F5BFA" w:rsidP="003F5BFA">
      <w:pPr>
        <w:jc w:val="both"/>
        <w:rPr>
          <w:rFonts w:ascii="Arial" w:hAnsi="Arial" w:cs="Arial"/>
        </w:rPr>
      </w:pPr>
      <w:r w:rsidRPr="003B6A53">
        <w:rPr>
          <w:rFonts w:ascii="Arial" w:hAnsi="Arial" w:cs="Arial"/>
        </w:rPr>
        <w:t xml:space="preserve">While assumptions were made in the </w:t>
      </w:r>
      <w:r>
        <w:rPr>
          <w:rFonts w:ascii="Arial" w:hAnsi="Arial" w:cs="Arial"/>
        </w:rPr>
        <w:t>existing</w:t>
      </w:r>
      <w:r w:rsidRPr="003B6A53">
        <w:rPr>
          <w:rFonts w:ascii="Arial" w:hAnsi="Arial" w:cs="Arial"/>
        </w:rPr>
        <w:t xml:space="preserve"> MTFS, as a result of further developments over the last 12 months and to address the impact of new and emerging challenges, </w:t>
      </w:r>
      <w:r>
        <w:rPr>
          <w:rFonts w:ascii="Arial" w:hAnsi="Arial" w:cs="Arial"/>
        </w:rPr>
        <w:t xml:space="preserve">a number of </w:t>
      </w:r>
      <w:r w:rsidRPr="003B6A53">
        <w:rPr>
          <w:rFonts w:ascii="Arial" w:hAnsi="Arial" w:cs="Arial"/>
        </w:rPr>
        <w:t xml:space="preserve">further, permanent, increases in the Council’s cost base have been required in this MTFS.  </w:t>
      </w:r>
    </w:p>
    <w:p w14:paraId="06076E87" w14:textId="77777777" w:rsidR="003F5BFA" w:rsidRDefault="003F5BFA" w:rsidP="00237C9C">
      <w:pPr>
        <w:jc w:val="both"/>
        <w:rPr>
          <w:rFonts w:ascii="Arial" w:hAnsi="Arial" w:cs="Arial"/>
        </w:rPr>
      </w:pPr>
    </w:p>
    <w:p w14:paraId="25A5E9D6" w14:textId="5757C86D" w:rsidR="002C256C" w:rsidRDefault="002C256C" w:rsidP="002C256C">
      <w:pPr>
        <w:jc w:val="both"/>
        <w:rPr>
          <w:rFonts w:ascii="Arial" w:hAnsi="Arial" w:cs="Arial"/>
        </w:rPr>
      </w:pPr>
      <w:r>
        <w:rPr>
          <w:rFonts w:ascii="Arial" w:hAnsi="Arial" w:cs="Arial"/>
        </w:rPr>
        <w:t>Partially mitigating the impact of these further increases on the Council’s net cost base, has been a significant reduction in the annual level of employers pension contributions, following the latest triennial review of the Council’s Pension Fund (as set out in Spending Assumptions below).</w:t>
      </w:r>
    </w:p>
    <w:p w14:paraId="60869242" w14:textId="77777777" w:rsidR="002C256C" w:rsidRDefault="002C256C" w:rsidP="00237C9C">
      <w:pPr>
        <w:jc w:val="both"/>
        <w:rPr>
          <w:rFonts w:ascii="Arial" w:hAnsi="Arial" w:cs="Arial"/>
        </w:rPr>
      </w:pPr>
    </w:p>
    <w:p w14:paraId="53CC80AA" w14:textId="77777777" w:rsidR="00E26A36" w:rsidRDefault="000700D5" w:rsidP="00530E64">
      <w:pPr>
        <w:jc w:val="both"/>
        <w:rPr>
          <w:rFonts w:ascii="Arial" w:hAnsi="Arial" w:cs="Arial"/>
        </w:rPr>
      </w:pPr>
      <w:r>
        <w:rPr>
          <w:rFonts w:ascii="Arial" w:hAnsi="Arial" w:cs="Arial"/>
        </w:rPr>
        <w:t>Taken t</w:t>
      </w:r>
      <w:r w:rsidR="00530E64" w:rsidRPr="00E742DF">
        <w:rPr>
          <w:rFonts w:ascii="Arial" w:hAnsi="Arial" w:cs="Arial"/>
        </w:rPr>
        <w:t xml:space="preserve">ogether </w:t>
      </w:r>
      <w:r w:rsidR="007C6915">
        <w:rPr>
          <w:rFonts w:ascii="Arial" w:hAnsi="Arial" w:cs="Arial"/>
        </w:rPr>
        <w:t>the net impact of the</w:t>
      </w:r>
      <w:r w:rsidR="00530E64" w:rsidRPr="00E742DF">
        <w:rPr>
          <w:rFonts w:ascii="Arial" w:hAnsi="Arial" w:cs="Arial"/>
        </w:rPr>
        <w:t xml:space="preserve"> factors</w:t>
      </w:r>
      <w:r w:rsidR="007D0C0E">
        <w:rPr>
          <w:rFonts w:ascii="Arial" w:hAnsi="Arial" w:cs="Arial"/>
        </w:rPr>
        <w:t xml:space="preserve"> </w:t>
      </w:r>
      <w:r w:rsidR="00FB0302">
        <w:rPr>
          <w:rFonts w:ascii="Arial" w:hAnsi="Arial" w:cs="Arial"/>
        </w:rPr>
        <w:t>create</w:t>
      </w:r>
      <w:r w:rsidR="007C6915">
        <w:rPr>
          <w:rFonts w:ascii="Arial" w:hAnsi="Arial" w:cs="Arial"/>
        </w:rPr>
        <w:t>s</w:t>
      </w:r>
      <w:r w:rsidR="007D0C0E">
        <w:rPr>
          <w:rFonts w:ascii="Arial" w:hAnsi="Arial" w:cs="Arial"/>
        </w:rPr>
        <w:t xml:space="preserve"> </w:t>
      </w:r>
      <w:r w:rsidR="00F22942">
        <w:rPr>
          <w:rFonts w:ascii="Arial" w:hAnsi="Arial" w:cs="Arial"/>
        </w:rPr>
        <w:t>a</w:t>
      </w:r>
      <w:r w:rsidR="00530E64" w:rsidRPr="00E742DF">
        <w:rPr>
          <w:rFonts w:ascii="Arial" w:hAnsi="Arial" w:cs="Arial"/>
        </w:rPr>
        <w:t xml:space="preserve"> situation </w:t>
      </w:r>
      <w:r w:rsidR="00F86ED9">
        <w:rPr>
          <w:rFonts w:ascii="Arial" w:hAnsi="Arial" w:cs="Arial"/>
        </w:rPr>
        <w:t xml:space="preserve">where </w:t>
      </w:r>
      <w:r w:rsidR="00530E64" w:rsidRPr="00E742DF">
        <w:rPr>
          <w:rFonts w:ascii="Arial" w:hAnsi="Arial" w:cs="Arial"/>
        </w:rPr>
        <w:t xml:space="preserve">the Council’s cost base </w:t>
      </w:r>
      <w:r w:rsidR="009E48E1">
        <w:rPr>
          <w:rFonts w:ascii="Arial" w:hAnsi="Arial" w:cs="Arial"/>
        </w:rPr>
        <w:t xml:space="preserve">has </w:t>
      </w:r>
      <w:r w:rsidR="001C2526">
        <w:rPr>
          <w:rFonts w:ascii="Arial" w:hAnsi="Arial" w:cs="Arial"/>
        </w:rPr>
        <w:t xml:space="preserve">been </w:t>
      </w:r>
      <w:r w:rsidR="00530E64" w:rsidRPr="00E742DF">
        <w:rPr>
          <w:rFonts w:ascii="Arial" w:hAnsi="Arial" w:cs="Arial"/>
        </w:rPr>
        <w:t>increas</w:t>
      </w:r>
      <w:r w:rsidR="001C2526">
        <w:rPr>
          <w:rFonts w:ascii="Arial" w:hAnsi="Arial" w:cs="Arial"/>
        </w:rPr>
        <w:t xml:space="preserve">ing </w:t>
      </w:r>
      <w:r w:rsidR="00530E64" w:rsidRPr="00E742DF">
        <w:rPr>
          <w:rFonts w:ascii="Arial" w:hAnsi="Arial" w:cs="Arial"/>
        </w:rPr>
        <w:t xml:space="preserve">at a greater pace than the </w:t>
      </w:r>
      <w:r w:rsidR="007705E2">
        <w:rPr>
          <w:rFonts w:ascii="Arial" w:hAnsi="Arial" w:cs="Arial"/>
        </w:rPr>
        <w:t>income</w:t>
      </w:r>
      <w:r w:rsidR="00530E64" w:rsidRPr="00E742DF">
        <w:rPr>
          <w:rFonts w:ascii="Arial" w:hAnsi="Arial" w:cs="Arial"/>
        </w:rPr>
        <w:t xml:space="preserve"> </w:t>
      </w:r>
      <w:r w:rsidR="004F3B74">
        <w:rPr>
          <w:rFonts w:ascii="Arial" w:hAnsi="Arial" w:cs="Arial"/>
        </w:rPr>
        <w:t xml:space="preserve">it </w:t>
      </w:r>
      <w:r w:rsidR="00530E64" w:rsidRPr="00E742DF">
        <w:rPr>
          <w:rFonts w:ascii="Arial" w:hAnsi="Arial" w:cs="Arial"/>
        </w:rPr>
        <w:t>receive</w:t>
      </w:r>
      <w:r w:rsidR="004F3B74">
        <w:rPr>
          <w:rFonts w:ascii="Arial" w:hAnsi="Arial" w:cs="Arial"/>
        </w:rPr>
        <w:t xml:space="preserve">s </w:t>
      </w:r>
      <w:r w:rsidR="00530E64" w:rsidRPr="00E742DF">
        <w:rPr>
          <w:rFonts w:ascii="Arial" w:hAnsi="Arial" w:cs="Arial"/>
        </w:rPr>
        <w:t>from local taxation and Government funding</w:t>
      </w:r>
      <w:r w:rsidR="00E26A36">
        <w:rPr>
          <w:rFonts w:ascii="Arial" w:hAnsi="Arial" w:cs="Arial"/>
        </w:rPr>
        <w:t>, exacerbated by the historical underfunding created but the local government finance system</w:t>
      </w:r>
      <w:r w:rsidR="00530E64" w:rsidRPr="00E742DF">
        <w:rPr>
          <w:rFonts w:ascii="Arial" w:hAnsi="Arial" w:cs="Arial"/>
        </w:rPr>
        <w:t>.</w:t>
      </w:r>
      <w:r w:rsidR="002C512E">
        <w:rPr>
          <w:rFonts w:ascii="Arial" w:hAnsi="Arial" w:cs="Arial"/>
        </w:rPr>
        <w:t xml:space="preserve"> </w:t>
      </w:r>
    </w:p>
    <w:p w14:paraId="15EB7168" w14:textId="33E1FAC5" w:rsidR="00530E64" w:rsidRDefault="0073265D" w:rsidP="00530E64">
      <w:pPr>
        <w:jc w:val="both"/>
        <w:rPr>
          <w:rFonts w:ascii="Arial" w:hAnsi="Arial" w:cs="Arial"/>
        </w:rPr>
      </w:pPr>
      <w:r>
        <w:rPr>
          <w:rFonts w:ascii="Arial" w:hAnsi="Arial" w:cs="Arial"/>
        </w:rPr>
        <w:t>The</w:t>
      </w:r>
      <w:r w:rsidR="00AE54E3">
        <w:rPr>
          <w:rFonts w:ascii="Arial" w:hAnsi="Arial" w:cs="Arial"/>
        </w:rPr>
        <w:t xml:space="preserve"> </w:t>
      </w:r>
      <w:r w:rsidR="00530E64" w:rsidRPr="00E742DF">
        <w:rPr>
          <w:rFonts w:ascii="Arial" w:hAnsi="Arial" w:cs="Arial"/>
        </w:rPr>
        <w:t>FFR better reflects the demand for local services and each authority’s ability to raise local taxes</w:t>
      </w:r>
      <w:r w:rsidR="00DB1C40">
        <w:rPr>
          <w:rFonts w:ascii="Arial" w:hAnsi="Arial" w:cs="Arial"/>
        </w:rPr>
        <w:t xml:space="preserve">, </w:t>
      </w:r>
      <w:r w:rsidR="003B775B">
        <w:rPr>
          <w:rFonts w:ascii="Arial" w:hAnsi="Arial" w:cs="Arial"/>
        </w:rPr>
        <w:t>r</w:t>
      </w:r>
      <w:r w:rsidR="003B775B" w:rsidRPr="003B775B">
        <w:rPr>
          <w:rFonts w:ascii="Arial" w:hAnsi="Arial" w:cs="Arial"/>
        </w:rPr>
        <w:t>evers</w:t>
      </w:r>
      <w:r w:rsidR="003B775B">
        <w:rPr>
          <w:rFonts w:ascii="Arial" w:hAnsi="Arial" w:cs="Arial"/>
        </w:rPr>
        <w:t>ing</w:t>
      </w:r>
      <w:r w:rsidR="003B775B" w:rsidRPr="003B775B">
        <w:rPr>
          <w:rFonts w:ascii="Arial" w:hAnsi="Arial" w:cs="Arial"/>
        </w:rPr>
        <w:t xml:space="preserve"> the years of unfair funding caused by outdated formulas that disproportionately penalised deprived areas</w:t>
      </w:r>
      <w:r w:rsidR="00870FF5">
        <w:rPr>
          <w:rFonts w:ascii="Arial" w:hAnsi="Arial" w:cs="Arial"/>
        </w:rPr>
        <w:t xml:space="preserve">.  </w:t>
      </w:r>
      <w:r w:rsidR="00AE54E3" w:rsidRPr="00E742DF">
        <w:rPr>
          <w:rFonts w:ascii="Arial" w:hAnsi="Arial" w:cs="Arial"/>
        </w:rPr>
        <w:t xml:space="preserve">The positive outcome </w:t>
      </w:r>
      <w:r w:rsidR="002C40B5">
        <w:rPr>
          <w:rFonts w:ascii="Arial" w:hAnsi="Arial" w:cs="Arial"/>
        </w:rPr>
        <w:t xml:space="preserve">from the </w:t>
      </w:r>
      <w:r w:rsidR="003E508D">
        <w:rPr>
          <w:rFonts w:ascii="Arial" w:hAnsi="Arial" w:cs="Arial"/>
        </w:rPr>
        <w:t>FFR</w:t>
      </w:r>
      <w:r w:rsidR="002C40B5">
        <w:rPr>
          <w:rFonts w:ascii="Arial" w:hAnsi="Arial" w:cs="Arial"/>
        </w:rPr>
        <w:t xml:space="preserve"> </w:t>
      </w:r>
      <w:r w:rsidR="00530E64">
        <w:rPr>
          <w:rFonts w:ascii="Arial" w:hAnsi="Arial" w:cs="Arial"/>
        </w:rPr>
        <w:t>has provided the Council with the financial capacity to absorb the cost</w:t>
      </w:r>
      <w:r w:rsidR="00614A1F">
        <w:rPr>
          <w:rFonts w:ascii="Arial" w:hAnsi="Arial" w:cs="Arial"/>
        </w:rPr>
        <w:t xml:space="preserve"> and </w:t>
      </w:r>
      <w:r w:rsidR="00530E64">
        <w:rPr>
          <w:rFonts w:ascii="Arial" w:hAnsi="Arial" w:cs="Arial"/>
        </w:rPr>
        <w:t>demand pressures it has faced and to close the structural ga</w:t>
      </w:r>
      <w:r w:rsidR="00D92380">
        <w:rPr>
          <w:rFonts w:ascii="Arial" w:hAnsi="Arial" w:cs="Arial"/>
        </w:rPr>
        <w:t xml:space="preserve">p </w:t>
      </w:r>
      <w:r w:rsidR="00530E64">
        <w:rPr>
          <w:rFonts w:ascii="Arial" w:hAnsi="Arial" w:cs="Arial"/>
        </w:rPr>
        <w:t>between income and expenditure.</w:t>
      </w:r>
    </w:p>
    <w:p w14:paraId="0D0753E5" w14:textId="77777777" w:rsidR="000A320D" w:rsidRPr="002B41B0" w:rsidRDefault="000A320D">
      <w:pPr>
        <w:jc w:val="both"/>
        <w:rPr>
          <w:rFonts w:ascii="Arial" w:hAnsi="Arial" w:cs="Arial"/>
          <w:b/>
          <w:color w:val="C45911"/>
          <w:sz w:val="28"/>
          <w:szCs w:val="28"/>
          <w:highlight w:val="yellow"/>
        </w:rPr>
      </w:pPr>
    </w:p>
    <w:p w14:paraId="2FDAA674" w14:textId="07882530" w:rsidR="002C4044" w:rsidRPr="007176D1" w:rsidRDefault="002C4044">
      <w:pPr>
        <w:jc w:val="both"/>
        <w:rPr>
          <w:rFonts w:ascii="Arial" w:hAnsi="Arial" w:cs="Arial"/>
          <w:b/>
          <w:color w:val="C45911"/>
          <w:sz w:val="28"/>
          <w:szCs w:val="28"/>
        </w:rPr>
      </w:pPr>
      <w:r w:rsidRPr="007176D1">
        <w:rPr>
          <w:rFonts w:ascii="Arial" w:hAnsi="Arial" w:cs="Arial"/>
          <w:b/>
          <w:color w:val="C45911"/>
          <w:sz w:val="28"/>
          <w:szCs w:val="28"/>
        </w:rPr>
        <w:t>Spending Plans</w:t>
      </w:r>
    </w:p>
    <w:p w14:paraId="72308EC6" w14:textId="77777777" w:rsidR="002C4044" w:rsidRPr="007176D1" w:rsidRDefault="002C4044">
      <w:pPr>
        <w:jc w:val="both"/>
        <w:rPr>
          <w:rFonts w:ascii="Arial" w:hAnsi="Arial" w:cs="Arial"/>
          <w:b/>
          <w:color w:val="0000FF"/>
          <w:sz w:val="28"/>
          <w:szCs w:val="28"/>
        </w:rPr>
      </w:pPr>
    </w:p>
    <w:p w14:paraId="64F4290B" w14:textId="77777777" w:rsidR="000E0EC2" w:rsidRDefault="00847707" w:rsidP="00917371">
      <w:pPr>
        <w:jc w:val="both"/>
        <w:rPr>
          <w:rFonts w:ascii="Arial" w:hAnsi="Arial" w:cs="Arial"/>
          <w:lang w:eastAsia="en-GB"/>
        </w:rPr>
      </w:pPr>
      <w:r w:rsidRPr="007176D1">
        <w:rPr>
          <w:rFonts w:ascii="Arial" w:hAnsi="Arial" w:cs="Arial"/>
          <w:lang w:eastAsia="en-GB"/>
        </w:rPr>
        <w:t>The MTFS is c</w:t>
      </w:r>
      <w:r w:rsidR="00ED45FB" w:rsidRPr="007176D1">
        <w:rPr>
          <w:rFonts w:ascii="Arial" w:hAnsi="Arial" w:cs="Arial"/>
          <w:lang w:eastAsia="en-GB"/>
        </w:rPr>
        <w:t xml:space="preserve">entral to identifying the Council’s financial capacity to deliver its vision and strategic priorities, </w:t>
      </w:r>
      <w:r w:rsidRPr="007176D1">
        <w:rPr>
          <w:rFonts w:ascii="Arial" w:hAnsi="Arial" w:cs="Arial"/>
          <w:lang w:eastAsia="en-GB"/>
        </w:rPr>
        <w:t xml:space="preserve">this requires a balance to be struck between the need to support the delivery of the vision </w:t>
      </w:r>
      <w:r w:rsidR="007111C6" w:rsidRPr="007176D1">
        <w:rPr>
          <w:rFonts w:ascii="Arial" w:hAnsi="Arial" w:cs="Arial"/>
          <w:lang w:eastAsia="en-GB"/>
        </w:rPr>
        <w:t xml:space="preserve">with the need to maintain a sustainable financial position. </w:t>
      </w:r>
    </w:p>
    <w:p w14:paraId="1563CC1C" w14:textId="77777777" w:rsidR="00193EEB" w:rsidRDefault="00193EEB" w:rsidP="00917371">
      <w:pPr>
        <w:jc w:val="both"/>
        <w:rPr>
          <w:rFonts w:ascii="Arial" w:hAnsi="Arial" w:cs="Arial"/>
          <w:lang w:eastAsia="en-GB"/>
        </w:rPr>
      </w:pPr>
    </w:p>
    <w:p w14:paraId="3EAEAB1A" w14:textId="58EF6330" w:rsidR="000625CA" w:rsidRDefault="008528D8" w:rsidP="00917371">
      <w:pPr>
        <w:jc w:val="both"/>
        <w:rPr>
          <w:rFonts w:ascii="Arial" w:hAnsi="Arial" w:cs="Arial"/>
          <w:lang w:eastAsia="en-GB"/>
        </w:rPr>
      </w:pPr>
      <w:r>
        <w:rPr>
          <w:rFonts w:ascii="Arial" w:hAnsi="Arial" w:cs="Arial"/>
          <w:lang w:eastAsia="en-GB"/>
        </w:rPr>
        <w:t>Historically</w:t>
      </w:r>
      <w:r w:rsidR="00F11902">
        <w:rPr>
          <w:rFonts w:ascii="Arial" w:hAnsi="Arial" w:cs="Arial"/>
          <w:lang w:eastAsia="en-GB"/>
        </w:rPr>
        <w:t>,</w:t>
      </w:r>
      <w:r>
        <w:rPr>
          <w:rFonts w:ascii="Arial" w:hAnsi="Arial" w:cs="Arial"/>
          <w:lang w:eastAsia="en-GB"/>
        </w:rPr>
        <w:t xml:space="preserve"> this </w:t>
      </w:r>
      <w:r w:rsidR="004E1EA6">
        <w:rPr>
          <w:rFonts w:ascii="Arial" w:hAnsi="Arial" w:cs="Arial"/>
          <w:lang w:eastAsia="en-GB"/>
        </w:rPr>
        <w:t xml:space="preserve">has been a difficult balance </w:t>
      </w:r>
      <w:r w:rsidR="00F11902">
        <w:rPr>
          <w:rFonts w:ascii="Arial" w:hAnsi="Arial" w:cs="Arial"/>
          <w:lang w:eastAsia="en-GB"/>
        </w:rPr>
        <w:t>due</w:t>
      </w:r>
      <w:r w:rsidR="00196020">
        <w:rPr>
          <w:rFonts w:ascii="Arial" w:hAnsi="Arial" w:cs="Arial"/>
          <w:lang w:eastAsia="en-GB"/>
        </w:rPr>
        <w:t xml:space="preserve"> the structural funding gap and necessary</w:t>
      </w:r>
      <w:r w:rsidR="002E012C">
        <w:rPr>
          <w:rFonts w:ascii="Arial" w:hAnsi="Arial" w:cs="Arial"/>
          <w:lang w:eastAsia="en-GB"/>
        </w:rPr>
        <w:t xml:space="preserve"> savings </w:t>
      </w:r>
      <w:r w:rsidR="00196020">
        <w:rPr>
          <w:rFonts w:ascii="Arial" w:hAnsi="Arial" w:cs="Arial"/>
          <w:lang w:eastAsia="en-GB"/>
        </w:rPr>
        <w:t xml:space="preserve">target that </w:t>
      </w:r>
      <w:r w:rsidR="00F11902">
        <w:rPr>
          <w:rFonts w:ascii="Arial" w:hAnsi="Arial" w:cs="Arial"/>
          <w:lang w:eastAsia="en-GB"/>
        </w:rPr>
        <w:t>underpinn</w:t>
      </w:r>
      <w:r w:rsidR="00196020">
        <w:rPr>
          <w:rFonts w:ascii="Arial" w:hAnsi="Arial" w:cs="Arial"/>
          <w:lang w:eastAsia="en-GB"/>
        </w:rPr>
        <w:t>ed</w:t>
      </w:r>
      <w:r w:rsidR="00F11902">
        <w:rPr>
          <w:rFonts w:ascii="Arial" w:hAnsi="Arial" w:cs="Arial"/>
          <w:lang w:eastAsia="en-GB"/>
        </w:rPr>
        <w:t xml:space="preserve"> the MTFS.  </w:t>
      </w:r>
      <w:r w:rsidR="00ED2D08">
        <w:rPr>
          <w:rFonts w:ascii="Arial" w:hAnsi="Arial" w:cs="Arial"/>
          <w:lang w:eastAsia="en-GB"/>
        </w:rPr>
        <w:t>T</w:t>
      </w:r>
      <w:r w:rsidR="00193EEB" w:rsidRPr="001666C9">
        <w:rPr>
          <w:rFonts w:ascii="Arial" w:hAnsi="Arial" w:cs="Arial"/>
          <w:lang w:eastAsia="en-GB"/>
        </w:rPr>
        <w:t xml:space="preserve">he positive outcome from the FFR </w:t>
      </w:r>
      <w:r w:rsidR="00ED2D08">
        <w:rPr>
          <w:rFonts w:ascii="Arial" w:hAnsi="Arial" w:cs="Arial"/>
          <w:lang w:eastAsia="en-GB"/>
        </w:rPr>
        <w:t xml:space="preserve">has been a pivotal moment for the </w:t>
      </w:r>
      <w:r>
        <w:rPr>
          <w:rFonts w:ascii="Arial" w:hAnsi="Arial" w:cs="Arial"/>
          <w:lang w:eastAsia="en-GB"/>
        </w:rPr>
        <w:t xml:space="preserve">MTFS and </w:t>
      </w:r>
      <w:r w:rsidR="00F02EF6">
        <w:rPr>
          <w:rFonts w:ascii="Arial" w:hAnsi="Arial" w:cs="Arial"/>
          <w:lang w:eastAsia="en-GB"/>
        </w:rPr>
        <w:t xml:space="preserve">along with previous prudent budget assumptions, </w:t>
      </w:r>
      <w:r>
        <w:rPr>
          <w:rFonts w:ascii="Arial" w:hAnsi="Arial" w:cs="Arial"/>
          <w:lang w:eastAsia="en-GB"/>
        </w:rPr>
        <w:t>has</w:t>
      </w:r>
      <w:r w:rsidR="0034686D">
        <w:rPr>
          <w:rFonts w:ascii="Arial" w:hAnsi="Arial" w:cs="Arial"/>
          <w:lang w:eastAsia="en-GB"/>
        </w:rPr>
        <w:t xml:space="preserve"> provided the financial resources </w:t>
      </w:r>
      <w:r w:rsidR="00165F93">
        <w:rPr>
          <w:rFonts w:ascii="Arial" w:hAnsi="Arial" w:cs="Arial"/>
          <w:lang w:eastAsia="en-GB"/>
        </w:rPr>
        <w:t>to negate the need for a savings target</w:t>
      </w:r>
      <w:r w:rsidR="004A08AE">
        <w:rPr>
          <w:rFonts w:ascii="Arial" w:hAnsi="Arial" w:cs="Arial"/>
          <w:lang w:eastAsia="en-GB"/>
        </w:rPr>
        <w:t>, to meet the net additional increase in cost base arising from the spending pressures outline above,</w:t>
      </w:r>
      <w:r w:rsidR="00165F93">
        <w:rPr>
          <w:rFonts w:ascii="Arial" w:hAnsi="Arial" w:cs="Arial"/>
          <w:lang w:eastAsia="en-GB"/>
        </w:rPr>
        <w:t xml:space="preserve"> and </w:t>
      </w:r>
      <w:r w:rsidR="00372F90">
        <w:rPr>
          <w:rFonts w:ascii="Arial" w:hAnsi="Arial" w:cs="Arial"/>
          <w:lang w:eastAsia="en-GB"/>
        </w:rPr>
        <w:t xml:space="preserve">allow for further investment </w:t>
      </w:r>
      <w:r w:rsidR="008256C7">
        <w:rPr>
          <w:rFonts w:ascii="Arial" w:hAnsi="Arial" w:cs="Arial"/>
          <w:lang w:eastAsia="en-GB"/>
        </w:rPr>
        <w:t xml:space="preserve">to </w:t>
      </w:r>
      <w:r w:rsidR="004A08AE">
        <w:rPr>
          <w:rFonts w:ascii="Arial" w:hAnsi="Arial" w:cs="Arial"/>
          <w:lang w:eastAsia="en-GB"/>
        </w:rPr>
        <w:t>support the Council’s priorities</w:t>
      </w:r>
      <w:r w:rsidR="008256C7">
        <w:rPr>
          <w:rFonts w:ascii="Arial" w:hAnsi="Arial" w:cs="Arial"/>
          <w:lang w:eastAsia="en-GB"/>
        </w:rPr>
        <w:t>.</w:t>
      </w:r>
    </w:p>
    <w:p w14:paraId="4ACED4BD" w14:textId="77777777" w:rsidR="008256C7" w:rsidRDefault="008256C7" w:rsidP="00917371">
      <w:pPr>
        <w:jc w:val="both"/>
        <w:rPr>
          <w:rFonts w:ascii="Arial" w:hAnsi="Arial" w:cs="Arial"/>
          <w:lang w:eastAsia="en-GB"/>
        </w:rPr>
      </w:pPr>
    </w:p>
    <w:p w14:paraId="29B38D67" w14:textId="62DA9330" w:rsidR="00775C6E" w:rsidRDefault="00D03304" w:rsidP="00917371">
      <w:pPr>
        <w:jc w:val="both"/>
        <w:rPr>
          <w:rFonts w:ascii="Arial" w:hAnsi="Arial" w:cs="Arial"/>
          <w:lang w:eastAsia="en-GB"/>
        </w:rPr>
      </w:pPr>
      <w:r>
        <w:rPr>
          <w:rFonts w:ascii="Arial" w:hAnsi="Arial" w:cs="Arial"/>
          <w:lang w:eastAsia="en-GB"/>
        </w:rPr>
        <w:t xml:space="preserve">However, the allocation of resources to </w:t>
      </w:r>
      <w:r w:rsidR="002C6B59">
        <w:rPr>
          <w:rFonts w:ascii="Arial" w:hAnsi="Arial" w:cs="Arial"/>
          <w:lang w:eastAsia="en-GB"/>
        </w:rPr>
        <w:t>Vision 2030 needs to be set in the context of</w:t>
      </w:r>
      <w:r w:rsidR="0005465C">
        <w:rPr>
          <w:rFonts w:ascii="Arial" w:hAnsi="Arial" w:cs="Arial"/>
          <w:lang w:eastAsia="en-GB"/>
        </w:rPr>
        <w:t xml:space="preserve">, and tempered by, </w:t>
      </w:r>
      <w:r w:rsidR="002C6B59">
        <w:rPr>
          <w:rFonts w:ascii="Arial" w:hAnsi="Arial" w:cs="Arial"/>
          <w:lang w:eastAsia="en-GB"/>
        </w:rPr>
        <w:t>LGR</w:t>
      </w:r>
      <w:r w:rsidR="00E43E9C">
        <w:rPr>
          <w:rFonts w:ascii="Arial" w:hAnsi="Arial" w:cs="Arial"/>
          <w:lang w:eastAsia="en-GB"/>
        </w:rPr>
        <w:t>,</w:t>
      </w:r>
      <w:r w:rsidR="002C6B59">
        <w:rPr>
          <w:rFonts w:ascii="Arial" w:hAnsi="Arial" w:cs="Arial"/>
          <w:lang w:eastAsia="en-GB"/>
        </w:rPr>
        <w:t xml:space="preserve"> in terms of </w:t>
      </w:r>
      <w:r w:rsidR="00D24BC8">
        <w:rPr>
          <w:rFonts w:ascii="Arial" w:hAnsi="Arial" w:cs="Arial"/>
          <w:lang w:eastAsia="en-GB"/>
        </w:rPr>
        <w:t>setting aside resources for transition activities</w:t>
      </w:r>
      <w:r w:rsidR="00E43E9C">
        <w:rPr>
          <w:rFonts w:ascii="Arial" w:hAnsi="Arial" w:cs="Arial"/>
          <w:lang w:eastAsia="en-GB"/>
        </w:rPr>
        <w:t>,</w:t>
      </w:r>
      <w:r w:rsidR="00D24BC8">
        <w:rPr>
          <w:rFonts w:ascii="Arial" w:hAnsi="Arial" w:cs="Arial"/>
          <w:lang w:eastAsia="en-GB"/>
        </w:rPr>
        <w:t xml:space="preserve"> ensuring any new financial commitments are sustainable </w:t>
      </w:r>
      <w:r w:rsidR="00317715">
        <w:rPr>
          <w:rFonts w:ascii="Arial" w:hAnsi="Arial" w:cs="Arial"/>
          <w:lang w:eastAsia="en-GB"/>
        </w:rPr>
        <w:t>without creating any legacy issues</w:t>
      </w:r>
      <w:r w:rsidR="00E43E9C">
        <w:rPr>
          <w:rFonts w:ascii="Arial" w:hAnsi="Arial" w:cs="Arial"/>
          <w:lang w:eastAsia="en-GB"/>
        </w:rPr>
        <w:t xml:space="preserve"> and </w:t>
      </w:r>
      <w:r w:rsidR="005308C1">
        <w:rPr>
          <w:rFonts w:ascii="Arial" w:hAnsi="Arial" w:cs="Arial"/>
          <w:lang w:eastAsia="en-GB"/>
        </w:rPr>
        <w:t>ensuring the internal capacity to deliver against both</w:t>
      </w:r>
      <w:r w:rsidR="00A7328A">
        <w:rPr>
          <w:rFonts w:ascii="Arial" w:hAnsi="Arial" w:cs="Arial"/>
          <w:lang w:eastAsia="en-GB"/>
        </w:rPr>
        <w:t>, while also</w:t>
      </w:r>
      <w:r w:rsidR="005447D6">
        <w:rPr>
          <w:rFonts w:ascii="Arial" w:hAnsi="Arial" w:cs="Arial"/>
          <w:lang w:eastAsia="en-GB"/>
        </w:rPr>
        <w:t xml:space="preserve"> </w:t>
      </w:r>
      <w:r w:rsidR="00587471">
        <w:rPr>
          <w:rFonts w:ascii="Arial" w:hAnsi="Arial" w:cs="Arial"/>
          <w:lang w:eastAsia="en-GB"/>
        </w:rPr>
        <w:t>maintain</w:t>
      </w:r>
      <w:r w:rsidR="00A7328A">
        <w:rPr>
          <w:rFonts w:ascii="Arial" w:hAnsi="Arial" w:cs="Arial"/>
          <w:lang w:eastAsia="en-GB"/>
        </w:rPr>
        <w:t>ing</w:t>
      </w:r>
      <w:r w:rsidR="00587471">
        <w:rPr>
          <w:rFonts w:ascii="Arial" w:hAnsi="Arial" w:cs="Arial"/>
          <w:lang w:eastAsia="en-GB"/>
        </w:rPr>
        <w:t xml:space="preserve"> full </w:t>
      </w:r>
      <w:r w:rsidR="00587471" w:rsidRPr="00896A15">
        <w:rPr>
          <w:rFonts w:ascii="Arial" w:hAnsi="Arial" w:cs="Arial"/>
          <w:lang w:eastAsia="en-GB"/>
        </w:rPr>
        <w:t>service delivery.</w:t>
      </w:r>
      <w:r w:rsidR="002E1057" w:rsidRPr="00896A15">
        <w:rPr>
          <w:rFonts w:ascii="Arial" w:hAnsi="Arial" w:cs="Arial"/>
          <w:lang w:eastAsia="en-GB"/>
        </w:rPr>
        <w:t xml:space="preserve"> </w:t>
      </w:r>
    </w:p>
    <w:p w14:paraId="1453DD66" w14:textId="77777777" w:rsidR="00A7328A" w:rsidRDefault="00A7328A" w:rsidP="00917371">
      <w:pPr>
        <w:jc w:val="both"/>
        <w:rPr>
          <w:rFonts w:ascii="Arial" w:hAnsi="Arial" w:cs="Arial"/>
          <w:lang w:eastAsia="en-GB"/>
        </w:rPr>
      </w:pPr>
    </w:p>
    <w:p w14:paraId="6047B1F9" w14:textId="0E719767" w:rsidR="00A7328A" w:rsidRDefault="00677FFA" w:rsidP="00917371">
      <w:pPr>
        <w:jc w:val="both"/>
        <w:rPr>
          <w:rFonts w:ascii="Arial" w:hAnsi="Arial" w:cs="Arial"/>
          <w:lang w:eastAsia="en-GB"/>
        </w:rPr>
      </w:pPr>
      <w:r>
        <w:rPr>
          <w:rFonts w:ascii="Arial" w:hAnsi="Arial" w:cs="Arial"/>
          <w:lang w:eastAsia="en-GB"/>
        </w:rPr>
        <w:t>T</w:t>
      </w:r>
      <w:r w:rsidR="00D93292">
        <w:rPr>
          <w:rFonts w:ascii="Arial" w:hAnsi="Arial" w:cs="Arial"/>
          <w:lang w:eastAsia="en-GB"/>
        </w:rPr>
        <w:t xml:space="preserve">he additional </w:t>
      </w:r>
      <w:r>
        <w:rPr>
          <w:rFonts w:ascii="Arial" w:hAnsi="Arial" w:cs="Arial"/>
          <w:lang w:eastAsia="en-GB"/>
        </w:rPr>
        <w:t xml:space="preserve">available </w:t>
      </w:r>
      <w:r w:rsidR="00D93292">
        <w:rPr>
          <w:rFonts w:ascii="Arial" w:hAnsi="Arial" w:cs="Arial"/>
          <w:lang w:eastAsia="en-GB"/>
        </w:rPr>
        <w:t xml:space="preserve">resources will be </w:t>
      </w:r>
      <w:r w:rsidR="00D0672F">
        <w:rPr>
          <w:rFonts w:ascii="Arial" w:hAnsi="Arial" w:cs="Arial"/>
          <w:lang w:eastAsia="en-GB"/>
        </w:rPr>
        <w:t>prioritised as follows:</w:t>
      </w:r>
    </w:p>
    <w:p w14:paraId="22D0ED4E" w14:textId="77777777" w:rsidR="00D0672F" w:rsidRPr="00D14EAE" w:rsidRDefault="00D0672F" w:rsidP="00D14EAE">
      <w:pPr>
        <w:jc w:val="both"/>
        <w:rPr>
          <w:rFonts w:ascii="Arial" w:hAnsi="Arial" w:cs="Arial"/>
          <w:lang w:eastAsia="en-GB"/>
        </w:rPr>
      </w:pPr>
    </w:p>
    <w:p w14:paraId="23F0BD4B" w14:textId="77777777" w:rsidR="00D14EAE" w:rsidRPr="00D14EAE" w:rsidRDefault="001D1812" w:rsidP="00D14EAE">
      <w:pPr>
        <w:pStyle w:val="ListParagraph"/>
        <w:numPr>
          <w:ilvl w:val="0"/>
          <w:numId w:val="63"/>
        </w:numPr>
        <w:autoSpaceDE w:val="0"/>
        <w:autoSpaceDN w:val="0"/>
        <w:adjustRightInd w:val="0"/>
        <w:spacing w:after="0" w:line="240" w:lineRule="auto"/>
        <w:jc w:val="both"/>
        <w:rPr>
          <w:rFonts w:ascii="Arial" w:hAnsi="Arial" w:cs="Arial"/>
          <w:sz w:val="24"/>
          <w:szCs w:val="24"/>
        </w:rPr>
      </w:pPr>
      <w:r w:rsidRPr="00D14EAE">
        <w:rPr>
          <w:rFonts w:ascii="Arial" w:hAnsi="Arial" w:cs="Arial"/>
          <w:sz w:val="24"/>
          <w:szCs w:val="24"/>
          <w:lang w:eastAsia="en-GB"/>
        </w:rPr>
        <w:t>£0.910m will be available through the Vision 2030 earmarked reserve</w:t>
      </w:r>
      <w:r w:rsidR="00843D37" w:rsidRPr="00D14EAE">
        <w:rPr>
          <w:rFonts w:ascii="Arial" w:hAnsi="Arial" w:cs="Arial"/>
          <w:sz w:val="24"/>
          <w:szCs w:val="24"/>
          <w:lang w:eastAsia="en-GB"/>
        </w:rPr>
        <w:t xml:space="preserve"> to support delivery of the Council’s strategic priorities.  </w:t>
      </w:r>
      <w:r w:rsidR="00A03015" w:rsidRPr="00D14EAE">
        <w:rPr>
          <w:rFonts w:ascii="Arial" w:hAnsi="Arial" w:cs="Arial"/>
          <w:sz w:val="24"/>
          <w:szCs w:val="24"/>
          <w:lang w:eastAsia="en-GB"/>
        </w:rPr>
        <w:t xml:space="preserve">This revenue funding will be used to fund one-off projects and activities or be used as pump-priming/invest to save </w:t>
      </w:r>
      <w:r w:rsidR="00540E2D" w:rsidRPr="00D14EAE">
        <w:rPr>
          <w:rFonts w:ascii="Arial" w:hAnsi="Arial" w:cs="Arial"/>
          <w:sz w:val="24"/>
          <w:szCs w:val="24"/>
          <w:lang w:eastAsia="en-GB"/>
        </w:rPr>
        <w:t>funding</w:t>
      </w:r>
      <w:r w:rsidR="00867237" w:rsidRPr="00D14EAE">
        <w:rPr>
          <w:rFonts w:ascii="Arial" w:hAnsi="Arial" w:cs="Arial"/>
          <w:sz w:val="24"/>
          <w:szCs w:val="24"/>
          <w:lang w:eastAsia="en-GB"/>
        </w:rPr>
        <w:t xml:space="preserve">, </w:t>
      </w:r>
      <w:r w:rsidR="00540E2D" w:rsidRPr="00D14EAE">
        <w:rPr>
          <w:rFonts w:ascii="Arial" w:hAnsi="Arial" w:cs="Arial"/>
          <w:sz w:val="24"/>
          <w:szCs w:val="24"/>
          <w:lang w:eastAsia="en-GB"/>
        </w:rPr>
        <w:t xml:space="preserve"> </w:t>
      </w:r>
      <w:r w:rsidR="00867237" w:rsidRPr="00D14EAE">
        <w:rPr>
          <w:rFonts w:ascii="Arial" w:hAnsi="Arial" w:cs="Arial"/>
          <w:sz w:val="24"/>
          <w:szCs w:val="24"/>
          <w:lang w:eastAsia="en-GB"/>
        </w:rPr>
        <w:t>with the</w:t>
      </w:r>
      <w:r w:rsidR="00540E2D" w:rsidRPr="00D14EAE">
        <w:rPr>
          <w:rFonts w:ascii="Arial" w:hAnsi="Arial" w:cs="Arial"/>
          <w:sz w:val="24"/>
          <w:szCs w:val="24"/>
          <w:lang w:eastAsia="en-GB"/>
        </w:rPr>
        <w:t xml:space="preserve"> intention </w:t>
      </w:r>
      <w:r w:rsidR="00867237" w:rsidRPr="00D14EAE">
        <w:rPr>
          <w:rFonts w:ascii="Arial" w:hAnsi="Arial" w:cs="Arial"/>
          <w:sz w:val="24"/>
          <w:szCs w:val="24"/>
          <w:lang w:eastAsia="en-GB"/>
        </w:rPr>
        <w:t>of</w:t>
      </w:r>
      <w:r w:rsidR="00540E2D" w:rsidRPr="00D14EAE">
        <w:rPr>
          <w:rFonts w:ascii="Arial" w:hAnsi="Arial" w:cs="Arial"/>
          <w:sz w:val="24"/>
          <w:szCs w:val="24"/>
          <w:lang w:eastAsia="en-GB"/>
        </w:rPr>
        <w:t xml:space="preserve"> not creat</w:t>
      </w:r>
      <w:r w:rsidR="00162416" w:rsidRPr="00D14EAE">
        <w:rPr>
          <w:rFonts w:ascii="Arial" w:hAnsi="Arial" w:cs="Arial"/>
          <w:sz w:val="24"/>
          <w:szCs w:val="24"/>
          <w:lang w:eastAsia="en-GB"/>
        </w:rPr>
        <w:t>ing</w:t>
      </w:r>
      <w:r w:rsidR="00540E2D" w:rsidRPr="00D14EAE">
        <w:rPr>
          <w:rFonts w:ascii="Arial" w:hAnsi="Arial" w:cs="Arial"/>
          <w:sz w:val="24"/>
          <w:szCs w:val="24"/>
          <w:lang w:eastAsia="en-GB"/>
        </w:rPr>
        <w:t xml:space="preserve"> any on-ongoing legacy costs</w:t>
      </w:r>
      <w:r w:rsidR="00867237" w:rsidRPr="00D14EAE">
        <w:rPr>
          <w:rFonts w:ascii="Arial" w:hAnsi="Arial" w:cs="Arial"/>
          <w:sz w:val="24"/>
          <w:szCs w:val="24"/>
          <w:lang w:eastAsia="en-GB"/>
        </w:rPr>
        <w:t>.</w:t>
      </w:r>
      <w:r w:rsidR="002964F4" w:rsidRPr="00D14EAE">
        <w:rPr>
          <w:rFonts w:ascii="Arial" w:hAnsi="Arial" w:cs="Arial"/>
          <w:sz w:val="24"/>
          <w:szCs w:val="24"/>
          <w:lang w:eastAsia="en-GB"/>
        </w:rPr>
        <w:t xml:space="preserve"> In addition, other revenue resources from existing budgets and earmarked reserves will also support the delivery of new actions and projects in Vision 2030</w:t>
      </w:r>
      <w:r w:rsidR="00DC5978" w:rsidRPr="00D14EAE">
        <w:rPr>
          <w:rFonts w:ascii="Arial" w:hAnsi="Arial" w:cs="Arial"/>
          <w:sz w:val="24"/>
          <w:szCs w:val="24"/>
          <w:lang w:eastAsia="en-GB"/>
        </w:rPr>
        <w:t xml:space="preserve"> and the Council will continue to</w:t>
      </w:r>
      <w:r w:rsidR="001B69F7" w:rsidRPr="00D14EAE">
        <w:rPr>
          <w:rFonts w:ascii="Arial" w:hAnsi="Arial" w:cs="Arial"/>
          <w:sz w:val="24"/>
          <w:szCs w:val="24"/>
          <w:lang w:eastAsia="en-GB"/>
        </w:rPr>
        <w:t xml:space="preserve"> </w:t>
      </w:r>
      <w:r w:rsidR="001B69F7" w:rsidRPr="00D14EAE">
        <w:rPr>
          <w:rFonts w:ascii="Arial" w:hAnsi="Arial" w:cs="Arial"/>
          <w:color w:val="000000"/>
          <w:sz w:val="24"/>
          <w:szCs w:val="24"/>
          <w:lang w:eastAsia="en-GB"/>
        </w:rPr>
        <w:t>seek external funding and work in partnership with others to further enhance delivery of it’s Vision</w:t>
      </w:r>
      <w:r w:rsidR="002964F4" w:rsidRPr="00D14EAE">
        <w:rPr>
          <w:rFonts w:ascii="Arial" w:hAnsi="Arial" w:cs="Arial"/>
          <w:sz w:val="24"/>
          <w:szCs w:val="24"/>
          <w:lang w:eastAsia="en-GB"/>
        </w:rPr>
        <w:t xml:space="preserve">. </w:t>
      </w:r>
      <w:r w:rsidR="001B69F7" w:rsidRPr="00D14EAE">
        <w:rPr>
          <w:rFonts w:ascii="Arial" w:hAnsi="Arial" w:cs="Arial"/>
          <w:sz w:val="24"/>
          <w:szCs w:val="24"/>
          <w:lang w:eastAsia="en-GB"/>
        </w:rPr>
        <w:t>In terms of allocating these one-off resources, w</w:t>
      </w:r>
      <w:r w:rsidR="00867237" w:rsidRPr="00D14EAE">
        <w:rPr>
          <w:rFonts w:ascii="Arial" w:hAnsi="Arial" w:cs="Arial"/>
          <w:sz w:val="24"/>
          <w:szCs w:val="24"/>
        </w:rPr>
        <w:t xml:space="preserve">ork will be undertaken to review the projects and activities in the initial </w:t>
      </w:r>
      <w:r w:rsidR="007D5D39" w:rsidRPr="00D14EAE">
        <w:rPr>
          <w:rFonts w:ascii="Arial" w:hAnsi="Arial" w:cs="Arial"/>
          <w:sz w:val="24"/>
          <w:szCs w:val="24"/>
        </w:rPr>
        <w:t xml:space="preserve">Vision 2030 </w:t>
      </w:r>
      <w:r w:rsidR="00867237" w:rsidRPr="00D14EAE">
        <w:rPr>
          <w:rFonts w:ascii="Arial" w:hAnsi="Arial" w:cs="Arial"/>
          <w:sz w:val="24"/>
          <w:szCs w:val="24"/>
        </w:rPr>
        <w:t>action plans and evaluate whether th</w:t>
      </w:r>
      <w:r w:rsidR="007D5D39" w:rsidRPr="00D14EAE">
        <w:rPr>
          <w:rFonts w:ascii="Arial" w:hAnsi="Arial" w:cs="Arial"/>
          <w:sz w:val="24"/>
          <w:szCs w:val="24"/>
        </w:rPr>
        <w:t>ese</w:t>
      </w:r>
      <w:r w:rsidR="00867237" w:rsidRPr="00D14EAE">
        <w:rPr>
          <w:rFonts w:ascii="Arial" w:hAnsi="Arial" w:cs="Arial"/>
          <w:sz w:val="24"/>
          <w:szCs w:val="24"/>
        </w:rPr>
        <w:t xml:space="preserve"> still remain relevant and whether there are any new projects and actions that are required.  This work will be undertaken in early 2026 and will guide the allocation of resources </w:t>
      </w:r>
      <w:r w:rsidR="007D5D39" w:rsidRPr="00D14EAE">
        <w:rPr>
          <w:rFonts w:ascii="Arial" w:hAnsi="Arial" w:cs="Arial"/>
          <w:sz w:val="24"/>
          <w:szCs w:val="24"/>
        </w:rPr>
        <w:t>from this earmarked reserve</w:t>
      </w:r>
      <w:r w:rsidR="00D14EAE" w:rsidRPr="00D14EAE">
        <w:rPr>
          <w:rFonts w:ascii="Arial" w:hAnsi="Arial" w:cs="Arial"/>
          <w:sz w:val="24"/>
          <w:szCs w:val="24"/>
        </w:rPr>
        <w:t xml:space="preserve"> for the two year period to March 2028.</w:t>
      </w:r>
    </w:p>
    <w:p w14:paraId="0D31B741" w14:textId="77777777" w:rsidR="005C6995" w:rsidRPr="00D14EAE" w:rsidRDefault="005C6995" w:rsidP="00D14EAE">
      <w:pPr>
        <w:pStyle w:val="ListParagraph"/>
        <w:spacing w:after="0" w:line="240" w:lineRule="auto"/>
        <w:ind w:left="714"/>
        <w:jc w:val="both"/>
        <w:rPr>
          <w:rFonts w:ascii="Arial" w:hAnsi="Arial" w:cs="Arial"/>
          <w:sz w:val="24"/>
          <w:szCs w:val="24"/>
          <w:lang w:eastAsia="en-GB"/>
        </w:rPr>
      </w:pPr>
    </w:p>
    <w:p w14:paraId="4BF87A6E" w14:textId="2721D613" w:rsidR="007D5D39" w:rsidRPr="00743E1F" w:rsidRDefault="007D5D39" w:rsidP="00CF25BB">
      <w:pPr>
        <w:pStyle w:val="ListParagraph"/>
        <w:numPr>
          <w:ilvl w:val="0"/>
          <w:numId w:val="59"/>
        </w:numPr>
        <w:autoSpaceDE w:val="0"/>
        <w:autoSpaceDN w:val="0"/>
        <w:adjustRightInd w:val="0"/>
        <w:spacing w:after="0" w:line="240" w:lineRule="auto"/>
        <w:jc w:val="both"/>
        <w:rPr>
          <w:rFonts w:ascii="Arial" w:hAnsi="Arial" w:cs="Arial"/>
          <w:sz w:val="24"/>
          <w:szCs w:val="24"/>
          <w:lang w:eastAsia="en-GB"/>
        </w:rPr>
      </w:pPr>
      <w:r w:rsidRPr="00743E1F">
        <w:rPr>
          <w:rFonts w:ascii="Arial" w:hAnsi="Arial" w:cs="Arial"/>
          <w:sz w:val="24"/>
          <w:szCs w:val="24"/>
        </w:rPr>
        <w:t>£1.</w:t>
      </w:r>
      <w:r w:rsidR="0066640B">
        <w:rPr>
          <w:rFonts w:ascii="Arial" w:hAnsi="Arial" w:cs="Arial"/>
          <w:sz w:val="24"/>
          <w:szCs w:val="24"/>
        </w:rPr>
        <w:t>3</w:t>
      </w:r>
      <w:r w:rsidRPr="00743E1F">
        <w:rPr>
          <w:rFonts w:ascii="Arial" w:hAnsi="Arial" w:cs="Arial"/>
          <w:sz w:val="24"/>
          <w:szCs w:val="24"/>
        </w:rPr>
        <w:t xml:space="preserve">m will be </w:t>
      </w:r>
      <w:r w:rsidR="00717D95" w:rsidRPr="00743E1F">
        <w:rPr>
          <w:rFonts w:ascii="Arial" w:hAnsi="Arial" w:cs="Arial"/>
          <w:sz w:val="24"/>
          <w:szCs w:val="24"/>
        </w:rPr>
        <w:t>set aside in a Future Readiness</w:t>
      </w:r>
      <w:r w:rsidR="00C741DB" w:rsidRPr="00743E1F">
        <w:rPr>
          <w:rFonts w:ascii="Arial" w:hAnsi="Arial" w:cs="Arial"/>
          <w:sz w:val="24"/>
          <w:szCs w:val="24"/>
        </w:rPr>
        <w:t>/Transition</w:t>
      </w:r>
      <w:r w:rsidR="00717D95" w:rsidRPr="00743E1F">
        <w:rPr>
          <w:rFonts w:ascii="Arial" w:hAnsi="Arial" w:cs="Arial"/>
          <w:sz w:val="24"/>
          <w:szCs w:val="24"/>
        </w:rPr>
        <w:t xml:space="preserve"> </w:t>
      </w:r>
      <w:r w:rsidR="008052AF">
        <w:rPr>
          <w:rFonts w:ascii="Arial" w:hAnsi="Arial" w:cs="Arial"/>
          <w:sz w:val="24"/>
          <w:szCs w:val="24"/>
        </w:rPr>
        <w:t>reserve</w:t>
      </w:r>
      <w:r w:rsidR="00124BA8" w:rsidRPr="00743E1F">
        <w:rPr>
          <w:rFonts w:ascii="Arial" w:hAnsi="Arial" w:cs="Arial"/>
          <w:sz w:val="24"/>
          <w:szCs w:val="24"/>
        </w:rPr>
        <w:t xml:space="preserve"> to provide resources for both the Council’s share of upfront reorganisation costs as well as its own internal costs in preparing for the transition.</w:t>
      </w:r>
      <w:r w:rsidR="00493B6A" w:rsidRPr="00743E1F">
        <w:rPr>
          <w:rFonts w:ascii="Arial" w:hAnsi="Arial" w:cs="Arial"/>
          <w:sz w:val="24"/>
          <w:szCs w:val="24"/>
        </w:rPr>
        <w:t xml:space="preserve">  This </w:t>
      </w:r>
      <w:r w:rsidR="00EC50FF">
        <w:rPr>
          <w:rFonts w:ascii="Arial" w:hAnsi="Arial" w:cs="Arial"/>
          <w:sz w:val="24"/>
          <w:szCs w:val="24"/>
        </w:rPr>
        <w:t>could include</w:t>
      </w:r>
      <w:r w:rsidR="00F0426B">
        <w:rPr>
          <w:rFonts w:ascii="Arial" w:hAnsi="Arial" w:cs="Arial"/>
          <w:sz w:val="24"/>
          <w:szCs w:val="24"/>
        </w:rPr>
        <w:t>,</w:t>
      </w:r>
      <w:r w:rsidR="00493B6A" w:rsidRPr="00743E1F">
        <w:rPr>
          <w:rFonts w:ascii="Arial" w:hAnsi="Arial" w:cs="Arial"/>
          <w:sz w:val="24"/>
          <w:szCs w:val="24"/>
        </w:rPr>
        <w:t xml:space="preserve"> project management </w:t>
      </w:r>
      <w:r w:rsidR="00F0426B">
        <w:rPr>
          <w:rFonts w:ascii="Arial" w:hAnsi="Arial" w:cs="Arial"/>
          <w:sz w:val="24"/>
          <w:szCs w:val="24"/>
        </w:rPr>
        <w:t>for the transition</w:t>
      </w:r>
      <w:r w:rsidR="006527D1" w:rsidRPr="00743E1F">
        <w:rPr>
          <w:rFonts w:ascii="Arial" w:hAnsi="Arial" w:cs="Arial"/>
          <w:sz w:val="24"/>
          <w:szCs w:val="24"/>
        </w:rPr>
        <w:t>, secondment and backfill arrangements, staff change management</w:t>
      </w:r>
      <w:r w:rsidR="00743E1F" w:rsidRPr="00743E1F">
        <w:rPr>
          <w:rFonts w:ascii="Arial" w:hAnsi="Arial" w:cs="Arial"/>
          <w:sz w:val="24"/>
          <w:szCs w:val="24"/>
        </w:rPr>
        <w:t>,</w:t>
      </w:r>
      <w:r w:rsidR="00634A8F">
        <w:rPr>
          <w:rFonts w:ascii="Arial" w:hAnsi="Arial" w:cs="Arial"/>
          <w:sz w:val="24"/>
          <w:szCs w:val="24"/>
        </w:rPr>
        <w:t xml:space="preserve"> staff training,</w:t>
      </w:r>
      <w:r w:rsidR="00743E1F" w:rsidRPr="00743E1F">
        <w:rPr>
          <w:rFonts w:ascii="Arial" w:hAnsi="Arial" w:cs="Arial"/>
          <w:sz w:val="24"/>
          <w:szCs w:val="24"/>
        </w:rPr>
        <w:t xml:space="preserve"> </w:t>
      </w:r>
      <w:r w:rsidR="00185760" w:rsidRPr="00743E1F">
        <w:rPr>
          <w:rFonts w:ascii="Arial" w:hAnsi="Arial" w:cs="Arial"/>
          <w:sz w:val="24"/>
          <w:szCs w:val="24"/>
        </w:rPr>
        <w:t>align</w:t>
      </w:r>
      <w:r w:rsidR="00F0426B">
        <w:rPr>
          <w:rFonts w:ascii="Arial" w:hAnsi="Arial" w:cs="Arial"/>
          <w:sz w:val="24"/>
          <w:szCs w:val="24"/>
        </w:rPr>
        <w:t>ing</w:t>
      </w:r>
      <w:r w:rsidR="00185760" w:rsidRPr="00743E1F">
        <w:rPr>
          <w:rFonts w:ascii="Arial" w:hAnsi="Arial" w:cs="Arial"/>
          <w:sz w:val="24"/>
          <w:szCs w:val="24"/>
        </w:rPr>
        <w:t xml:space="preserve"> IT systems</w:t>
      </w:r>
      <w:r w:rsidR="00743E1F" w:rsidRPr="00743E1F">
        <w:rPr>
          <w:rFonts w:ascii="Arial" w:hAnsi="Arial" w:cs="Arial"/>
          <w:sz w:val="24"/>
          <w:szCs w:val="24"/>
        </w:rPr>
        <w:t xml:space="preserve"> and </w:t>
      </w:r>
      <w:r w:rsidR="00F0426B">
        <w:rPr>
          <w:rFonts w:ascii="Arial" w:hAnsi="Arial" w:cs="Arial"/>
          <w:sz w:val="24"/>
          <w:szCs w:val="24"/>
        </w:rPr>
        <w:t>data</w:t>
      </w:r>
      <w:r w:rsidR="00743E1F" w:rsidRPr="00743E1F">
        <w:rPr>
          <w:rFonts w:ascii="Arial" w:hAnsi="Arial" w:cs="Arial"/>
          <w:sz w:val="24"/>
          <w:szCs w:val="24"/>
        </w:rPr>
        <w:t xml:space="preserve"> etc.</w:t>
      </w:r>
      <w:r w:rsidR="008A52DE">
        <w:rPr>
          <w:rFonts w:ascii="Arial" w:hAnsi="Arial" w:cs="Arial"/>
          <w:sz w:val="24"/>
          <w:szCs w:val="24"/>
        </w:rPr>
        <w:t xml:space="preserve">  </w:t>
      </w:r>
      <w:r w:rsidR="00634A8F">
        <w:rPr>
          <w:rFonts w:ascii="Arial" w:hAnsi="Arial" w:cs="Arial"/>
          <w:sz w:val="24"/>
          <w:szCs w:val="24"/>
        </w:rPr>
        <w:t xml:space="preserve">While initial estimates of these costs were made as part of the </w:t>
      </w:r>
      <w:r w:rsidR="00143CCA">
        <w:rPr>
          <w:rFonts w:ascii="Arial" w:hAnsi="Arial" w:cs="Arial"/>
          <w:sz w:val="24"/>
          <w:szCs w:val="24"/>
        </w:rPr>
        <w:t xml:space="preserve">development of the Council’s submission to government, these will need to be refined as </w:t>
      </w:r>
      <w:r w:rsidR="00D6568B">
        <w:rPr>
          <w:rFonts w:ascii="Arial" w:hAnsi="Arial" w:cs="Arial"/>
          <w:sz w:val="24"/>
          <w:szCs w:val="24"/>
        </w:rPr>
        <w:t xml:space="preserve">the LGR process develops.  </w:t>
      </w:r>
    </w:p>
    <w:p w14:paraId="522C6117" w14:textId="77777777" w:rsidR="00867237" w:rsidRDefault="00867237" w:rsidP="00BA6A18">
      <w:pPr>
        <w:autoSpaceDE w:val="0"/>
        <w:autoSpaceDN w:val="0"/>
        <w:adjustRightInd w:val="0"/>
        <w:jc w:val="both"/>
        <w:rPr>
          <w:rFonts w:ascii="Arial" w:hAnsi="Arial" w:cs="Arial"/>
          <w:highlight w:val="yellow"/>
          <w:lang w:eastAsia="en-GB"/>
        </w:rPr>
      </w:pPr>
    </w:p>
    <w:p w14:paraId="68B866C9" w14:textId="77777777" w:rsidR="005C6995" w:rsidRDefault="005C6995" w:rsidP="005C6995">
      <w:pPr>
        <w:autoSpaceDE w:val="0"/>
        <w:autoSpaceDN w:val="0"/>
        <w:adjustRightInd w:val="0"/>
        <w:jc w:val="both"/>
        <w:rPr>
          <w:rFonts w:ascii="Arial" w:hAnsi="Arial" w:cs="Arial"/>
        </w:rPr>
      </w:pPr>
      <w:r w:rsidRPr="00190FFD">
        <w:rPr>
          <w:rFonts w:ascii="Arial" w:hAnsi="Arial" w:cs="Arial"/>
        </w:rPr>
        <w:t>Beyond 2028 this MTFS does not propose the allocation of any surplus resources to new schemes/projects and instead forecasts the resources to contribute to general balances, allowing the new unitary authorities to determine the use of these resources in developing their own financial strategies.</w:t>
      </w:r>
    </w:p>
    <w:p w14:paraId="1E3631D3" w14:textId="77777777" w:rsidR="005C6995" w:rsidRDefault="005C6995" w:rsidP="005C6995">
      <w:pPr>
        <w:autoSpaceDE w:val="0"/>
        <w:autoSpaceDN w:val="0"/>
        <w:adjustRightInd w:val="0"/>
        <w:jc w:val="both"/>
        <w:rPr>
          <w:rFonts w:ascii="Arial" w:hAnsi="Arial" w:cs="Arial"/>
        </w:rPr>
      </w:pPr>
    </w:p>
    <w:p w14:paraId="6B969FF7" w14:textId="34289D5C" w:rsidR="007019A8" w:rsidRPr="00A2266C" w:rsidRDefault="007019A8" w:rsidP="00BA6A18">
      <w:pPr>
        <w:autoSpaceDE w:val="0"/>
        <w:autoSpaceDN w:val="0"/>
        <w:adjustRightInd w:val="0"/>
        <w:jc w:val="both"/>
        <w:rPr>
          <w:rFonts w:ascii="Arial" w:hAnsi="Arial" w:cs="Arial"/>
          <w:lang w:eastAsia="en-GB"/>
        </w:rPr>
      </w:pPr>
      <w:r w:rsidRPr="00A2266C">
        <w:rPr>
          <w:rFonts w:ascii="Arial" w:hAnsi="Arial" w:cs="Arial"/>
          <w:lang w:eastAsia="en-GB"/>
        </w:rPr>
        <w:t xml:space="preserve">Balancing </w:t>
      </w:r>
      <w:r w:rsidR="00332CC0" w:rsidRPr="00A2266C">
        <w:rPr>
          <w:rFonts w:ascii="Arial" w:hAnsi="Arial" w:cs="Arial"/>
          <w:lang w:eastAsia="en-GB"/>
        </w:rPr>
        <w:t>its</w:t>
      </w:r>
      <w:r w:rsidRPr="00A2266C">
        <w:rPr>
          <w:rFonts w:ascii="Arial" w:hAnsi="Arial" w:cs="Arial"/>
          <w:lang w:eastAsia="en-GB"/>
        </w:rPr>
        <w:t xml:space="preserve"> financial resources, and capacity to deliver, </w:t>
      </w:r>
      <w:r w:rsidR="006A15CF" w:rsidRPr="00A2266C">
        <w:rPr>
          <w:rFonts w:ascii="Arial" w:hAnsi="Arial" w:cs="Arial"/>
          <w:lang w:eastAsia="en-GB"/>
        </w:rPr>
        <w:t xml:space="preserve">in this way should ensure that the </w:t>
      </w:r>
      <w:r w:rsidR="00332CC0" w:rsidRPr="00A2266C">
        <w:rPr>
          <w:rFonts w:ascii="Arial" w:hAnsi="Arial" w:cs="Arial"/>
          <w:lang w:eastAsia="en-GB"/>
        </w:rPr>
        <w:t xml:space="preserve">Council is able to </w:t>
      </w:r>
      <w:r w:rsidR="00747339" w:rsidRPr="00A2266C">
        <w:rPr>
          <w:rFonts w:ascii="Arial" w:hAnsi="Arial" w:cs="Arial"/>
          <w:lang w:eastAsia="en-GB"/>
        </w:rPr>
        <w:t>stay focused on Vision 2030</w:t>
      </w:r>
      <w:r w:rsidR="00A2266C" w:rsidRPr="00A2266C">
        <w:rPr>
          <w:rFonts w:ascii="Arial" w:hAnsi="Arial" w:cs="Arial"/>
          <w:lang w:eastAsia="en-GB"/>
        </w:rPr>
        <w:t xml:space="preserve"> while supporting a successful transition to a new unitary authority.</w:t>
      </w:r>
    </w:p>
    <w:p w14:paraId="35B0195E" w14:textId="77777777" w:rsidR="002674D9" w:rsidRPr="002B41B0" w:rsidRDefault="002674D9" w:rsidP="00BA6A18">
      <w:pPr>
        <w:autoSpaceDE w:val="0"/>
        <w:autoSpaceDN w:val="0"/>
        <w:adjustRightInd w:val="0"/>
        <w:jc w:val="both"/>
        <w:rPr>
          <w:rFonts w:ascii="Arial" w:hAnsi="Arial" w:cs="Arial"/>
          <w:highlight w:val="yellow"/>
          <w:lang w:eastAsia="en-GB"/>
        </w:rPr>
      </w:pPr>
    </w:p>
    <w:p w14:paraId="1ABBDF0B" w14:textId="64D4BA74" w:rsidR="002674D9" w:rsidRDefault="002674D9" w:rsidP="002674D9">
      <w:pPr>
        <w:jc w:val="both"/>
        <w:rPr>
          <w:rFonts w:ascii="Arial" w:hAnsi="Arial" w:cs="Arial"/>
          <w:lang w:eastAsia="en-GB"/>
        </w:rPr>
      </w:pPr>
      <w:r w:rsidRPr="007A04D8">
        <w:rPr>
          <w:rFonts w:ascii="Arial" w:hAnsi="Arial" w:cs="Arial"/>
          <w:lang w:eastAsia="en-GB"/>
        </w:rPr>
        <w:t xml:space="preserve">Details of the </w:t>
      </w:r>
      <w:r w:rsidR="00A2266C">
        <w:rPr>
          <w:rFonts w:ascii="Arial" w:hAnsi="Arial" w:cs="Arial"/>
          <w:lang w:eastAsia="en-GB"/>
        </w:rPr>
        <w:t xml:space="preserve">current </w:t>
      </w:r>
      <w:r w:rsidRPr="007A04D8">
        <w:rPr>
          <w:rFonts w:ascii="Arial" w:hAnsi="Arial" w:cs="Arial"/>
          <w:lang w:eastAsia="en-GB"/>
        </w:rPr>
        <w:t>projects supporting the vision and strategic priorities are included within the Vision 2030 and action plan</w:t>
      </w:r>
      <w:r w:rsidR="00A2266C">
        <w:rPr>
          <w:rFonts w:ascii="Arial" w:hAnsi="Arial" w:cs="Arial"/>
          <w:lang w:eastAsia="en-GB"/>
        </w:rPr>
        <w:t>, w</w:t>
      </w:r>
      <w:r w:rsidR="00836FB6">
        <w:rPr>
          <w:rFonts w:ascii="Arial" w:hAnsi="Arial" w:cs="Arial"/>
          <w:lang w:eastAsia="en-GB"/>
        </w:rPr>
        <w:t xml:space="preserve">ith a revised </w:t>
      </w:r>
      <w:r>
        <w:rPr>
          <w:rFonts w:ascii="Arial" w:hAnsi="Arial" w:cs="Arial"/>
          <w:lang w:eastAsia="en-GB"/>
        </w:rPr>
        <w:t>action plan</w:t>
      </w:r>
      <w:r w:rsidR="00836FB6">
        <w:rPr>
          <w:rFonts w:ascii="Arial" w:hAnsi="Arial" w:cs="Arial"/>
          <w:lang w:eastAsia="en-GB"/>
        </w:rPr>
        <w:t xml:space="preserve"> to be published in early 2026</w:t>
      </w:r>
      <w:r>
        <w:rPr>
          <w:rFonts w:ascii="Arial" w:hAnsi="Arial" w:cs="Arial"/>
          <w:lang w:eastAsia="en-GB"/>
        </w:rPr>
        <w:t>.</w:t>
      </w:r>
    </w:p>
    <w:p w14:paraId="5D25D7FD" w14:textId="77777777" w:rsidR="00964F41" w:rsidRPr="00AD0EBF" w:rsidRDefault="00964F41" w:rsidP="00917371">
      <w:pPr>
        <w:jc w:val="both"/>
        <w:rPr>
          <w:rFonts w:ascii="Arial" w:hAnsi="Arial" w:cs="Arial"/>
          <w:highlight w:val="yellow"/>
          <w:lang w:eastAsia="en-GB"/>
        </w:rPr>
      </w:pPr>
    </w:p>
    <w:p w14:paraId="37B7B4E3" w14:textId="77777777" w:rsidR="00384776" w:rsidRPr="00305112" w:rsidRDefault="00384776">
      <w:pPr>
        <w:jc w:val="both"/>
        <w:rPr>
          <w:rFonts w:ascii="Arial" w:hAnsi="Arial" w:cs="Arial"/>
          <w:b/>
          <w:bCs/>
          <w:color w:val="C45911"/>
          <w:sz w:val="28"/>
        </w:rPr>
      </w:pPr>
      <w:r w:rsidRPr="00305112">
        <w:rPr>
          <w:rFonts w:ascii="Arial" w:hAnsi="Arial" w:cs="Arial"/>
          <w:b/>
          <w:bCs/>
          <w:color w:val="C45911"/>
          <w:sz w:val="28"/>
        </w:rPr>
        <w:t xml:space="preserve">Spending </w:t>
      </w:r>
      <w:r w:rsidR="00302DF3" w:rsidRPr="00305112">
        <w:rPr>
          <w:rFonts w:ascii="Arial" w:hAnsi="Arial" w:cs="Arial"/>
          <w:b/>
          <w:bCs/>
          <w:color w:val="C45911"/>
          <w:sz w:val="28"/>
        </w:rPr>
        <w:t>Assumptions</w:t>
      </w:r>
    </w:p>
    <w:p w14:paraId="1DA346A7" w14:textId="77777777" w:rsidR="00384776" w:rsidRPr="00305112" w:rsidRDefault="00384776">
      <w:pPr>
        <w:pStyle w:val="Heading3"/>
        <w:tabs>
          <w:tab w:val="left" w:pos="9000"/>
        </w:tabs>
        <w:rPr>
          <w:rFonts w:ascii="Arial" w:hAnsi="Arial" w:cs="Arial"/>
        </w:rPr>
      </w:pPr>
    </w:p>
    <w:p w14:paraId="1BDA3482" w14:textId="77777777" w:rsidR="00384776" w:rsidRPr="007D485C" w:rsidRDefault="00384776">
      <w:pPr>
        <w:jc w:val="both"/>
        <w:rPr>
          <w:rFonts w:ascii="Arial" w:hAnsi="Arial" w:cs="Arial"/>
          <w:highlight w:val="cyan"/>
        </w:rPr>
      </w:pPr>
      <w:r w:rsidRPr="00305112">
        <w:rPr>
          <w:rFonts w:ascii="Arial" w:hAnsi="Arial" w:cs="Arial"/>
        </w:rPr>
        <w:t xml:space="preserve">A review of the financial </w:t>
      </w:r>
      <w:r w:rsidR="004B0F49" w:rsidRPr="00305112">
        <w:rPr>
          <w:rFonts w:ascii="Arial" w:hAnsi="Arial" w:cs="Arial"/>
        </w:rPr>
        <w:t>planning assumptions</w:t>
      </w:r>
      <w:r w:rsidRPr="00305112">
        <w:rPr>
          <w:rFonts w:ascii="Arial" w:hAnsi="Arial" w:cs="Arial"/>
        </w:rPr>
        <w:t xml:space="preserve"> the Council over the period of the MTFS has been undertaken</w:t>
      </w:r>
      <w:r w:rsidR="004B0F49" w:rsidRPr="00305112">
        <w:rPr>
          <w:rFonts w:ascii="Arial" w:hAnsi="Arial" w:cs="Arial"/>
        </w:rPr>
        <w:t>,</w:t>
      </w:r>
      <w:r w:rsidRPr="00305112">
        <w:rPr>
          <w:rFonts w:ascii="Arial" w:hAnsi="Arial" w:cs="Arial"/>
        </w:rPr>
        <w:t xml:space="preserve"> </w:t>
      </w:r>
      <w:r w:rsidR="004B0F49" w:rsidRPr="00305112">
        <w:rPr>
          <w:rFonts w:ascii="Arial" w:hAnsi="Arial" w:cs="Arial"/>
        </w:rPr>
        <w:t>t</w:t>
      </w:r>
      <w:r w:rsidRPr="00305112">
        <w:rPr>
          <w:rFonts w:ascii="Arial" w:hAnsi="Arial" w:cs="Arial"/>
        </w:rPr>
        <w:t xml:space="preserve">his information has been drawn from experience in previous years, the advice of Directors and </w:t>
      </w:r>
      <w:r w:rsidR="004F66F6" w:rsidRPr="00305112">
        <w:rPr>
          <w:rFonts w:ascii="Arial" w:hAnsi="Arial" w:cs="Arial"/>
        </w:rPr>
        <w:t>Assistant Directors</w:t>
      </w:r>
      <w:r w:rsidRPr="00305112">
        <w:rPr>
          <w:rFonts w:ascii="Arial" w:hAnsi="Arial" w:cs="Arial"/>
        </w:rPr>
        <w:t>, the current economic climate and other local and national issues that are likely to influence the financial outcomes.</w:t>
      </w:r>
    </w:p>
    <w:p w14:paraId="1D1D2FC7" w14:textId="77777777" w:rsidR="00384776" w:rsidRPr="007D485C" w:rsidRDefault="00384776">
      <w:pPr>
        <w:jc w:val="both"/>
        <w:rPr>
          <w:rFonts w:ascii="Arial" w:hAnsi="Arial" w:cs="Arial"/>
          <w:highlight w:val="cyan"/>
        </w:rPr>
      </w:pPr>
    </w:p>
    <w:p w14:paraId="03BEA2E3" w14:textId="77777777" w:rsidR="00384776" w:rsidRPr="007475DD" w:rsidRDefault="00384776" w:rsidP="0022316C">
      <w:pPr>
        <w:jc w:val="both"/>
        <w:rPr>
          <w:rFonts w:ascii="Arial" w:hAnsi="Arial" w:cs="Arial"/>
          <w:b/>
          <w:bCs/>
        </w:rPr>
      </w:pPr>
      <w:r w:rsidRPr="007475DD">
        <w:rPr>
          <w:rFonts w:ascii="Arial" w:hAnsi="Arial" w:cs="Arial"/>
          <w:b/>
          <w:bCs/>
        </w:rPr>
        <w:t>Inflation – Pay and Prices</w:t>
      </w:r>
    </w:p>
    <w:p w14:paraId="437B9DC8" w14:textId="77777777" w:rsidR="00384776" w:rsidRPr="00305112" w:rsidRDefault="00384776">
      <w:pPr>
        <w:jc w:val="both"/>
        <w:rPr>
          <w:rFonts w:ascii="Arial" w:hAnsi="Arial" w:cs="Arial"/>
          <w:highlight w:val="magenta"/>
        </w:rPr>
      </w:pPr>
    </w:p>
    <w:p w14:paraId="7860C7C9" w14:textId="77777777" w:rsidR="009E073F" w:rsidRPr="007475DD" w:rsidRDefault="009E274D">
      <w:pPr>
        <w:jc w:val="both"/>
        <w:rPr>
          <w:rFonts w:ascii="Arial" w:hAnsi="Arial" w:cs="Arial"/>
        </w:rPr>
      </w:pPr>
      <w:r w:rsidRPr="007475DD">
        <w:rPr>
          <w:rFonts w:ascii="Arial" w:hAnsi="Arial" w:cs="Arial"/>
        </w:rPr>
        <w:t>Automatic</w:t>
      </w:r>
      <w:r w:rsidR="00384776" w:rsidRPr="007475DD">
        <w:rPr>
          <w:rFonts w:ascii="Arial" w:hAnsi="Arial" w:cs="Arial"/>
        </w:rPr>
        <w:t xml:space="preserve"> inflation</w:t>
      </w:r>
      <w:r w:rsidRPr="007475DD">
        <w:rPr>
          <w:rFonts w:ascii="Arial" w:hAnsi="Arial" w:cs="Arial"/>
        </w:rPr>
        <w:t xml:space="preserve">ary increases of budgets are </w:t>
      </w:r>
      <w:r w:rsidR="005756B7" w:rsidRPr="007475DD">
        <w:rPr>
          <w:rFonts w:ascii="Arial" w:hAnsi="Arial" w:cs="Arial"/>
        </w:rPr>
        <w:t xml:space="preserve">not provided for </w:t>
      </w:r>
      <w:r w:rsidR="00384776" w:rsidRPr="007475DD">
        <w:rPr>
          <w:rFonts w:ascii="Arial" w:hAnsi="Arial" w:cs="Arial"/>
        </w:rPr>
        <w:t xml:space="preserve">all goods and services, instead </w:t>
      </w:r>
      <w:r w:rsidR="009D7E9B" w:rsidRPr="007475DD">
        <w:rPr>
          <w:rFonts w:ascii="Arial" w:hAnsi="Arial" w:cs="Arial"/>
        </w:rPr>
        <w:t>individual</w:t>
      </w:r>
      <w:r w:rsidR="009E073F" w:rsidRPr="007475DD">
        <w:rPr>
          <w:rFonts w:ascii="Arial" w:hAnsi="Arial" w:cs="Arial"/>
        </w:rPr>
        <w:t xml:space="preserve"> </w:t>
      </w:r>
      <w:r w:rsidR="00384776" w:rsidRPr="007475DD">
        <w:rPr>
          <w:rFonts w:ascii="Arial" w:hAnsi="Arial" w:cs="Arial"/>
        </w:rPr>
        <w:t xml:space="preserve">inflation </w:t>
      </w:r>
      <w:r w:rsidR="009E073F" w:rsidRPr="007475DD">
        <w:rPr>
          <w:rFonts w:ascii="Arial" w:hAnsi="Arial" w:cs="Arial"/>
        </w:rPr>
        <w:t xml:space="preserve">rates have been applied for </w:t>
      </w:r>
      <w:r w:rsidRPr="007475DD">
        <w:rPr>
          <w:rFonts w:ascii="Arial" w:hAnsi="Arial" w:cs="Arial"/>
        </w:rPr>
        <w:t>specific</w:t>
      </w:r>
      <w:r w:rsidR="009E073F" w:rsidRPr="007475DD">
        <w:rPr>
          <w:rFonts w:ascii="Arial" w:hAnsi="Arial" w:cs="Arial"/>
        </w:rPr>
        <w:t xml:space="preserve"> items of expenditure</w:t>
      </w:r>
      <w:r w:rsidRPr="007475DD">
        <w:rPr>
          <w:rFonts w:ascii="Arial" w:hAnsi="Arial" w:cs="Arial"/>
        </w:rPr>
        <w:t>, all remaining areas of expenditure are maintained at the previous year</w:t>
      </w:r>
      <w:r w:rsidR="003B37F4" w:rsidRPr="007475DD">
        <w:rPr>
          <w:rFonts w:ascii="Arial" w:hAnsi="Arial" w:cs="Arial"/>
        </w:rPr>
        <w:t>’</w:t>
      </w:r>
      <w:r w:rsidRPr="007475DD">
        <w:rPr>
          <w:rFonts w:ascii="Arial" w:hAnsi="Arial" w:cs="Arial"/>
        </w:rPr>
        <w:t>s levels, which is in effect a real terms reduction in spending power.  The following rates of inflation have been assumed</w:t>
      </w:r>
      <w:r w:rsidR="001C501A" w:rsidRPr="007475DD">
        <w:rPr>
          <w:rFonts w:ascii="Arial" w:hAnsi="Arial" w:cs="Arial"/>
        </w:rPr>
        <w:t xml:space="preserve"> over the period of the MTFS</w:t>
      </w:r>
      <w:r w:rsidR="004225CB" w:rsidRPr="007475DD">
        <w:rPr>
          <w:rFonts w:ascii="Arial" w:hAnsi="Arial" w:cs="Arial"/>
        </w:rPr>
        <w:t>:</w:t>
      </w:r>
      <w:r w:rsidR="00917763" w:rsidRPr="007475DD">
        <w:rPr>
          <w:rFonts w:ascii="Arial" w:hAnsi="Arial" w:cs="Arial"/>
        </w:rPr>
        <w:t xml:space="preserve">     </w:t>
      </w:r>
    </w:p>
    <w:p w14:paraId="33DD6AD3" w14:textId="77777777" w:rsidR="00EA2004" w:rsidRPr="007475DD" w:rsidRDefault="00EA2004">
      <w:pPr>
        <w:jc w:val="both"/>
        <w:rPr>
          <w:rFonts w:ascii="Arial" w:hAnsi="Arial" w:cs="Aria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1138"/>
        <w:gridCol w:w="1134"/>
        <w:gridCol w:w="1276"/>
        <w:gridCol w:w="1276"/>
        <w:gridCol w:w="1275"/>
      </w:tblGrid>
      <w:tr w:rsidR="00CE7618" w:rsidRPr="007475DD" w14:paraId="7FF3B9B2" w14:textId="77777777" w:rsidTr="007B3D36">
        <w:tc>
          <w:tcPr>
            <w:tcW w:w="3115" w:type="dxa"/>
          </w:tcPr>
          <w:p w14:paraId="5057DD6B" w14:textId="77777777" w:rsidR="00CE7618" w:rsidRPr="007475DD" w:rsidRDefault="00CE7618">
            <w:pPr>
              <w:jc w:val="both"/>
              <w:rPr>
                <w:rFonts w:ascii="Arial" w:hAnsi="Arial" w:cs="Arial"/>
              </w:rPr>
            </w:pPr>
          </w:p>
        </w:tc>
        <w:tc>
          <w:tcPr>
            <w:tcW w:w="1138" w:type="dxa"/>
          </w:tcPr>
          <w:p w14:paraId="55D6379F" w14:textId="752A3ECC" w:rsidR="00CE7618" w:rsidRPr="007475DD" w:rsidRDefault="00CE7618" w:rsidP="6FB6BF06">
            <w:pPr>
              <w:jc w:val="center"/>
              <w:rPr>
                <w:rFonts w:ascii="Arial" w:hAnsi="Arial" w:cs="Arial"/>
                <w:b/>
                <w:bCs/>
              </w:rPr>
            </w:pPr>
            <w:r w:rsidRPr="007475DD">
              <w:rPr>
                <w:rFonts w:ascii="Arial" w:hAnsi="Arial" w:cs="Arial"/>
                <w:b/>
                <w:bCs/>
              </w:rPr>
              <w:t>20</w:t>
            </w:r>
            <w:r w:rsidR="00590EDA" w:rsidRPr="007475DD">
              <w:rPr>
                <w:rFonts w:ascii="Arial" w:hAnsi="Arial" w:cs="Arial"/>
                <w:b/>
                <w:bCs/>
              </w:rPr>
              <w:t>2</w:t>
            </w:r>
            <w:r w:rsidR="002826CA" w:rsidRPr="007475DD">
              <w:rPr>
                <w:rFonts w:ascii="Arial" w:hAnsi="Arial" w:cs="Arial"/>
                <w:b/>
                <w:bCs/>
              </w:rPr>
              <w:t>6</w:t>
            </w:r>
            <w:r w:rsidR="004A68FE" w:rsidRPr="007475DD">
              <w:rPr>
                <w:rFonts w:ascii="Arial" w:hAnsi="Arial" w:cs="Arial"/>
                <w:b/>
                <w:bCs/>
              </w:rPr>
              <w:t>/2</w:t>
            </w:r>
            <w:r w:rsidR="002826CA" w:rsidRPr="007475DD">
              <w:rPr>
                <w:rFonts w:ascii="Arial" w:hAnsi="Arial" w:cs="Arial"/>
                <w:b/>
                <w:bCs/>
              </w:rPr>
              <w:t>7</w:t>
            </w:r>
          </w:p>
        </w:tc>
        <w:tc>
          <w:tcPr>
            <w:tcW w:w="1134" w:type="dxa"/>
          </w:tcPr>
          <w:p w14:paraId="1620C23B" w14:textId="267623E5" w:rsidR="00CE7618" w:rsidRPr="007475DD" w:rsidRDefault="00CE7618" w:rsidP="00590EDA">
            <w:pPr>
              <w:jc w:val="center"/>
              <w:rPr>
                <w:rFonts w:ascii="Arial" w:hAnsi="Arial" w:cs="Arial"/>
                <w:b/>
              </w:rPr>
            </w:pPr>
            <w:r w:rsidRPr="007475DD">
              <w:rPr>
                <w:rFonts w:ascii="Arial" w:hAnsi="Arial" w:cs="Arial"/>
                <w:b/>
              </w:rPr>
              <w:t>20</w:t>
            </w:r>
            <w:r w:rsidR="00696EBA" w:rsidRPr="007475DD">
              <w:rPr>
                <w:rFonts w:ascii="Arial" w:hAnsi="Arial" w:cs="Arial"/>
                <w:b/>
              </w:rPr>
              <w:t>2</w:t>
            </w:r>
            <w:r w:rsidR="002826CA" w:rsidRPr="007475DD">
              <w:rPr>
                <w:rFonts w:ascii="Arial" w:hAnsi="Arial" w:cs="Arial"/>
                <w:b/>
              </w:rPr>
              <w:t>7</w:t>
            </w:r>
            <w:r w:rsidR="004A68FE" w:rsidRPr="007475DD">
              <w:rPr>
                <w:rFonts w:ascii="Arial" w:hAnsi="Arial" w:cs="Arial"/>
                <w:b/>
              </w:rPr>
              <w:t>/2</w:t>
            </w:r>
            <w:r w:rsidR="002826CA" w:rsidRPr="007475DD">
              <w:rPr>
                <w:rFonts w:ascii="Arial" w:hAnsi="Arial" w:cs="Arial"/>
                <w:b/>
              </w:rPr>
              <w:t>8</w:t>
            </w:r>
          </w:p>
        </w:tc>
        <w:tc>
          <w:tcPr>
            <w:tcW w:w="1276" w:type="dxa"/>
          </w:tcPr>
          <w:p w14:paraId="01C80164" w14:textId="181F5242" w:rsidR="00CE7618" w:rsidRPr="007475DD" w:rsidRDefault="008975ED" w:rsidP="00590EDA">
            <w:pPr>
              <w:jc w:val="center"/>
              <w:rPr>
                <w:rFonts w:ascii="Arial" w:hAnsi="Arial" w:cs="Arial"/>
                <w:b/>
              </w:rPr>
            </w:pPr>
            <w:r w:rsidRPr="007475DD">
              <w:rPr>
                <w:rFonts w:ascii="Arial" w:hAnsi="Arial" w:cs="Arial"/>
                <w:b/>
              </w:rPr>
              <w:t>202</w:t>
            </w:r>
            <w:r w:rsidR="002826CA" w:rsidRPr="007475DD">
              <w:rPr>
                <w:rFonts w:ascii="Arial" w:hAnsi="Arial" w:cs="Arial"/>
                <w:b/>
              </w:rPr>
              <w:t>8</w:t>
            </w:r>
            <w:r w:rsidR="001B157B" w:rsidRPr="007475DD">
              <w:rPr>
                <w:rFonts w:ascii="Arial" w:hAnsi="Arial" w:cs="Arial"/>
                <w:b/>
              </w:rPr>
              <w:t>/2</w:t>
            </w:r>
            <w:r w:rsidR="002826CA" w:rsidRPr="007475DD">
              <w:rPr>
                <w:rFonts w:ascii="Arial" w:hAnsi="Arial" w:cs="Arial"/>
                <w:b/>
              </w:rPr>
              <w:t>9</w:t>
            </w:r>
          </w:p>
        </w:tc>
        <w:tc>
          <w:tcPr>
            <w:tcW w:w="1276" w:type="dxa"/>
          </w:tcPr>
          <w:p w14:paraId="70EA1664" w14:textId="4755BFF0" w:rsidR="00CE7618" w:rsidRPr="007475DD" w:rsidRDefault="00CE7618" w:rsidP="00590EDA">
            <w:pPr>
              <w:jc w:val="center"/>
              <w:rPr>
                <w:rFonts w:ascii="Arial" w:hAnsi="Arial" w:cs="Arial"/>
                <w:b/>
              </w:rPr>
            </w:pPr>
            <w:r w:rsidRPr="007475DD">
              <w:rPr>
                <w:rFonts w:ascii="Arial" w:hAnsi="Arial" w:cs="Arial"/>
                <w:b/>
              </w:rPr>
              <w:t>2</w:t>
            </w:r>
            <w:r w:rsidR="008975ED" w:rsidRPr="007475DD">
              <w:rPr>
                <w:rFonts w:ascii="Arial" w:hAnsi="Arial" w:cs="Arial"/>
                <w:b/>
              </w:rPr>
              <w:t>02</w:t>
            </w:r>
            <w:r w:rsidR="002826CA" w:rsidRPr="007475DD">
              <w:rPr>
                <w:rFonts w:ascii="Arial" w:hAnsi="Arial" w:cs="Arial"/>
                <w:b/>
              </w:rPr>
              <w:t>9</w:t>
            </w:r>
            <w:r w:rsidR="001B157B" w:rsidRPr="007475DD">
              <w:rPr>
                <w:rFonts w:ascii="Arial" w:hAnsi="Arial" w:cs="Arial"/>
                <w:b/>
              </w:rPr>
              <w:t>/</w:t>
            </w:r>
            <w:r w:rsidR="002826CA" w:rsidRPr="007475DD">
              <w:rPr>
                <w:rFonts w:ascii="Arial" w:hAnsi="Arial" w:cs="Arial"/>
                <w:b/>
              </w:rPr>
              <w:t>30</w:t>
            </w:r>
          </w:p>
        </w:tc>
        <w:tc>
          <w:tcPr>
            <w:tcW w:w="1275" w:type="dxa"/>
          </w:tcPr>
          <w:p w14:paraId="5F69FBF4" w14:textId="42A81FCF" w:rsidR="00CE7618" w:rsidRPr="007475DD" w:rsidRDefault="00CE7618" w:rsidP="00590EDA">
            <w:pPr>
              <w:jc w:val="center"/>
              <w:rPr>
                <w:rFonts w:ascii="Arial" w:hAnsi="Arial" w:cs="Arial"/>
                <w:b/>
              </w:rPr>
            </w:pPr>
            <w:r w:rsidRPr="007475DD">
              <w:rPr>
                <w:rFonts w:ascii="Arial" w:hAnsi="Arial" w:cs="Arial"/>
                <w:b/>
              </w:rPr>
              <w:t>20</w:t>
            </w:r>
            <w:r w:rsidR="002826CA" w:rsidRPr="007475DD">
              <w:rPr>
                <w:rFonts w:ascii="Arial" w:hAnsi="Arial" w:cs="Arial"/>
                <w:b/>
              </w:rPr>
              <w:t>30</w:t>
            </w:r>
            <w:r w:rsidR="001E18DE" w:rsidRPr="007475DD">
              <w:rPr>
                <w:rFonts w:ascii="Arial" w:hAnsi="Arial" w:cs="Arial"/>
                <w:b/>
              </w:rPr>
              <w:t>/3</w:t>
            </w:r>
            <w:r w:rsidR="002826CA" w:rsidRPr="007475DD">
              <w:rPr>
                <w:rFonts w:ascii="Arial" w:hAnsi="Arial" w:cs="Arial"/>
                <w:b/>
              </w:rPr>
              <w:t>1</w:t>
            </w:r>
          </w:p>
        </w:tc>
      </w:tr>
      <w:tr w:rsidR="00CE7618" w:rsidRPr="00305112" w14:paraId="78639851" w14:textId="77777777" w:rsidTr="007B3D36">
        <w:tc>
          <w:tcPr>
            <w:tcW w:w="3115" w:type="dxa"/>
          </w:tcPr>
          <w:p w14:paraId="4427DDBF" w14:textId="77777777" w:rsidR="00CE7618" w:rsidRPr="007475DD" w:rsidRDefault="00CE7618">
            <w:pPr>
              <w:jc w:val="both"/>
              <w:rPr>
                <w:rFonts w:ascii="Arial" w:hAnsi="Arial" w:cs="Arial"/>
              </w:rPr>
            </w:pPr>
          </w:p>
        </w:tc>
        <w:tc>
          <w:tcPr>
            <w:tcW w:w="1138" w:type="dxa"/>
          </w:tcPr>
          <w:p w14:paraId="4872BA6F" w14:textId="77777777" w:rsidR="00CE7618" w:rsidRPr="007475DD" w:rsidRDefault="00CE7618">
            <w:pPr>
              <w:jc w:val="center"/>
              <w:rPr>
                <w:rFonts w:ascii="Arial" w:hAnsi="Arial" w:cs="Arial"/>
                <w:b/>
              </w:rPr>
            </w:pPr>
            <w:r w:rsidRPr="007475DD">
              <w:rPr>
                <w:rFonts w:ascii="Arial" w:hAnsi="Arial" w:cs="Arial"/>
                <w:b/>
              </w:rPr>
              <w:t>% per year</w:t>
            </w:r>
          </w:p>
        </w:tc>
        <w:tc>
          <w:tcPr>
            <w:tcW w:w="1134" w:type="dxa"/>
          </w:tcPr>
          <w:p w14:paraId="74670A30" w14:textId="77777777" w:rsidR="00CE7618" w:rsidRPr="007475DD" w:rsidRDefault="00CE7618">
            <w:pPr>
              <w:jc w:val="center"/>
              <w:rPr>
                <w:rFonts w:ascii="Arial" w:hAnsi="Arial" w:cs="Arial"/>
                <w:b/>
              </w:rPr>
            </w:pPr>
            <w:r w:rsidRPr="007475DD">
              <w:rPr>
                <w:rFonts w:ascii="Arial" w:hAnsi="Arial" w:cs="Arial"/>
                <w:b/>
              </w:rPr>
              <w:t>% per year</w:t>
            </w:r>
          </w:p>
        </w:tc>
        <w:tc>
          <w:tcPr>
            <w:tcW w:w="1276" w:type="dxa"/>
          </w:tcPr>
          <w:p w14:paraId="2FFED9C9" w14:textId="77777777" w:rsidR="00CE7618" w:rsidRPr="007475DD" w:rsidRDefault="00CE7618">
            <w:pPr>
              <w:jc w:val="center"/>
              <w:rPr>
                <w:rFonts w:ascii="Arial" w:hAnsi="Arial" w:cs="Arial"/>
                <w:b/>
              </w:rPr>
            </w:pPr>
            <w:r w:rsidRPr="007475DD">
              <w:rPr>
                <w:rFonts w:ascii="Arial" w:hAnsi="Arial" w:cs="Arial"/>
                <w:b/>
              </w:rPr>
              <w:t>% per year</w:t>
            </w:r>
          </w:p>
        </w:tc>
        <w:tc>
          <w:tcPr>
            <w:tcW w:w="1276" w:type="dxa"/>
          </w:tcPr>
          <w:p w14:paraId="5EF5C1B8" w14:textId="77777777" w:rsidR="00CE7618" w:rsidRPr="007475DD" w:rsidRDefault="00CE7618" w:rsidP="008B102B">
            <w:pPr>
              <w:jc w:val="center"/>
              <w:rPr>
                <w:rFonts w:ascii="Arial" w:hAnsi="Arial" w:cs="Arial"/>
                <w:b/>
              </w:rPr>
            </w:pPr>
            <w:r w:rsidRPr="007475DD">
              <w:rPr>
                <w:rFonts w:ascii="Arial" w:hAnsi="Arial" w:cs="Arial"/>
                <w:b/>
              </w:rPr>
              <w:t>% per year</w:t>
            </w:r>
          </w:p>
        </w:tc>
        <w:tc>
          <w:tcPr>
            <w:tcW w:w="1275" w:type="dxa"/>
          </w:tcPr>
          <w:p w14:paraId="1515978C" w14:textId="77777777" w:rsidR="00CE7618" w:rsidRPr="007475DD" w:rsidRDefault="00CE7618" w:rsidP="008B102B">
            <w:pPr>
              <w:jc w:val="center"/>
              <w:rPr>
                <w:rFonts w:ascii="Arial" w:hAnsi="Arial" w:cs="Arial"/>
                <w:b/>
              </w:rPr>
            </w:pPr>
            <w:r w:rsidRPr="007475DD">
              <w:rPr>
                <w:rFonts w:ascii="Arial" w:hAnsi="Arial" w:cs="Arial"/>
                <w:b/>
              </w:rPr>
              <w:t>% per year</w:t>
            </w:r>
          </w:p>
        </w:tc>
      </w:tr>
      <w:tr w:rsidR="00CE7618" w:rsidRPr="00305112" w14:paraId="178799E6" w14:textId="77777777" w:rsidTr="007B3D36">
        <w:tc>
          <w:tcPr>
            <w:tcW w:w="3115" w:type="dxa"/>
          </w:tcPr>
          <w:p w14:paraId="1FD7600D" w14:textId="77777777" w:rsidR="00CE7618" w:rsidRPr="007475DD" w:rsidRDefault="00CE7618">
            <w:pPr>
              <w:jc w:val="both"/>
              <w:rPr>
                <w:rFonts w:ascii="Arial" w:hAnsi="Arial" w:cs="Arial"/>
              </w:rPr>
            </w:pPr>
            <w:r w:rsidRPr="007475DD">
              <w:rPr>
                <w:rFonts w:ascii="Arial" w:hAnsi="Arial" w:cs="Arial"/>
              </w:rPr>
              <w:t>Pay</w:t>
            </w:r>
          </w:p>
        </w:tc>
        <w:tc>
          <w:tcPr>
            <w:tcW w:w="1138" w:type="dxa"/>
          </w:tcPr>
          <w:p w14:paraId="248C99AF" w14:textId="0062AAC8" w:rsidR="00CE7618" w:rsidRPr="007475DD" w:rsidRDefault="007475DD">
            <w:pPr>
              <w:jc w:val="center"/>
              <w:rPr>
                <w:rFonts w:ascii="Arial" w:hAnsi="Arial" w:cs="Arial"/>
              </w:rPr>
            </w:pPr>
            <w:r w:rsidRPr="007475DD">
              <w:rPr>
                <w:rFonts w:ascii="Arial" w:hAnsi="Arial" w:cs="Arial"/>
              </w:rPr>
              <w:t>3</w:t>
            </w:r>
            <w:r w:rsidR="001E18DE" w:rsidRPr="007475DD">
              <w:rPr>
                <w:rFonts w:ascii="Arial" w:hAnsi="Arial" w:cs="Arial"/>
              </w:rPr>
              <w:t>.0</w:t>
            </w:r>
            <w:r w:rsidR="00487173" w:rsidRPr="007475DD">
              <w:rPr>
                <w:rFonts w:ascii="Arial" w:hAnsi="Arial" w:cs="Arial"/>
              </w:rPr>
              <w:t>%</w:t>
            </w:r>
          </w:p>
        </w:tc>
        <w:tc>
          <w:tcPr>
            <w:tcW w:w="1134" w:type="dxa"/>
          </w:tcPr>
          <w:p w14:paraId="40F08293" w14:textId="32C4CE19" w:rsidR="00CE7618" w:rsidRPr="007475DD" w:rsidRDefault="00026B27">
            <w:pPr>
              <w:jc w:val="center"/>
              <w:rPr>
                <w:rFonts w:ascii="Arial" w:hAnsi="Arial" w:cs="Arial"/>
              </w:rPr>
            </w:pPr>
            <w:r w:rsidRPr="007475DD">
              <w:rPr>
                <w:rFonts w:ascii="Arial" w:hAnsi="Arial" w:cs="Arial"/>
              </w:rPr>
              <w:t>2.0%</w:t>
            </w:r>
          </w:p>
        </w:tc>
        <w:tc>
          <w:tcPr>
            <w:tcW w:w="1276" w:type="dxa"/>
          </w:tcPr>
          <w:p w14:paraId="65CE1D7D" w14:textId="77777777" w:rsidR="00CE7618" w:rsidRPr="007475DD" w:rsidRDefault="008975ED">
            <w:pPr>
              <w:jc w:val="center"/>
              <w:rPr>
                <w:rFonts w:ascii="Arial" w:hAnsi="Arial" w:cs="Arial"/>
              </w:rPr>
            </w:pPr>
            <w:r w:rsidRPr="007475DD">
              <w:rPr>
                <w:rFonts w:ascii="Arial" w:hAnsi="Arial" w:cs="Arial"/>
              </w:rPr>
              <w:t>2</w:t>
            </w:r>
            <w:r w:rsidR="00582647" w:rsidRPr="007475DD">
              <w:rPr>
                <w:rFonts w:ascii="Arial" w:hAnsi="Arial" w:cs="Arial"/>
              </w:rPr>
              <w:t>.0</w:t>
            </w:r>
            <w:r w:rsidR="000150F0" w:rsidRPr="007475DD">
              <w:rPr>
                <w:rFonts w:ascii="Arial" w:hAnsi="Arial" w:cs="Arial"/>
              </w:rPr>
              <w:t>%</w:t>
            </w:r>
          </w:p>
        </w:tc>
        <w:tc>
          <w:tcPr>
            <w:tcW w:w="1276" w:type="dxa"/>
          </w:tcPr>
          <w:p w14:paraId="2F4E2751" w14:textId="77777777" w:rsidR="00CE7618" w:rsidRPr="007475DD" w:rsidRDefault="00E57CE0">
            <w:pPr>
              <w:jc w:val="center"/>
              <w:rPr>
                <w:rFonts w:ascii="Arial" w:hAnsi="Arial" w:cs="Arial"/>
              </w:rPr>
            </w:pPr>
            <w:r w:rsidRPr="007475DD">
              <w:rPr>
                <w:rFonts w:ascii="Arial" w:hAnsi="Arial" w:cs="Arial"/>
              </w:rPr>
              <w:t>2</w:t>
            </w:r>
            <w:r w:rsidR="00582647" w:rsidRPr="007475DD">
              <w:rPr>
                <w:rFonts w:ascii="Arial" w:hAnsi="Arial" w:cs="Arial"/>
              </w:rPr>
              <w:t>.0</w:t>
            </w:r>
            <w:r w:rsidR="000150F0" w:rsidRPr="007475DD">
              <w:rPr>
                <w:rFonts w:ascii="Arial" w:hAnsi="Arial" w:cs="Arial"/>
              </w:rPr>
              <w:t>%</w:t>
            </w:r>
          </w:p>
        </w:tc>
        <w:tc>
          <w:tcPr>
            <w:tcW w:w="1275" w:type="dxa"/>
          </w:tcPr>
          <w:p w14:paraId="64471F46" w14:textId="77777777" w:rsidR="00CE7618" w:rsidRPr="007475DD" w:rsidRDefault="00724BA2">
            <w:pPr>
              <w:jc w:val="center"/>
              <w:rPr>
                <w:rFonts w:ascii="Arial" w:hAnsi="Arial" w:cs="Arial"/>
              </w:rPr>
            </w:pPr>
            <w:r w:rsidRPr="007475DD">
              <w:rPr>
                <w:rFonts w:ascii="Arial" w:hAnsi="Arial" w:cs="Arial"/>
              </w:rPr>
              <w:t>2</w:t>
            </w:r>
            <w:r w:rsidR="00582647" w:rsidRPr="007475DD">
              <w:rPr>
                <w:rFonts w:ascii="Arial" w:hAnsi="Arial" w:cs="Arial"/>
              </w:rPr>
              <w:t>.0</w:t>
            </w:r>
            <w:r w:rsidRPr="007475DD">
              <w:rPr>
                <w:rFonts w:ascii="Arial" w:hAnsi="Arial" w:cs="Arial"/>
              </w:rPr>
              <w:t>%</w:t>
            </w:r>
          </w:p>
        </w:tc>
      </w:tr>
      <w:tr w:rsidR="000150F0" w:rsidRPr="00305112" w14:paraId="58DCBF73" w14:textId="77777777" w:rsidTr="007B3D36">
        <w:tc>
          <w:tcPr>
            <w:tcW w:w="3115" w:type="dxa"/>
          </w:tcPr>
          <w:p w14:paraId="4827BB62" w14:textId="6635B8CD" w:rsidR="000150F0" w:rsidRPr="007475DD" w:rsidRDefault="005D7EA8" w:rsidP="000150F0">
            <w:pPr>
              <w:jc w:val="both"/>
              <w:rPr>
                <w:rFonts w:ascii="Arial" w:hAnsi="Arial" w:cs="Arial"/>
              </w:rPr>
            </w:pPr>
            <w:r w:rsidRPr="007475DD">
              <w:rPr>
                <w:rFonts w:ascii="Arial" w:hAnsi="Arial" w:cs="Arial"/>
              </w:rPr>
              <w:t>CPI</w:t>
            </w:r>
          </w:p>
        </w:tc>
        <w:tc>
          <w:tcPr>
            <w:tcW w:w="1138" w:type="dxa"/>
            <w:vAlign w:val="bottom"/>
          </w:tcPr>
          <w:p w14:paraId="374C8C99" w14:textId="49C08F46" w:rsidR="000150F0" w:rsidRPr="007475DD" w:rsidRDefault="007475DD" w:rsidP="00427871">
            <w:pPr>
              <w:jc w:val="center"/>
              <w:rPr>
                <w:rFonts w:ascii="Arial" w:hAnsi="Arial" w:cs="Arial"/>
              </w:rPr>
            </w:pPr>
            <w:r w:rsidRPr="007475DD">
              <w:rPr>
                <w:rFonts w:ascii="Arial" w:hAnsi="Arial" w:cs="Arial"/>
              </w:rPr>
              <w:t>3</w:t>
            </w:r>
            <w:r w:rsidR="00F873E3" w:rsidRPr="007475DD">
              <w:rPr>
                <w:rFonts w:ascii="Arial" w:hAnsi="Arial" w:cs="Arial"/>
              </w:rPr>
              <w:t>.</w:t>
            </w:r>
            <w:r w:rsidR="00427871" w:rsidRPr="007475DD">
              <w:rPr>
                <w:rFonts w:ascii="Arial" w:hAnsi="Arial" w:cs="Arial"/>
              </w:rPr>
              <w:t>0</w:t>
            </w:r>
            <w:r w:rsidR="000150F0" w:rsidRPr="007475DD">
              <w:rPr>
                <w:rFonts w:ascii="Arial" w:hAnsi="Arial" w:cs="Arial"/>
              </w:rPr>
              <w:t>%</w:t>
            </w:r>
          </w:p>
        </w:tc>
        <w:tc>
          <w:tcPr>
            <w:tcW w:w="1134" w:type="dxa"/>
            <w:vAlign w:val="bottom"/>
          </w:tcPr>
          <w:p w14:paraId="0EBA95F0" w14:textId="691C54E0" w:rsidR="000150F0" w:rsidRPr="007475DD" w:rsidRDefault="009D5481" w:rsidP="000150F0">
            <w:pPr>
              <w:jc w:val="center"/>
              <w:rPr>
                <w:rFonts w:ascii="Arial" w:hAnsi="Arial" w:cs="Arial"/>
              </w:rPr>
            </w:pPr>
            <w:r w:rsidRPr="007475DD">
              <w:rPr>
                <w:rFonts w:ascii="Arial" w:hAnsi="Arial" w:cs="Arial"/>
              </w:rPr>
              <w:t>2</w:t>
            </w:r>
            <w:r w:rsidR="00582647" w:rsidRPr="007475DD">
              <w:rPr>
                <w:rFonts w:ascii="Arial" w:hAnsi="Arial" w:cs="Arial"/>
              </w:rPr>
              <w:t>.0</w:t>
            </w:r>
            <w:r w:rsidR="000150F0" w:rsidRPr="007475DD">
              <w:rPr>
                <w:rFonts w:ascii="Arial" w:hAnsi="Arial" w:cs="Arial"/>
              </w:rPr>
              <w:t>%</w:t>
            </w:r>
          </w:p>
        </w:tc>
        <w:tc>
          <w:tcPr>
            <w:tcW w:w="1276" w:type="dxa"/>
            <w:vAlign w:val="bottom"/>
          </w:tcPr>
          <w:p w14:paraId="2716CF30" w14:textId="77777777" w:rsidR="000150F0" w:rsidRPr="007475DD" w:rsidRDefault="000150F0" w:rsidP="000150F0">
            <w:pPr>
              <w:jc w:val="center"/>
              <w:rPr>
                <w:rFonts w:ascii="Arial" w:hAnsi="Arial" w:cs="Arial"/>
              </w:rPr>
            </w:pPr>
            <w:r w:rsidRPr="007475DD">
              <w:rPr>
                <w:rFonts w:ascii="Arial" w:hAnsi="Arial" w:cs="Arial"/>
              </w:rPr>
              <w:t>2.0%</w:t>
            </w:r>
          </w:p>
        </w:tc>
        <w:tc>
          <w:tcPr>
            <w:tcW w:w="1276" w:type="dxa"/>
            <w:vAlign w:val="bottom"/>
          </w:tcPr>
          <w:p w14:paraId="3117245A" w14:textId="77777777" w:rsidR="000150F0" w:rsidRPr="007475DD" w:rsidRDefault="000150F0" w:rsidP="000150F0">
            <w:pPr>
              <w:jc w:val="center"/>
              <w:rPr>
                <w:rFonts w:ascii="Arial" w:hAnsi="Arial" w:cs="Arial"/>
              </w:rPr>
            </w:pPr>
            <w:r w:rsidRPr="007475DD">
              <w:rPr>
                <w:rFonts w:ascii="Arial" w:hAnsi="Arial" w:cs="Arial"/>
              </w:rPr>
              <w:t>2.0%</w:t>
            </w:r>
          </w:p>
        </w:tc>
        <w:tc>
          <w:tcPr>
            <w:tcW w:w="1275" w:type="dxa"/>
            <w:vAlign w:val="bottom"/>
          </w:tcPr>
          <w:p w14:paraId="5FDA6836" w14:textId="77777777" w:rsidR="000150F0" w:rsidRPr="007475DD" w:rsidRDefault="000150F0" w:rsidP="000150F0">
            <w:pPr>
              <w:jc w:val="center"/>
              <w:rPr>
                <w:rFonts w:ascii="Arial" w:hAnsi="Arial" w:cs="Arial"/>
              </w:rPr>
            </w:pPr>
            <w:r w:rsidRPr="007475DD">
              <w:rPr>
                <w:rFonts w:ascii="Arial" w:hAnsi="Arial" w:cs="Arial"/>
              </w:rPr>
              <w:t>2.0%</w:t>
            </w:r>
          </w:p>
        </w:tc>
      </w:tr>
      <w:tr w:rsidR="000150F0" w:rsidRPr="00305112" w14:paraId="2DB24898" w14:textId="77777777" w:rsidTr="007B3D36">
        <w:tc>
          <w:tcPr>
            <w:tcW w:w="3115" w:type="dxa"/>
          </w:tcPr>
          <w:p w14:paraId="27A984D5" w14:textId="53A8A9E7" w:rsidR="000150F0" w:rsidRPr="007475DD" w:rsidRDefault="003074A2" w:rsidP="003074A2">
            <w:pPr>
              <w:rPr>
                <w:rFonts w:ascii="Arial" w:hAnsi="Arial" w:cs="Arial"/>
              </w:rPr>
            </w:pPr>
            <w:r w:rsidRPr="007475DD">
              <w:rPr>
                <w:rFonts w:ascii="Arial" w:hAnsi="Arial" w:cs="Arial"/>
              </w:rPr>
              <w:t xml:space="preserve">RPI </w:t>
            </w:r>
          </w:p>
        </w:tc>
        <w:tc>
          <w:tcPr>
            <w:tcW w:w="1138" w:type="dxa"/>
          </w:tcPr>
          <w:p w14:paraId="2D59A1FE" w14:textId="2C058D54" w:rsidR="000150F0" w:rsidRPr="007475DD" w:rsidRDefault="007475DD" w:rsidP="00590EDA">
            <w:pPr>
              <w:jc w:val="center"/>
              <w:rPr>
                <w:rFonts w:ascii="Arial" w:hAnsi="Arial" w:cs="Arial"/>
              </w:rPr>
            </w:pPr>
            <w:r w:rsidRPr="007475DD">
              <w:rPr>
                <w:rFonts w:ascii="Arial" w:hAnsi="Arial" w:cs="Arial"/>
              </w:rPr>
              <w:t>4</w:t>
            </w:r>
            <w:r w:rsidR="00F873E3" w:rsidRPr="007475DD">
              <w:rPr>
                <w:rFonts w:ascii="Arial" w:hAnsi="Arial" w:cs="Arial"/>
              </w:rPr>
              <w:t>.</w:t>
            </w:r>
            <w:r w:rsidR="00590EDA" w:rsidRPr="007475DD">
              <w:rPr>
                <w:rFonts w:ascii="Arial" w:hAnsi="Arial" w:cs="Arial"/>
              </w:rPr>
              <w:t>0</w:t>
            </w:r>
            <w:r w:rsidR="000150F0" w:rsidRPr="007475DD">
              <w:rPr>
                <w:rFonts w:ascii="Arial" w:hAnsi="Arial" w:cs="Arial"/>
              </w:rPr>
              <w:t>%</w:t>
            </w:r>
          </w:p>
        </w:tc>
        <w:tc>
          <w:tcPr>
            <w:tcW w:w="1134" w:type="dxa"/>
          </w:tcPr>
          <w:p w14:paraId="62A8531B" w14:textId="55E537D2" w:rsidR="000150F0" w:rsidRPr="007475DD" w:rsidRDefault="009D5481" w:rsidP="00427871">
            <w:pPr>
              <w:jc w:val="center"/>
              <w:rPr>
                <w:rFonts w:ascii="Arial" w:hAnsi="Arial" w:cs="Arial"/>
              </w:rPr>
            </w:pPr>
            <w:r w:rsidRPr="007475DD">
              <w:rPr>
                <w:rFonts w:ascii="Arial" w:hAnsi="Arial" w:cs="Arial"/>
              </w:rPr>
              <w:t>3</w:t>
            </w:r>
            <w:r w:rsidR="00F873E3" w:rsidRPr="007475DD">
              <w:rPr>
                <w:rFonts w:ascii="Arial" w:hAnsi="Arial" w:cs="Arial"/>
              </w:rPr>
              <w:t>.</w:t>
            </w:r>
            <w:r w:rsidR="00427871" w:rsidRPr="007475DD">
              <w:rPr>
                <w:rFonts w:ascii="Arial" w:hAnsi="Arial" w:cs="Arial"/>
              </w:rPr>
              <w:t>0</w:t>
            </w:r>
            <w:r w:rsidR="000150F0" w:rsidRPr="007475DD">
              <w:rPr>
                <w:rFonts w:ascii="Arial" w:hAnsi="Arial" w:cs="Arial"/>
              </w:rPr>
              <w:t>%</w:t>
            </w:r>
          </w:p>
        </w:tc>
        <w:tc>
          <w:tcPr>
            <w:tcW w:w="1276" w:type="dxa"/>
          </w:tcPr>
          <w:p w14:paraId="6E8917BC" w14:textId="77777777" w:rsidR="000150F0" w:rsidRPr="007475DD" w:rsidRDefault="00F873E3" w:rsidP="00427871">
            <w:pPr>
              <w:jc w:val="center"/>
              <w:rPr>
                <w:rFonts w:ascii="Arial" w:hAnsi="Arial" w:cs="Arial"/>
              </w:rPr>
            </w:pPr>
            <w:r w:rsidRPr="007475DD">
              <w:rPr>
                <w:rFonts w:ascii="Arial" w:hAnsi="Arial" w:cs="Arial"/>
              </w:rPr>
              <w:t>3.</w:t>
            </w:r>
            <w:r w:rsidR="00427871" w:rsidRPr="007475DD">
              <w:rPr>
                <w:rFonts w:ascii="Arial" w:hAnsi="Arial" w:cs="Arial"/>
              </w:rPr>
              <w:t>0</w:t>
            </w:r>
            <w:r w:rsidR="000150F0" w:rsidRPr="007475DD">
              <w:rPr>
                <w:rFonts w:ascii="Arial" w:hAnsi="Arial" w:cs="Arial"/>
              </w:rPr>
              <w:t>%</w:t>
            </w:r>
          </w:p>
        </w:tc>
        <w:tc>
          <w:tcPr>
            <w:tcW w:w="1276" w:type="dxa"/>
          </w:tcPr>
          <w:p w14:paraId="1C607AD7" w14:textId="77777777" w:rsidR="000150F0" w:rsidRPr="007475DD" w:rsidRDefault="00F873E3" w:rsidP="00427871">
            <w:pPr>
              <w:jc w:val="center"/>
              <w:rPr>
                <w:rFonts w:ascii="Arial" w:hAnsi="Arial" w:cs="Arial"/>
              </w:rPr>
            </w:pPr>
            <w:r w:rsidRPr="007475DD">
              <w:rPr>
                <w:rFonts w:ascii="Arial" w:hAnsi="Arial" w:cs="Arial"/>
              </w:rPr>
              <w:t>3.</w:t>
            </w:r>
            <w:r w:rsidR="00427871" w:rsidRPr="007475DD">
              <w:rPr>
                <w:rFonts w:ascii="Arial" w:hAnsi="Arial" w:cs="Arial"/>
              </w:rPr>
              <w:t>0</w:t>
            </w:r>
            <w:r w:rsidR="000150F0" w:rsidRPr="007475DD">
              <w:rPr>
                <w:rFonts w:ascii="Arial" w:hAnsi="Arial" w:cs="Arial"/>
              </w:rPr>
              <w:t>%</w:t>
            </w:r>
          </w:p>
        </w:tc>
        <w:tc>
          <w:tcPr>
            <w:tcW w:w="1275" w:type="dxa"/>
          </w:tcPr>
          <w:p w14:paraId="3C55412E" w14:textId="77777777" w:rsidR="000150F0" w:rsidRPr="007475DD" w:rsidRDefault="00F873E3" w:rsidP="00427871">
            <w:pPr>
              <w:jc w:val="center"/>
              <w:rPr>
                <w:rFonts w:ascii="Arial" w:hAnsi="Arial" w:cs="Arial"/>
              </w:rPr>
            </w:pPr>
            <w:r w:rsidRPr="007475DD">
              <w:rPr>
                <w:rFonts w:ascii="Arial" w:hAnsi="Arial" w:cs="Arial"/>
              </w:rPr>
              <w:t>3.</w:t>
            </w:r>
            <w:r w:rsidR="00427871" w:rsidRPr="007475DD">
              <w:rPr>
                <w:rFonts w:ascii="Arial" w:hAnsi="Arial" w:cs="Arial"/>
              </w:rPr>
              <w:t>0</w:t>
            </w:r>
            <w:r w:rsidR="000150F0" w:rsidRPr="007475DD">
              <w:rPr>
                <w:rFonts w:ascii="Arial" w:hAnsi="Arial" w:cs="Arial"/>
              </w:rPr>
              <w:t>%</w:t>
            </w:r>
          </w:p>
        </w:tc>
      </w:tr>
      <w:tr w:rsidR="0056173D" w:rsidRPr="00305112" w14:paraId="4CC14B1A" w14:textId="77777777" w:rsidTr="007B3D36">
        <w:tc>
          <w:tcPr>
            <w:tcW w:w="3115" w:type="dxa"/>
          </w:tcPr>
          <w:p w14:paraId="5578D7FC" w14:textId="011A501B" w:rsidR="0056173D" w:rsidRPr="004D62CA" w:rsidRDefault="0033660C" w:rsidP="0056173D">
            <w:pPr>
              <w:rPr>
                <w:rFonts w:ascii="Arial" w:hAnsi="Arial" w:cs="Arial"/>
              </w:rPr>
            </w:pPr>
            <w:r>
              <w:rPr>
                <w:rFonts w:ascii="Arial" w:hAnsi="Arial" w:cs="Arial"/>
              </w:rPr>
              <w:t>Utilities</w:t>
            </w:r>
          </w:p>
        </w:tc>
        <w:tc>
          <w:tcPr>
            <w:tcW w:w="1138" w:type="dxa"/>
          </w:tcPr>
          <w:p w14:paraId="1802BB3C" w14:textId="499CA77D" w:rsidR="0056173D" w:rsidRPr="004D62CA" w:rsidRDefault="0024742F" w:rsidP="0056173D">
            <w:pPr>
              <w:jc w:val="center"/>
              <w:rPr>
                <w:rFonts w:ascii="Arial" w:hAnsi="Arial" w:cs="Arial"/>
              </w:rPr>
            </w:pPr>
            <w:r w:rsidRPr="004D62CA">
              <w:rPr>
                <w:rFonts w:ascii="Arial" w:hAnsi="Arial" w:cs="Arial"/>
              </w:rPr>
              <w:t>2.0%</w:t>
            </w:r>
          </w:p>
        </w:tc>
        <w:tc>
          <w:tcPr>
            <w:tcW w:w="1134" w:type="dxa"/>
          </w:tcPr>
          <w:p w14:paraId="3BD5BAB9" w14:textId="71419FF9" w:rsidR="0056173D" w:rsidRPr="004D62CA" w:rsidRDefault="004518F8" w:rsidP="0056173D">
            <w:pPr>
              <w:jc w:val="center"/>
              <w:rPr>
                <w:rFonts w:ascii="Arial" w:hAnsi="Arial" w:cs="Arial"/>
              </w:rPr>
            </w:pPr>
            <w:r w:rsidRPr="004D62CA">
              <w:rPr>
                <w:rFonts w:ascii="Arial" w:hAnsi="Arial" w:cs="Arial"/>
              </w:rPr>
              <w:t>2</w:t>
            </w:r>
            <w:r w:rsidR="0056173D" w:rsidRPr="004D62CA">
              <w:rPr>
                <w:rFonts w:ascii="Arial" w:hAnsi="Arial" w:cs="Arial"/>
              </w:rPr>
              <w:t>.0%</w:t>
            </w:r>
          </w:p>
        </w:tc>
        <w:tc>
          <w:tcPr>
            <w:tcW w:w="1276" w:type="dxa"/>
          </w:tcPr>
          <w:p w14:paraId="11692174" w14:textId="774FFBEB" w:rsidR="0056173D" w:rsidRPr="004D62CA" w:rsidRDefault="0056173D" w:rsidP="0056173D">
            <w:pPr>
              <w:jc w:val="center"/>
              <w:rPr>
                <w:rFonts w:ascii="Arial" w:hAnsi="Arial" w:cs="Arial"/>
              </w:rPr>
            </w:pPr>
            <w:r w:rsidRPr="004D62CA">
              <w:rPr>
                <w:rFonts w:ascii="Arial" w:hAnsi="Arial" w:cs="Arial"/>
              </w:rPr>
              <w:t>2.0%</w:t>
            </w:r>
          </w:p>
        </w:tc>
        <w:tc>
          <w:tcPr>
            <w:tcW w:w="1276" w:type="dxa"/>
          </w:tcPr>
          <w:p w14:paraId="0935153E" w14:textId="5280509E" w:rsidR="0056173D" w:rsidRPr="004D62CA" w:rsidRDefault="0056173D" w:rsidP="0056173D">
            <w:pPr>
              <w:jc w:val="center"/>
              <w:rPr>
                <w:rFonts w:ascii="Arial" w:hAnsi="Arial" w:cs="Arial"/>
              </w:rPr>
            </w:pPr>
            <w:r w:rsidRPr="004D62CA">
              <w:rPr>
                <w:rFonts w:ascii="Arial" w:hAnsi="Arial" w:cs="Arial"/>
              </w:rPr>
              <w:t>2.0%</w:t>
            </w:r>
          </w:p>
        </w:tc>
        <w:tc>
          <w:tcPr>
            <w:tcW w:w="1275" w:type="dxa"/>
          </w:tcPr>
          <w:p w14:paraId="547CA48B" w14:textId="1FA1AD1E" w:rsidR="0056173D" w:rsidRPr="004D62CA" w:rsidRDefault="0056173D" w:rsidP="0056173D">
            <w:pPr>
              <w:jc w:val="center"/>
              <w:rPr>
                <w:rFonts w:ascii="Arial" w:hAnsi="Arial" w:cs="Arial"/>
              </w:rPr>
            </w:pPr>
            <w:r w:rsidRPr="004D62CA">
              <w:rPr>
                <w:rFonts w:ascii="Arial" w:hAnsi="Arial" w:cs="Arial"/>
              </w:rPr>
              <w:t>2.0%</w:t>
            </w:r>
          </w:p>
        </w:tc>
      </w:tr>
      <w:tr w:rsidR="00B92299" w:rsidRPr="00305112" w14:paraId="0C2A4F5C" w14:textId="77777777" w:rsidTr="007B3D36">
        <w:tc>
          <w:tcPr>
            <w:tcW w:w="3115" w:type="dxa"/>
          </w:tcPr>
          <w:p w14:paraId="58B1F3A6" w14:textId="512CFD9D" w:rsidR="00B92299" w:rsidRPr="00E17C3A" w:rsidRDefault="00B92299" w:rsidP="00510CE1">
            <w:pPr>
              <w:rPr>
                <w:rFonts w:ascii="Arial" w:hAnsi="Arial" w:cs="Arial"/>
              </w:rPr>
            </w:pPr>
            <w:r w:rsidRPr="00E17C3A">
              <w:rPr>
                <w:rFonts w:ascii="Arial" w:hAnsi="Arial" w:cs="Arial"/>
              </w:rPr>
              <w:t>Insurance Premiums</w:t>
            </w:r>
          </w:p>
        </w:tc>
        <w:tc>
          <w:tcPr>
            <w:tcW w:w="1138" w:type="dxa"/>
          </w:tcPr>
          <w:p w14:paraId="3DDD1AB2" w14:textId="20E2A097" w:rsidR="00B92299" w:rsidRPr="00E17C3A" w:rsidRDefault="00CE10C6" w:rsidP="00510CE1">
            <w:pPr>
              <w:jc w:val="center"/>
              <w:rPr>
                <w:rFonts w:ascii="Arial" w:hAnsi="Arial" w:cs="Arial"/>
              </w:rPr>
            </w:pPr>
            <w:r w:rsidRPr="00E17C3A">
              <w:rPr>
                <w:rFonts w:ascii="Arial" w:hAnsi="Arial" w:cs="Arial"/>
              </w:rPr>
              <w:t>5.0%</w:t>
            </w:r>
          </w:p>
        </w:tc>
        <w:tc>
          <w:tcPr>
            <w:tcW w:w="1134" w:type="dxa"/>
          </w:tcPr>
          <w:p w14:paraId="6655EE03" w14:textId="6DCB8F65" w:rsidR="00B92299" w:rsidRPr="00E17C3A" w:rsidRDefault="00CE10C6" w:rsidP="00510CE1">
            <w:pPr>
              <w:jc w:val="center"/>
              <w:rPr>
                <w:rFonts w:ascii="Arial" w:hAnsi="Arial" w:cs="Arial"/>
              </w:rPr>
            </w:pPr>
            <w:r w:rsidRPr="00E17C3A">
              <w:rPr>
                <w:rFonts w:ascii="Arial" w:hAnsi="Arial" w:cs="Arial"/>
              </w:rPr>
              <w:t>2.5%</w:t>
            </w:r>
          </w:p>
        </w:tc>
        <w:tc>
          <w:tcPr>
            <w:tcW w:w="1276" w:type="dxa"/>
          </w:tcPr>
          <w:p w14:paraId="0998D0A5" w14:textId="508EDBDD" w:rsidR="00B92299" w:rsidRPr="00E17C3A" w:rsidRDefault="00CE10C6" w:rsidP="00510CE1">
            <w:pPr>
              <w:jc w:val="center"/>
              <w:rPr>
                <w:rFonts w:ascii="Arial" w:hAnsi="Arial" w:cs="Arial"/>
              </w:rPr>
            </w:pPr>
            <w:r w:rsidRPr="00E17C3A">
              <w:rPr>
                <w:rFonts w:ascii="Arial" w:hAnsi="Arial" w:cs="Arial"/>
              </w:rPr>
              <w:t>2.5%</w:t>
            </w:r>
          </w:p>
        </w:tc>
        <w:tc>
          <w:tcPr>
            <w:tcW w:w="1276" w:type="dxa"/>
          </w:tcPr>
          <w:p w14:paraId="4688FE77" w14:textId="13959D88" w:rsidR="00B92299" w:rsidRPr="00E17C3A" w:rsidRDefault="00CE10C6" w:rsidP="00510CE1">
            <w:pPr>
              <w:jc w:val="center"/>
              <w:rPr>
                <w:rFonts w:ascii="Arial" w:hAnsi="Arial" w:cs="Arial"/>
              </w:rPr>
            </w:pPr>
            <w:r w:rsidRPr="00E17C3A">
              <w:rPr>
                <w:rFonts w:ascii="Arial" w:hAnsi="Arial" w:cs="Arial"/>
              </w:rPr>
              <w:t>2.5%</w:t>
            </w:r>
          </w:p>
        </w:tc>
        <w:tc>
          <w:tcPr>
            <w:tcW w:w="1275" w:type="dxa"/>
          </w:tcPr>
          <w:p w14:paraId="109701BC" w14:textId="6DC921A0" w:rsidR="00B92299" w:rsidRPr="00E17C3A" w:rsidRDefault="00CE10C6" w:rsidP="00510CE1">
            <w:pPr>
              <w:jc w:val="center"/>
              <w:rPr>
                <w:rFonts w:ascii="Arial" w:hAnsi="Arial" w:cs="Arial"/>
              </w:rPr>
            </w:pPr>
            <w:r w:rsidRPr="00E17C3A">
              <w:rPr>
                <w:rFonts w:ascii="Arial" w:hAnsi="Arial" w:cs="Arial"/>
              </w:rPr>
              <w:t>2.5%</w:t>
            </w:r>
          </w:p>
        </w:tc>
      </w:tr>
      <w:tr w:rsidR="000C5FC2" w:rsidRPr="00305112" w14:paraId="29E74018" w14:textId="77777777" w:rsidTr="007B3D36">
        <w:tc>
          <w:tcPr>
            <w:tcW w:w="3115" w:type="dxa"/>
          </w:tcPr>
          <w:p w14:paraId="48767468" w14:textId="6C8344F3" w:rsidR="000C5FC2" w:rsidRPr="004D62CA" w:rsidRDefault="000C5FC2" w:rsidP="000C5FC2">
            <w:pPr>
              <w:rPr>
                <w:rFonts w:ascii="Arial" w:hAnsi="Arial" w:cs="Arial"/>
              </w:rPr>
            </w:pPr>
            <w:r w:rsidRPr="004D62CA">
              <w:rPr>
                <w:rFonts w:ascii="Arial" w:hAnsi="Arial" w:cs="Arial"/>
              </w:rPr>
              <w:t>Internal Drainage Levies</w:t>
            </w:r>
          </w:p>
        </w:tc>
        <w:tc>
          <w:tcPr>
            <w:tcW w:w="1138" w:type="dxa"/>
          </w:tcPr>
          <w:p w14:paraId="035C9952" w14:textId="08B617E8" w:rsidR="000C5FC2" w:rsidRPr="004D62CA" w:rsidRDefault="000C5FC2" w:rsidP="000C5FC2">
            <w:pPr>
              <w:jc w:val="center"/>
              <w:rPr>
                <w:rFonts w:ascii="Arial" w:hAnsi="Arial" w:cs="Arial"/>
              </w:rPr>
            </w:pPr>
            <w:r w:rsidRPr="004D62CA">
              <w:rPr>
                <w:rFonts w:ascii="Arial" w:hAnsi="Arial" w:cs="Arial"/>
              </w:rPr>
              <w:t>5.0%</w:t>
            </w:r>
          </w:p>
        </w:tc>
        <w:tc>
          <w:tcPr>
            <w:tcW w:w="1134" w:type="dxa"/>
          </w:tcPr>
          <w:p w14:paraId="1272829C" w14:textId="0F08419B" w:rsidR="000C5FC2" w:rsidRPr="004D62CA" w:rsidRDefault="000C5FC2" w:rsidP="000C5FC2">
            <w:pPr>
              <w:jc w:val="center"/>
              <w:rPr>
                <w:rFonts w:ascii="Arial" w:hAnsi="Arial" w:cs="Arial"/>
              </w:rPr>
            </w:pPr>
            <w:r w:rsidRPr="004D62CA">
              <w:rPr>
                <w:rFonts w:ascii="Arial" w:hAnsi="Arial" w:cs="Arial"/>
              </w:rPr>
              <w:t>2.0%</w:t>
            </w:r>
          </w:p>
        </w:tc>
        <w:tc>
          <w:tcPr>
            <w:tcW w:w="1276" w:type="dxa"/>
          </w:tcPr>
          <w:p w14:paraId="4E094767" w14:textId="4AC9A023" w:rsidR="000C5FC2" w:rsidRPr="004D62CA" w:rsidRDefault="000C5FC2" w:rsidP="000C5FC2">
            <w:pPr>
              <w:jc w:val="center"/>
              <w:rPr>
                <w:rFonts w:ascii="Arial" w:hAnsi="Arial" w:cs="Arial"/>
              </w:rPr>
            </w:pPr>
            <w:r w:rsidRPr="004D62CA">
              <w:rPr>
                <w:rFonts w:ascii="Arial" w:hAnsi="Arial" w:cs="Arial"/>
              </w:rPr>
              <w:t>2.0%</w:t>
            </w:r>
          </w:p>
        </w:tc>
        <w:tc>
          <w:tcPr>
            <w:tcW w:w="1276" w:type="dxa"/>
          </w:tcPr>
          <w:p w14:paraId="5505251D" w14:textId="34114DD6" w:rsidR="000C5FC2" w:rsidRPr="004D62CA" w:rsidRDefault="000C5FC2" w:rsidP="000C5FC2">
            <w:pPr>
              <w:jc w:val="center"/>
              <w:rPr>
                <w:rFonts w:ascii="Arial" w:hAnsi="Arial" w:cs="Arial"/>
              </w:rPr>
            </w:pPr>
            <w:r w:rsidRPr="004D62CA">
              <w:rPr>
                <w:rFonts w:ascii="Arial" w:hAnsi="Arial" w:cs="Arial"/>
              </w:rPr>
              <w:t>2.0%</w:t>
            </w:r>
          </w:p>
        </w:tc>
        <w:tc>
          <w:tcPr>
            <w:tcW w:w="1275" w:type="dxa"/>
          </w:tcPr>
          <w:p w14:paraId="416DBC8D" w14:textId="16E3CC88" w:rsidR="000C5FC2" w:rsidRPr="004D62CA" w:rsidRDefault="000C5FC2" w:rsidP="000C5FC2">
            <w:pPr>
              <w:jc w:val="center"/>
              <w:rPr>
                <w:rFonts w:ascii="Arial" w:hAnsi="Arial" w:cs="Arial"/>
              </w:rPr>
            </w:pPr>
            <w:r w:rsidRPr="004D62CA">
              <w:rPr>
                <w:rFonts w:ascii="Arial" w:hAnsi="Arial" w:cs="Arial"/>
              </w:rPr>
              <w:t>2.0%</w:t>
            </w:r>
          </w:p>
        </w:tc>
      </w:tr>
      <w:tr w:rsidR="000C5FC2" w:rsidRPr="00305112" w14:paraId="54209DA1" w14:textId="77777777" w:rsidTr="007B3D36">
        <w:tc>
          <w:tcPr>
            <w:tcW w:w="3115" w:type="dxa"/>
          </w:tcPr>
          <w:p w14:paraId="2B97C29E" w14:textId="73532552" w:rsidR="000C5FC2" w:rsidRPr="007157DC" w:rsidRDefault="000C5FC2" w:rsidP="000C5FC2">
            <w:pPr>
              <w:jc w:val="both"/>
              <w:rPr>
                <w:rFonts w:ascii="Arial" w:hAnsi="Arial" w:cs="Arial"/>
              </w:rPr>
            </w:pPr>
            <w:r w:rsidRPr="007157DC">
              <w:rPr>
                <w:rFonts w:ascii="Arial" w:hAnsi="Arial" w:cs="Arial"/>
              </w:rPr>
              <w:t>Non domestic rates – std</w:t>
            </w:r>
          </w:p>
        </w:tc>
        <w:tc>
          <w:tcPr>
            <w:tcW w:w="1138" w:type="dxa"/>
          </w:tcPr>
          <w:p w14:paraId="7811E13D" w14:textId="287B81A2" w:rsidR="000C5FC2" w:rsidRPr="007157DC" w:rsidRDefault="005D647A" w:rsidP="000C5FC2">
            <w:pPr>
              <w:jc w:val="center"/>
              <w:rPr>
                <w:rFonts w:ascii="Arial" w:hAnsi="Arial" w:cs="Arial"/>
              </w:rPr>
            </w:pPr>
            <w:r w:rsidRPr="007157DC">
              <w:rPr>
                <w:rFonts w:ascii="Arial" w:hAnsi="Arial" w:cs="Arial"/>
              </w:rPr>
              <w:t>2.0</w:t>
            </w:r>
            <w:r w:rsidR="000C5FC2" w:rsidRPr="007157DC">
              <w:rPr>
                <w:rFonts w:ascii="Arial" w:hAnsi="Arial" w:cs="Arial"/>
              </w:rPr>
              <w:t>%</w:t>
            </w:r>
          </w:p>
        </w:tc>
        <w:tc>
          <w:tcPr>
            <w:tcW w:w="1134" w:type="dxa"/>
          </w:tcPr>
          <w:p w14:paraId="60FAEA0D" w14:textId="77777777" w:rsidR="000C5FC2" w:rsidRPr="007157DC" w:rsidRDefault="000C5FC2" w:rsidP="000C5FC2">
            <w:pPr>
              <w:jc w:val="center"/>
              <w:rPr>
                <w:rFonts w:ascii="Arial" w:hAnsi="Arial" w:cs="Arial"/>
              </w:rPr>
            </w:pPr>
            <w:r w:rsidRPr="007157DC">
              <w:rPr>
                <w:rFonts w:ascii="Arial" w:hAnsi="Arial" w:cs="Arial"/>
              </w:rPr>
              <w:t>2.0%</w:t>
            </w:r>
          </w:p>
        </w:tc>
        <w:tc>
          <w:tcPr>
            <w:tcW w:w="1276" w:type="dxa"/>
          </w:tcPr>
          <w:p w14:paraId="14F1EF88" w14:textId="77777777" w:rsidR="000C5FC2" w:rsidRPr="007157DC" w:rsidRDefault="000C5FC2" w:rsidP="000C5FC2">
            <w:pPr>
              <w:jc w:val="center"/>
              <w:rPr>
                <w:rFonts w:ascii="Arial" w:hAnsi="Arial" w:cs="Arial"/>
              </w:rPr>
            </w:pPr>
            <w:r w:rsidRPr="007157DC">
              <w:rPr>
                <w:rFonts w:ascii="Arial" w:hAnsi="Arial" w:cs="Arial"/>
              </w:rPr>
              <w:t>2.0%</w:t>
            </w:r>
          </w:p>
        </w:tc>
        <w:tc>
          <w:tcPr>
            <w:tcW w:w="1276" w:type="dxa"/>
          </w:tcPr>
          <w:p w14:paraId="207F0315" w14:textId="77777777" w:rsidR="000C5FC2" w:rsidRPr="007157DC" w:rsidRDefault="000C5FC2" w:rsidP="000C5FC2">
            <w:pPr>
              <w:jc w:val="center"/>
              <w:rPr>
                <w:rFonts w:ascii="Arial" w:hAnsi="Arial" w:cs="Arial"/>
              </w:rPr>
            </w:pPr>
            <w:r w:rsidRPr="007157DC">
              <w:rPr>
                <w:rFonts w:ascii="Arial" w:hAnsi="Arial" w:cs="Arial"/>
              </w:rPr>
              <w:t>2.0%</w:t>
            </w:r>
          </w:p>
        </w:tc>
        <w:tc>
          <w:tcPr>
            <w:tcW w:w="1275" w:type="dxa"/>
          </w:tcPr>
          <w:p w14:paraId="43A60BD4" w14:textId="77777777" w:rsidR="000C5FC2" w:rsidRPr="007157DC" w:rsidRDefault="000C5FC2" w:rsidP="000C5FC2">
            <w:pPr>
              <w:jc w:val="center"/>
              <w:rPr>
                <w:rFonts w:ascii="Arial" w:hAnsi="Arial" w:cs="Arial"/>
              </w:rPr>
            </w:pPr>
            <w:r w:rsidRPr="007157DC">
              <w:rPr>
                <w:rFonts w:ascii="Arial" w:hAnsi="Arial" w:cs="Arial"/>
              </w:rPr>
              <w:t>2.0%</w:t>
            </w:r>
          </w:p>
        </w:tc>
      </w:tr>
      <w:tr w:rsidR="000C5FC2" w:rsidRPr="00305112" w14:paraId="7E505A02" w14:textId="77777777" w:rsidTr="007B3D36">
        <w:tc>
          <w:tcPr>
            <w:tcW w:w="3115" w:type="dxa"/>
          </w:tcPr>
          <w:p w14:paraId="3660B75B" w14:textId="0FAAC17B" w:rsidR="000C5FC2" w:rsidRPr="007157DC" w:rsidRDefault="000C5FC2" w:rsidP="000C5FC2">
            <w:pPr>
              <w:jc w:val="both"/>
              <w:rPr>
                <w:rFonts w:ascii="Arial" w:hAnsi="Arial" w:cs="Arial"/>
              </w:rPr>
            </w:pPr>
            <w:r w:rsidRPr="007157DC">
              <w:rPr>
                <w:rFonts w:ascii="Arial" w:hAnsi="Arial" w:cs="Arial"/>
              </w:rPr>
              <w:t>Non domestic rates – small</w:t>
            </w:r>
          </w:p>
        </w:tc>
        <w:tc>
          <w:tcPr>
            <w:tcW w:w="1138" w:type="dxa"/>
          </w:tcPr>
          <w:p w14:paraId="3766E65E" w14:textId="13B46BA7" w:rsidR="000C5FC2" w:rsidRPr="007157DC" w:rsidRDefault="000C5FC2" w:rsidP="000C5FC2">
            <w:pPr>
              <w:jc w:val="center"/>
              <w:rPr>
                <w:rFonts w:ascii="Arial" w:hAnsi="Arial" w:cs="Arial"/>
              </w:rPr>
            </w:pPr>
            <w:r w:rsidRPr="007157DC">
              <w:rPr>
                <w:rFonts w:ascii="Arial" w:hAnsi="Arial" w:cs="Arial"/>
              </w:rPr>
              <w:t>0.0%</w:t>
            </w:r>
          </w:p>
        </w:tc>
        <w:tc>
          <w:tcPr>
            <w:tcW w:w="1134" w:type="dxa"/>
          </w:tcPr>
          <w:p w14:paraId="01A0627E" w14:textId="0BFC48E6" w:rsidR="000C5FC2" w:rsidRPr="007157DC" w:rsidRDefault="000C5FC2" w:rsidP="000C5FC2">
            <w:pPr>
              <w:jc w:val="center"/>
              <w:rPr>
                <w:rFonts w:ascii="Arial" w:hAnsi="Arial" w:cs="Arial"/>
              </w:rPr>
            </w:pPr>
            <w:r w:rsidRPr="007157DC">
              <w:rPr>
                <w:rFonts w:ascii="Arial" w:hAnsi="Arial" w:cs="Arial"/>
              </w:rPr>
              <w:t>2.0%</w:t>
            </w:r>
          </w:p>
        </w:tc>
        <w:tc>
          <w:tcPr>
            <w:tcW w:w="1276" w:type="dxa"/>
          </w:tcPr>
          <w:p w14:paraId="00EF340C" w14:textId="6885684F" w:rsidR="000C5FC2" w:rsidRPr="007157DC" w:rsidRDefault="000C5FC2" w:rsidP="000C5FC2">
            <w:pPr>
              <w:jc w:val="center"/>
              <w:rPr>
                <w:rFonts w:ascii="Arial" w:hAnsi="Arial" w:cs="Arial"/>
              </w:rPr>
            </w:pPr>
            <w:r w:rsidRPr="007157DC">
              <w:rPr>
                <w:rFonts w:ascii="Arial" w:hAnsi="Arial" w:cs="Arial"/>
              </w:rPr>
              <w:t>2.0%</w:t>
            </w:r>
          </w:p>
        </w:tc>
        <w:tc>
          <w:tcPr>
            <w:tcW w:w="1276" w:type="dxa"/>
          </w:tcPr>
          <w:p w14:paraId="73AC73A5" w14:textId="60FF86D9" w:rsidR="000C5FC2" w:rsidRPr="007157DC" w:rsidRDefault="000C5FC2" w:rsidP="000C5FC2">
            <w:pPr>
              <w:jc w:val="center"/>
              <w:rPr>
                <w:rFonts w:ascii="Arial" w:hAnsi="Arial" w:cs="Arial"/>
              </w:rPr>
            </w:pPr>
            <w:r w:rsidRPr="007157DC">
              <w:rPr>
                <w:rFonts w:ascii="Arial" w:hAnsi="Arial" w:cs="Arial"/>
              </w:rPr>
              <w:t>2.0%</w:t>
            </w:r>
          </w:p>
        </w:tc>
        <w:tc>
          <w:tcPr>
            <w:tcW w:w="1275" w:type="dxa"/>
          </w:tcPr>
          <w:p w14:paraId="39DD6AA0" w14:textId="45E51F1A" w:rsidR="000C5FC2" w:rsidRPr="007157DC" w:rsidRDefault="000C5FC2" w:rsidP="000C5FC2">
            <w:pPr>
              <w:jc w:val="center"/>
              <w:rPr>
                <w:rFonts w:ascii="Arial" w:hAnsi="Arial" w:cs="Arial"/>
              </w:rPr>
            </w:pPr>
            <w:r w:rsidRPr="007157DC">
              <w:rPr>
                <w:rFonts w:ascii="Arial" w:hAnsi="Arial" w:cs="Arial"/>
              </w:rPr>
              <w:t>2.0%</w:t>
            </w:r>
          </w:p>
        </w:tc>
      </w:tr>
    </w:tbl>
    <w:p w14:paraId="024C0C9F" w14:textId="77777777" w:rsidR="00384776" w:rsidRPr="00305112" w:rsidRDefault="00384776">
      <w:pPr>
        <w:jc w:val="both"/>
        <w:rPr>
          <w:rFonts w:ascii="Arial" w:hAnsi="Arial" w:cs="Arial"/>
          <w:highlight w:val="magenta"/>
        </w:rPr>
      </w:pPr>
    </w:p>
    <w:p w14:paraId="45D0394C" w14:textId="1F9FF9E8" w:rsidR="00797A39" w:rsidRPr="00F33240" w:rsidRDefault="00797A39">
      <w:pPr>
        <w:pStyle w:val="BodyTextIndent2"/>
        <w:ind w:left="0"/>
        <w:rPr>
          <w:bCs/>
          <w:lang w:val="en"/>
        </w:rPr>
      </w:pPr>
      <w:r w:rsidRPr="00F33240">
        <w:rPr>
          <w:lang w:val="en-US"/>
        </w:rPr>
        <w:t>Annual price increases in a number of the Council’s contracts are linked to CPI at a defined date in the year, primarily September</w:t>
      </w:r>
      <w:r w:rsidR="0056173D" w:rsidRPr="00F33240">
        <w:rPr>
          <w:lang w:val="en-US"/>
        </w:rPr>
        <w:t>, December</w:t>
      </w:r>
      <w:r w:rsidRPr="00F33240">
        <w:rPr>
          <w:lang w:val="en-US"/>
        </w:rPr>
        <w:t xml:space="preserve"> and March.  </w:t>
      </w:r>
      <w:r w:rsidR="001306E7" w:rsidRPr="00F33240">
        <w:rPr>
          <w:lang w:val="en-US"/>
        </w:rPr>
        <w:t xml:space="preserve">These </w:t>
      </w:r>
      <w:r w:rsidR="008C381E" w:rsidRPr="00F33240">
        <w:rPr>
          <w:lang w:val="en-US"/>
        </w:rPr>
        <w:t xml:space="preserve">have </w:t>
      </w:r>
      <w:r w:rsidR="008C381E" w:rsidRPr="00F33240">
        <w:rPr>
          <w:bCs/>
          <w:lang w:val="en"/>
        </w:rPr>
        <w:t xml:space="preserve">specific </w:t>
      </w:r>
      <w:r w:rsidR="00490E7E" w:rsidRPr="00F33240">
        <w:rPr>
          <w:bCs/>
          <w:lang w:val="en"/>
        </w:rPr>
        <w:t>inflationary increases applied</w:t>
      </w:r>
      <w:r w:rsidR="008C381E" w:rsidRPr="00F33240">
        <w:rPr>
          <w:bCs/>
          <w:lang w:val="en"/>
        </w:rPr>
        <w:t>, as opposed to the general, annual increases set out above</w:t>
      </w:r>
      <w:r w:rsidR="00490E7E" w:rsidRPr="00F33240">
        <w:rPr>
          <w:bCs/>
          <w:lang w:val="en"/>
        </w:rPr>
        <w:t>.</w:t>
      </w:r>
    </w:p>
    <w:p w14:paraId="4BBF7845" w14:textId="00C1D8C2" w:rsidR="00384776" w:rsidRPr="00305112" w:rsidRDefault="00384776" w:rsidP="0099085E">
      <w:pPr>
        <w:pStyle w:val="BodyTextIndent2"/>
        <w:ind w:left="0"/>
      </w:pPr>
      <w:r w:rsidRPr="00305112">
        <w:t xml:space="preserve"> </w:t>
      </w:r>
      <w:r w:rsidRPr="00305112">
        <w:tab/>
      </w:r>
    </w:p>
    <w:p w14:paraId="02340556" w14:textId="77777777" w:rsidR="00E67804" w:rsidRPr="0063016A" w:rsidRDefault="00E67804" w:rsidP="00E67804">
      <w:pPr>
        <w:jc w:val="both"/>
        <w:rPr>
          <w:rFonts w:ascii="Arial" w:hAnsi="Arial" w:cs="Arial"/>
          <w:b/>
        </w:rPr>
      </w:pPr>
      <w:r w:rsidRPr="0063016A">
        <w:rPr>
          <w:rFonts w:ascii="Arial" w:hAnsi="Arial" w:cs="Arial"/>
          <w:b/>
        </w:rPr>
        <w:t>Land Drainage Levies</w:t>
      </w:r>
    </w:p>
    <w:p w14:paraId="20BD6F70" w14:textId="77777777" w:rsidR="00E67804" w:rsidRPr="0063016A" w:rsidRDefault="00E67804" w:rsidP="00E67804">
      <w:pPr>
        <w:jc w:val="both"/>
        <w:rPr>
          <w:rFonts w:ascii="Arial" w:hAnsi="Arial" w:cs="Arial"/>
          <w:b/>
        </w:rPr>
      </w:pPr>
    </w:p>
    <w:p w14:paraId="6A13EF17" w14:textId="55B1288F" w:rsidR="000C644E" w:rsidRPr="00A326B6" w:rsidRDefault="005E1108" w:rsidP="00E67804">
      <w:pPr>
        <w:jc w:val="both"/>
        <w:rPr>
          <w:rFonts w:ascii="Arial" w:hAnsi="Arial" w:cs="Arial"/>
        </w:rPr>
      </w:pPr>
      <w:r w:rsidRPr="0063016A">
        <w:rPr>
          <w:rFonts w:ascii="Arial" w:hAnsi="Arial" w:cs="Arial"/>
        </w:rPr>
        <w:t>A small number</w:t>
      </w:r>
      <w:r w:rsidR="005309BA" w:rsidRPr="0063016A">
        <w:rPr>
          <w:rFonts w:ascii="Arial" w:hAnsi="Arial" w:cs="Arial"/>
        </w:rPr>
        <w:t xml:space="preserve"> of</w:t>
      </w:r>
      <w:r w:rsidRPr="0063016A">
        <w:rPr>
          <w:rFonts w:ascii="Arial" w:hAnsi="Arial" w:cs="Arial"/>
        </w:rPr>
        <w:t xml:space="preserve"> l</w:t>
      </w:r>
      <w:r w:rsidR="00E67804" w:rsidRPr="0063016A">
        <w:rPr>
          <w:rFonts w:ascii="Arial" w:hAnsi="Arial" w:cs="Arial"/>
        </w:rPr>
        <w:t xml:space="preserve">ocal </w:t>
      </w:r>
      <w:r w:rsidRPr="0063016A">
        <w:rPr>
          <w:rFonts w:ascii="Arial" w:hAnsi="Arial" w:cs="Arial"/>
        </w:rPr>
        <w:t>a</w:t>
      </w:r>
      <w:r w:rsidR="00E67804" w:rsidRPr="0063016A">
        <w:rPr>
          <w:rFonts w:ascii="Arial" w:hAnsi="Arial" w:cs="Arial"/>
        </w:rPr>
        <w:t>uthorities are required to make payments of Special Levies to Internal Drainage Board</w:t>
      </w:r>
      <w:r w:rsidR="007C1896" w:rsidRPr="0063016A">
        <w:rPr>
          <w:rFonts w:ascii="Arial" w:hAnsi="Arial" w:cs="Arial"/>
        </w:rPr>
        <w:t>s</w:t>
      </w:r>
      <w:r w:rsidR="00E67804" w:rsidRPr="0063016A">
        <w:rPr>
          <w:rFonts w:ascii="Arial" w:hAnsi="Arial" w:cs="Arial"/>
        </w:rPr>
        <w:t xml:space="preserve"> (IDB</w:t>
      </w:r>
      <w:r w:rsidR="007C1896" w:rsidRPr="0063016A">
        <w:rPr>
          <w:rFonts w:ascii="Arial" w:hAnsi="Arial" w:cs="Arial"/>
        </w:rPr>
        <w:t>’s</w:t>
      </w:r>
      <w:r w:rsidR="00E67804" w:rsidRPr="0063016A">
        <w:rPr>
          <w:rFonts w:ascii="Arial" w:hAnsi="Arial" w:cs="Arial"/>
        </w:rPr>
        <w:t xml:space="preserve">) for the specific use </w:t>
      </w:r>
      <w:r w:rsidR="00AE0D26" w:rsidRPr="0063016A">
        <w:rPr>
          <w:rFonts w:ascii="Arial" w:hAnsi="Arial" w:cs="Arial"/>
        </w:rPr>
        <w:t>of</w:t>
      </w:r>
      <w:r w:rsidR="00E67804" w:rsidRPr="0063016A">
        <w:rPr>
          <w:rFonts w:ascii="Arial" w:hAnsi="Arial" w:cs="Arial"/>
        </w:rPr>
        <w:t xml:space="preserve"> manag</w:t>
      </w:r>
      <w:r w:rsidR="00AE0D26" w:rsidRPr="0063016A">
        <w:rPr>
          <w:rFonts w:ascii="Arial" w:hAnsi="Arial" w:cs="Arial"/>
        </w:rPr>
        <w:t>ing</w:t>
      </w:r>
      <w:r w:rsidR="00E67804" w:rsidRPr="0063016A">
        <w:rPr>
          <w:rFonts w:ascii="Arial" w:hAnsi="Arial" w:cs="Arial"/>
        </w:rPr>
        <w:t xml:space="preserve"> the maintenance and operation of drainage, water levels and flood risk, which is required to manage water resources and reduce flood risk to people, businesses, communities and the environment. These Special Levies represent a significant proportion of the Councils’ net budget at</w:t>
      </w:r>
      <w:r w:rsidR="00E67804" w:rsidRPr="009701D9">
        <w:rPr>
          <w:rFonts w:ascii="Arial" w:hAnsi="Arial" w:cs="Arial"/>
        </w:rPr>
        <w:t xml:space="preserve"> £</w:t>
      </w:r>
      <w:r w:rsidR="00490E7E" w:rsidRPr="009701D9">
        <w:rPr>
          <w:rFonts w:ascii="Arial" w:hAnsi="Arial" w:cs="Arial"/>
        </w:rPr>
        <w:t>1.</w:t>
      </w:r>
      <w:r w:rsidR="009701D9" w:rsidRPr="009701D9">
        <w:rPr>
          <w:rFonts w:ascii="Arial" w:hAnsi="Arial" w:cs="Arial"/>
        </w:rPr>
        <w:t>412</w:t>
      </w:r>
      <w:r w:rsidR="00CE0076" w:rsidRPr="009701D9">
        <w:rPr>
          <w:rFonts w:ascii="Arial" w:hAnsi="Arial" w:cs="Arial"/>
        </w:rPr>
        <w:t>m</w:t>
      </w:r>
      <w:r w:rsidR="00E67804" w:rsidRPr="009701D9">
        <w:rPr>
          <w:rFonts w:ascii="Arial" w:hAnsi="Arial" w:cs="Arial"/>
        </w:rPr>
        <w:t xml:space="preserve"> p.a</w:t>
      </w:r>
      <w:r w:rsidR="00BB5AAB" w:rsidRPr="009701D9">
        <w:rPr>
          <w:rFonts w:ascii="Arial" w:hAnsi="Arial" w:cs="Arial"/>
        </w:rPr>
        <w:t>.</w:t>
      </w:r>
      <w:r w:rsidR="007C581B" w:rsidRPr="009701D9">
        <w:rPr>
          <w:rFonts w:ascii="Arial" w:hAnsi="Arial" w:cs="Arial"/>
        </w:rPr>
        <w:t xml:space="preserve">, equating </w:t>
      </w:r>
      <w:r w:rsidR="007C581B" w:rsidRPr="00A326B6">
        <w:rPr>
          <w:rFonts w:ascii="Arial" w:hAnsi="Arial" w:cs="Arial"/>
        </w:rPr>
        <w:t xml:space="preserve">to </w:t>
      </w:r>
      <w:r w:rsidR="00CC77A7" w:rsidRPr="00A326B6">
        <w:rPr>
          <w:rFonts w:ascii="Arial" w:hAnsi="Arial" w:cs="Arial"/>
        </w:rPr>
        <w:t>1</w:t>
      </w:r>
      <w:r w:rsidR="00A326B6" w:rsidRPr="00A326B6">
        <w:rPr>
          <w:rFonts w:ascii="Arial" w:hAnsi="Arial" w:cs="Arial"/>
        </w:rPr>
        <w:t>7</w:t>
      </w:r>
      <w:r w:rsidR="00CC77A7" w:rsidRPr="00A326B6">
        <w:rPr>
          <w:rFonts w:ascii="Arial" w:hAnsi="Arial" w:cs="Arial"/>
        </w:rPr>
        <w:t xml:space="preserve">% of the </w:t>
      </w:r>
      <w:r w:rsidR="004908A3" w:rsidRPr="00A326B6">
        <w:rPr>
          <w:rFonts w:ascii="Arial" w:hAnsi="Arial" w:cs="Arial"/>
        </w:rPr>
        <w:t>Council Tax Requirement</w:t>
      </w:r>
      <w:r w:rsidR="00E67804" w:rsidRPr="00A326B6">
        <w:rPr>
          <w:rFonts w:ascii="Arial" w:hAnsi="Arial" w:cs="Arial"/>
        </w:rPr>
        <w:t xml:space="preserve">.  </w:t>
      </w:r>
      <w:r w:rsidR="000C644E" w:rsidRPr="00A326B6">
        <w:rPr>
          <w:rFonts w:ascii="Arial" w:hAnsi="Arial" w:cs="Arial"/>
        </w:rPr>
        <w:t>Local Authorities have no control over the sum levied.</w:t>
      </w:r>
    </w:p>
    <w:p w14:paraId="2F305E04" w14:textId="77777777" w:rsidR="000C644E" w:rsidRPr="00A326B6" w:rsidRDefault="000C644E" w:rsidP="00E67804">
      <w:pPr>
        <w:jc w:val="both"/>
        <w:rPr>
          <w:rFonts w:ascii="Arial" w:hAnsi="Arial" w:cs="Arial"/>
        </w:rPr>
      </w:pPr>
    </w:p>
    <w:p w14:paraId="1E68E233" w14:textId="0F8619D4" w:rsidR="00E67804" w:rsidRPr="00A326B6" w:rsidRDefault="006F6DD4" w:rsidP="00E67804">
      <w:pPr>
        <w:jc w:val="both"/>
        <w:rPr>
          <w:rFonts w:ascii="Arial" w:hAnsi="Arial" w:cs="Arial"/>
        </w:rPr>
      </w:pPr>
      <w:r>
        <w:rPr>
          <w:rFonts w:ascii="Arial" w:hAnsi="Arial" w:cs="Arial"/>
        </w:rPr>
        <w:t>Historically the</w:t>
      </w:r>
      <w:r w:rsidR="00E67804" w:rsidRPr="00A326B6">
        <w:rPr>
          <w:rFonts w:ascii="Arial" w:hAnsi="Arial" w:cs="Arial"/>
        </w:rPr>
        <w:t xml:space="preserve"> annual increase in levies </w:t>
      </w:r>
      <w:r>
        <w:rPr>
          <w:rFonts w:ascii="Arial" w:hAnsi="Arial" w:cs="Arial"/>
        </w:rPr>
        <w:t>were</w:t>
      </w:r>
      <w:r w:rsidR="00E67804" w:rsidRPr="00A326B6">
        <w:rPr>
          <w:rFonts w:ascii="Arial" w:hAnsi="Arial" w:cs="Arial"/>
        </w:rPr>
        <w:t xml:space="preserve"> ordinarily in line with CPI projections, however </w:t>
      </w:r>
      <w:r w:rsidR="00D35E28">
        <w:rPr>
          <w:rFonts w:ascii="Arial" w:hAnsi="Arial" w:cs="Arial"/>
        </w:rPr>
        <w:t xml:space="preserve">in recent years, </w:t>
      </w:r>
      <w:r w:rsidR="00E67804" w:rsidRPr="00A326B6">
        <w:rPr>
          <w:rFonts w:ascii="Arial" w:hAnsi="Arial" w:cs="Arial"/>
        </w:rPr>
        <w:t xml:space="preserve">due to </w:t>
      </w:r>
      <w:r w:rsidR="00D35E28">
        <w:rPr>
          <w:rFonts w:ascii="Arial" w:hAnsi="Arial" w:cs="Arial"/>
        </w:rPr>
        <w:t xml:space="preserve">inflationary pressures </w:t>
      </w:r>
      <w:r w:rsidR="00490E7E" w:rsidRPr="00A326B6">
        <w:rPr>
          <w:rFonts w:ascii="Arial" w:hAnsi="Arial" w:cs="Arial"/>
        </w:rPr>
        <w:t xml:space="preserve">and </w:t>
      </w:r>
      <w:r w:rsidR="00E67804" w:rsidRPr="00A326B6">
        <w:rPr>
          <w:rFonts w:ascii="Arial" w:hAnsi="Arial" w:cs="Arial"/>
        </w:rPr>
        <w:t xml:space="preserve">significant cost increases borne by the IDB’s, </w:t>
      </w:r>
      <w:r w:rsidR="00245217" w:rsidRPr="00A326B6">
        <w:rPr>
          <w:rFonts w:ascii="Arial" w:hAnsi="Arial" w:cs="Arial"/>
        </w:rPr>
        <w:t xml:space="preserve">particularly in relation to the impacts of </w:t>
      </w:r>
      <w:r w:rsidR="004B65F5" w:rsidRPr="00A326B6">
        <w:rPr>
          <w:rFonts w:ascii="Arial" w:hAnsi="Arial" w:cs="Arial"/>
        </w:rPr>
        <w:t>weather-related</w:t>
      </w:r>
      <w:r w:rsidR="00F1479F" w:rsidRPr="00A326B6">
        <w:rPr>
          <w:rFonts w:ascii="Arial" w:hAnsi="Arial" w:cs="Arial"/>
        </w:rPr>
        <w:t xml:space="preserve"> incidents</w:t>
      </w:r>
      <w:r w:rsidR="00245217" w:rsidRPr="00A326B6">
        <w:rPr>
          <w:rFonts w:ascii="Arial" w:hAnsi="Arial" w:cs="Arial"/>
        </w:rPr>
        <w:t xml:space="preserve">, average </w:t>
      </w:r>
      <w:r w:rsidR="00E67804" w:rsidRPr="00A326B6">
        <w:rPr>
          <w:rFonts w:ascii="Arial" w:hAnsi="Arial" w:cs="Arial"/>
        </w:rPr>
        <w:t xml:space="preserve">inflationary increases </w:t>
      </w:r>
      <w:r w:rsidR="008C6C8F" w:rsidRPr="00A326B6">
        <w:rPr>
          <w:rFonts w:ascii="Arial" w:hAnsi="Arial" w:cs="Arial"/>
        </w:rPr>
        <w:t xml:space="preserve">of </w:t>
      </w:r>
      <w:r w:rsidR="00231FC3" w:rsidRPr="00A326B6">
        <w:rPr>
          <w:rFonts w:ascii="Arial" w:hAnsi="Arial" w:cs="Arial"/>
        </w:rPr>
        <w:t xml:space="preserve">20% and </w:t>
      </w:r>
      <w:r w:rsidR="00245217" w:rsidRPr="00A326B6">
        <w:rPr>
          <w:rFonts w:ascii="Arial" w:hAnsi="Arial" w:cs="Arial"/>
        </w:rPr>
        <w:t>16</w:t>
      </w:r>
      <w:r w:rsidR="003521E0" w:rsidRPr="00A326B6">
        <w:rPr>
          <w:rFonts w:ascii="Arial" w:hAnsi="Arial" w:cs="Arial"/>
        </w:rPr>
        <w:t xml:space="preserve">% </w:t>
      </w:r>
      <w:r w:rsidR="00231FC3" w:rsidRPr="00A326B6">
        <w:rPr>
          <w:rFonts w:ascii="Arial" w:hAnsi="Arial" w:cs="Arial"/>
        </w:rPr>
        <w:t>were applied in 2023/24 and</w:t>
      </w:r>
      <w:r w:rsidR="00E67804" w:rsidRPr="00A326B6">
        <w:rPr>
          <w:rFonts w:ascii="Arial" w:hAnsi="Arial" w:cs="Arial"/>
        </w:rPr>
        <w:t xml:space="preserve"> 202</w:t>
      </w:r>
      <w:r w:rsidR="008C6C8F" w:rsidRPr="00A326B6">
        <w:rPr>
          <w:rFonts w:ascii="Arial" w:hAnsi="Arial" w:cs="Arial"/>
        </w:rPr>
        <w:t>4/25</w:t>
      </w:r>
      <w:r w:rsidR="00231FC3" w:rsidRPr="00A326B6">
        <w:rPr>
          <w:rFonts w:ascii="Arial" w:hAnsi="Arial" w:cs="Arial"/>
        </w:rPr>
        <w:t xml:space="preserve"> respectively</w:t>
      </w:r>
      <w:r w:rsidR="00B3659B">
        <w:rPr>
          <w:rFonts w:ascii="Arial" w:hAnsi="Arial" w:cs="Arial"/>
        </w:rPr>
        <w:t>, w</w:t>
      </w:r>
      <w:r w:rsidR="00A326B6">
        <w:rPr>
          <w:rFonts w:ascii="Arial" w:hAnsi="Arial" w:cs="Arial"/>
        </w:rPr>
        <w:t xml:space="preserve">ith </w:t>
      </w:r>
      <w:r w:rsidR="006C290F">
        <w:rPr>
          <w:rFonts w:ascii="Arial" w:hAnsi="Arial" w:cs="Arial"/>
        </w:rPr>
        <w:t xml:space="preserve">a further </w:t>
      </w:r>
      <w:r w:rsidR="00A326B6">
        <w:rPr>
          <w:rFonts w:ascii="Arial" w:hAnsi="Arial" w:cs="Arial"/>
        </w:rPr>
        <w:t>increase</w:t>
      </w:r>
      <w:r w:rsidR="006C290F">
        <w:rPr>
          <w:rFonts w:ascii="Arial" w:hAnsi="Arial" w:cs="Arial"/>
        </w:rPr>
        <w:t xml:space="preserve"> of 5% </w:t>
      </w:r>
      <w:r w:rsidR="00A326B6">
        <w:rPr>
          <w:rFonts w:ascii="Arial" w:hAnsi="Arial" w:cs="Arial"/>
        </w:rPr>
        <w:t>in</w:t>
      </w:r>
      <w:r w:rsidR="00231FC3" w:rsidRPr="00A326B6">
        <w:rPr>
          <w:rFonts w:ascii="Arial" w:hAnsi="Arial" w:cs="Arial"/>
        </w:rPr>
        <w:t xml:space="preserve"> 2025/26 </w:t>
      </w:r>
      <w:r w:rsidR="00B9244D">
        <w:rPr>
          <w:rFonts w:ascii="Arial" w:hAnsi="Arial" w:cs="Arial"/>
        </w:rPr>
        <w:t xml:space="preserve">and </w:t>
      </w:r>
      <w:r w:rsidR="00683613">
        <w:rPr>
          <w:rFonts w:ascii="Arial" w:hAnsi="Arial" w:cs="Arial"/>
        </w:rPr>
        <w:t>a</w:t>
      </w:r>
      <w:r w:rsidR="00CB4020">
        <w:rPr>
          <w:rFonts w:ascii="Arial" w:hAnsi="Arial" w:cs="Arial"/>
        </w:rPr>
        <w:t>verage</w:t>
      </w:r>
      <w:r w:rsidR="00B01040">
        <w:rPr>
          <w:rFonts w:ascii="Arial" w:hAnsi="Arial" w:cs="Arial"/>
        </w:rPr>
        <w:t xml:space="preserve"> </w:t>
      </w:r>
      <w:r w:rsidR="006C290F">
        <w:rPr>
          <w:rFonts w:ascii="Arial" w:hAnsi="Arial" w:cs="Arial"/>
        </w:rPr>
        <w:t xml:space="preserve">increase of </w:t>
      </w:r>
      <w:r w:rsidR="006C290F" w:rsidRPr="00F87E27">
        <w:rPr>
          <w:rFonts w:ascii="Arial" w:hAnsi="Arial" w:cs="Arial"/>
        </w:rPr>
        <w:t>5</w:t>
      </w:r>
      <w:r w:rsidR="00F87E27" w:rsidRPr="00F87E27">
        <w:rPr>
          <w:rFonts w:ascii="Arial" w:hAnsi="Arial" w:cs="Arial"/>
        </w:rPr>
        <w:t>.5</w:t>
      </w:r>
      <w:r w:rsidR="006C290F">
        <w:rPr>
          <w:rFonts w:ascii="Arial" w:hAnsi="Arial" w:cs="Arial"/>
        </w:rPr>
        <w:t xml:space="preserve">% in </w:t>
      </w:r>
      <w:r w:rsidR="00B9244D">
        <w:rPr>
          <w:rFonts w:ascii="Arial" w:hAnsi="Arial" w:cs="Arial"/>
        </w:rPr>
        <w:t>2026/27</w:t>
      </w:r>
      <w:r w:rsidR="00B01040">
        <w:rPr>
          <w:rFonts w:ascii="Arial" w:hAnsi="Arial" w:cs="Arial"/>
        </w:rPr>
        <w:t>.</w:t>
      </w:r>
    </w:p>
    <w:p w14:paraId="312F7EEE" w14:textId="77777777" w:rsidR="005E1108" w:rsidRPr="007D485C" w:rsidRDefault="005E1108" w:rsidP="005E1108">
      <w:pPr>
        <w:jc w:val="both"/>
        <w:rPr>
          <w:rFonts w:ascii="Arial" w:hAnsi="Arial" w:cs="Arial"/>
          <w:b/>
          <w:bCs/>
          <w:highlight w:val="cyan"/>
        </w:rPr>
      </w:pPr>
    </w:p>
    <w:p w14:paraId="25401907" w14:textId="7E51BE6A" w:rsidR="000D6A7C" w:rsidRPr="007D485C" w:rsidRDefault="000D6A7C" w:rsidP="00B67717">
      <w:pPr>
        <w:jc w:val="both"/>
        <w:rPr>
          <w:rFonts w:ascii="Arial" w:hAnsi="Arial" w:cs="Arial"/>
          <w:highlight w:val="cyan"/>
        </w:rPr>
      </w:pPr>
      <w:r w:rsidRPr="001E54A9">
        <w:rPr>
          <w:rFonts w:ascii="Arial" w:hAnsi="Arial" w:cs="Arial"/>
        </w:rPr>
        <w:t>This issue is unique to a small number of Councils and following a successful campaign of lobbying, Government</w:t>
      </w:r>
      <w:r>
        <w:rPr>
          <w:rFonts w:ascii="Arial" w:hAnsi="Arial" w:cs="Arial"/>
        </w:rPr>
        <w:t xml:space="preserve"> </w:t>
      </w:r>
      <w:r w:rsidR="00B60AC2">
        <w:rPr>
          <w:rFonts w:ascii="Arial" w:hAnsi="Arial" w:cs="Arial"/>
        </w:rPr>
        <w:t xml:space="preserve">has </w:t>
      </w:r>
      <w:r w:rsidRPr="001E54A9">
        <w:rPr>
          <w:rFonts w:ascii="Arial" w:hAnsi="Arial" w:cs="Arial"/>
        </w:rPr>
        <w:t>made</w:t>
      </w:r>
      <w:r>
        <w:rPr>
          <w:rFonts w:ascii="Arial" w:hAnsi="Arial" w:cs="Arial"/>
        </w:rPr>
        <w:t xml:space="preserve"> one-off</w:t>
      </w:r>
      <w:r w:rsidRPr="001E54A9">
        <w:rPr>
          <w:rFonts w:ascii="Arial" w:hAnsi="Arial" w:cs="Arial"/>
        </w:rPr>
        <w:t xml:space="preserve"> grant allocations to those Councils most impacted in 2023/24</w:t>
      </w:r>
      <w:r w:rsidR="00460480" w:rsidRPr="001E54A9">
        <w:rPr>
          <w:rFonts w:ascii="Arial" w:hAnsi="Arial" w:cs="Arial"/>
        </w:rPr>
        <w:t xml:space="preserve">, </w:t>
      </w:r>
      <w:r w:rsidRPr="001E54A9">
        <w:rPr>
          <w:rFonts w:ascii="Arial" w:hAnsi="Arial" w:cs="Arial"/>
        </w:rPr>
        <w:t>2024/25 and 202</w:t>
      </w:r>
      <w:r w:rsidR="00460480" w:rsidRPr="001E54A9">
        <w:rPr>
          <w:rFonts w:ascii="Arial" w:hAnsi="Arial" w:cs="Arial"/>
        </w:rPr>
        <w:t>5</w:t>
      </w:r>
      <w:r w:rsidRPr="001E54A9">
        <w:rPr>
          <w:rFonts w:ascii="Arial" w:hAnsi="Arial" w:cs="Arial"/>
        </w:rPr>
        <w:t>/2</w:t>
      </w:r>
      <w:r w:rsidR="00460480" w:rsidRPr="001E54A9">
        <w:rPr>
          <w:rFonts w:ascii="Arial" w:hAnsi="Arial" w:cs="Arial"/>
        </w:rPr>
        <w:t>6</w:t>
      </w:r>
      <w:r w:rsidRPr="001E54A9">
        <w:rPr>
          <w:rFonts w:ascii="Arial" w:hAnsi="Arial" w:cs="Arial"/>
        </w:rPr>
        <w:t>. The Council’s allocation</w:t>
      </w:r>
      <w:r w:rsidR="00A45FD6">
        <w:rPr>
          <w:rFonts w:ascii="Arial" w:hAnsi="Arial" w:cs="Arial"/>
        </w:rPr>
        <w:t>s</w:t>
      </w:r>
      <w:r w:rsidRPr="001E54A9">
        <w:rPr>
          <w:rFonts w:ascii="Arial" w:hAnsi="Arial" w:cs="Arial"/>
        </w:rPr>
        <w:t xml:space="preserve"> </w:t>
      </w:r>
      <w:r w:rsidR="00A45FD6">
        <w:rPr>
          <w:rFonts w:ascii="Arial" w:hAnsi="Arial" w:cs="Arial"/>
        </w:rPr>
        <w:t>were £0.142m in</w:t>
      </w:r>
      <w:r w:rsidRPr="001E54A9">
        <w:rPr>
          <w:rFonts w:ascii="Arial" w:hAnsi="Arial" w:cs="Arial"/>
        </w:rPr>
        <w:t xml:space="preserve"> 2023/24, £0.173m for 2024/25</w:t>
      </w:r>
      <w:r w:rsidR="00D6031F" w:rsidRPr="001E54A9">
        <w:rPr>
          <w:rFonts w:ascii="Arial" w:hAnsi="Arial" w:cs="Arial"/>
        </w:rPr>
        <w:t xml:space="preserve"> and £</w:t>
      </w:r>
      <w:r w:rsidR="007C4F4C" w:rsidRPr="001E54A9">
        <w:rPr>
          <w:rFonts w:ascii="Arial" w:hAnsi="Arial" w:cs="Arial"/>
        </w:rPr>
        <w:t>0.</w:t>
      </w:r>
      <w:r w:rsidR="006A58F3" w:rsidRPr="001E54A9">
        <w:rPr>
          <w:rFonts w:ascii="Arial" w:hAnsi="Arial" w:cs="Arial"/>
        </w:rPr>
        <w:t>279</w:t>
      </w:r>
      <w:r w:rsidR="007C4F4C" w:rsidRPr="001E54A9">
        <w:rPr>
          <w:rFonts w:ascii="Arial" w:hAnsi="Arial" w:cs="Arial"/>
        </w:rPr>
        <w:t>m for 2025/26</w:t>
      </w:r>
      <w:r w:rsidRPr="001E54A9">
        <w:rPr>
          <w:rFonts w:ascii="Arial" w:hAnsi="Arial" w:cs="Arial"/>
        </w:rPr>
        <w:t xml:space="preserve">.  </w:t>
      </w:r>
      <w:r w:rsidRPr="00593FE5">
        <w:rPr>
          <w:rFonts w:ascii="Arial" w:hAnsi="Arial" w:cs="Arial"/>
        </w:rPr>
        <w:t>As a comparison the inflationary increase in the Council’s levies from 2022/23 to 202</w:t>
      </w:r>
      <w:r w:rsidR="00D81171">
        <w:rPr>
          <w:rFonts w:ascii="Arial" w:hAnsi="Arial" w:cs="Arial"/>
        </w:rPr>
        <w:t>5</w:t>
      </w:r>
      <w:r w:rsidRPr="00593FE5">
        <w:rPr>
          <w:rFonts w:ascii="Arial" w:hAnsi="Arial" w:cs="Arial"/>
        </w:rPr>
        <w:t>/2</w:t>
      </w:r>
      <w:r w:rsidR="00D81171">
        <w:rPr>
          <w:rFonts w:ascii="Arial" w:hAnsi="Arial" w:cs="Arial"/>
        </w:rPr>
        <w:t>6</w:t>
      </w:r>
      <w:r w:rsidRPr="00593FE5">
        <w:rPr>
          <w:rFonts w:ascii="Arial" w:hAnsi="Arial" w:cs="Arial"/>
        </w:rPr>
        <w:t xml:space="preserve"> was £0.</w:t>
      </w:r>
      <w:r w:rsidR="00324C78">
        <w:rPr>
          <w:rFonts w:ascii="Arial" w:hAnsi="Arial" w:cs="Arial"/>
        </w:rPr>
        <w:t>404</w:t>
      </w:r>
      <w:r w:rsidR="00A45FD6">
        <w:rPr>
          <w:rFonts w:ascii="Arial" w:hAnsi="Arial" w:cs="Arial"/>
        </w:rPr>
        <w:t>.</w:t>
      </w:r>
      <w:r w:rsidRPr="001E54A9">
        <w:rPr>
          <w:rFonts w:ascii="Arial" w:hAnsi="Arial" w:cs="Arial"/>
        </w:rPr>
        <w:t xml:space="preserve"> </w:t>
      </w:r>
      <w:r w:rsidR="001045CD" w:rsidRPr="001E54A9">
        <w:rPr>
          <w:rFonts w:ascii="Arial" w:hAnsi="Arial" w:cs="Arial"/>
        </w:rPr>
        <w:t xml:space="preserve">A further </w:t>
      </w:r>
      <w:r w:rsidR="00EC2FC3" w:rsidRPr="001E54A9">
        <w:rPr>
          <w:rFonts w:ascii="Arial" w:hAnsi="Arial" w:cs="Arial"/>
        </w:rPr>
        <w:t>one-off grant of £</w:t>
      </w:r>
      <w:r w:rsidR="001E54A9" w:rsidRPr="001E54A9">
        <w:rPr>
          <w:rFonts w:ascii="Arial" w:hAnsi="Arial" w:cs="Arial"/>
        </w:rPr>
        <w:t>5</w:t>
      </w:r>
      <w:r w:rsidR="00EC2FC3" w:rsidRPr="001E54A9">
        <w:rPr>
          <w:rFonts w:ascii="Arial" w:hAnsi="Arial" w:cs="Arial"/>
        </w:rPr>
        <w:t xml:space="preserve">m </w:t>
      </w:r>
      <w:r w:rsidR="00E45335">
        <w:rPr>
          <w:rFonts w:ascii="Arial" w:hAnsi="Arial" w:cs="Arial"/>
        </w:rPr>
        <w:t>was</w:t>
      </w:r>
      <w:r w:rsidR="001045CD" w:rsidRPr="001E54A9">
        <w:rPr>
          <w:rFonts w:ascii="Arial" w:hAnsi="Arial" w:cs="Arial"/>
        </w:rPr>
        <w:t xml:space="preserve"> </w:t>
      </w:r>
      <w:r w:rsidR="00EC2FC3" w:rsidRPr="001E54A9">
        <w:rPr>
          <w:rFonts w:ascii="Arial" w:hAnsi="Arial" w:cs="Arial"/>
        </w:rPr>
        <w:t>announced</w:t>
      </w:r>
      <w:r w:rsidR="001045CD" w:rsidRPr="001E54A9">
        <w:rPr>
          <w:rFonts w:ascii="Arial" w:hAnsi="Arial" w:cs="Arial"/>
        </w:rPr>
        <w:t xml:space="preserve"> for 202</w:t>
      </w:r>
      <w:r w:rsidR="001E54A9" w:rsidRPr="001E54A9">
        <w:rPr>
          <w:rFonts w:ascii="Arial" w:hAnsi="Arial" w:cs="Arial"/>
        </w:rPr>
        <w:t>6</w:t>
      </w:r>
      <w:r w:rsidR="001045CD" w:rsidRPr="001E54A9">
        <w:rPr>
          <w:rFonts w:ascii="Arial" w:hAnsi="Arial" w:cs="Arial"/>
        </w:rPr>
        <w:t>/2</w:t>
      </w:r>
      <w:r w:rsidR="001E54A9" w:rsidRPr="001E54A9">
        <w:rPr>
          <w:rFonts w:ascii="Arial" w:hAnsi="Arial" w:cs="Arial"/>
        </w:rPr>
        <w:t>7</w:t>
      </w:r>
      <w:r w:rsidR="00EC2FC3" w:rsidRPr="001E54A9">
        <w:rPr>
          <w:rFonts w:ascii="Arial" w:hAnsi="Arial" w:cs="Arial"/>
        </w:rPr>
        <w:t xml:space="preserve">, </w:t>
      </w:r>
      <w:r w:rsidR="008D2288">
        <w:rPr>
          <w:rFonts w:ascii="Arial" w:hAnsi="Arial" w:cs="Arial"/>
        </w:rPr>
        <w:t>with the</w:t>
      </w:r>
      <w:r w:rsidR="00947CB0">
        <w:rPr>
          <w:rFonts w:ascii="Arial" w:hAnsi="Arial" w:cs="Arial"/>
        </w:rPr>
        <w:t xml:space="preserve"> Finance Settlement </w:t>
      </w:r>
      <w:r w:rsidR="00EE2F19">
        <w:rPr>
          <w:rFonts w:ascii="Arial" w:hAnsi="Arial" w:cs="Arial"/>
        </w:rPr>
        <w:t>includ</w:t>
      </w:r>
      <w:r w:rsidR="008D2288">
        <w:rPr>
          <w:rFonts w:ascii="Arial" w:hAnsi="Arial" w:cs="Arial"/>
        </w:rPr>
        <w:t>ing</w:t>
      </w:r>
      <w:r w:rsidR="00EE2F19">
        <w:rPr>
          <w:rFonts w:ascii="Arial" w:hAnsi="Arial" w:cs="Arial"/>
        </w:rPr>
        <w:t xml:space="preserve"> a consultation question on whether the </w:t>
      </w:r>
      <w:r w:rsidR="00957144">
        <w:rPr>
          <w:rFonts w:ascii="Arial" w:hAnsi="Arial" w:cs="Arial"/>
        </w:rPr>
        <w:t xml:space="preserve">funding should continue or cease </w:t>
      </w:r>
      <w:r w:rsidR="005405AE">
        <w:rPr>
          <w:rFonts w:ascii="Arial" w:hAnsi="Arial" w:cs="Arial"/>
        </w:rPr>
        <w:t xml:space="preserve">for the remainder of the multi-year </w:t>
      </w:r>
      <w:r w:rsidR="009845E8">
        <w:rPr>
          <w:rFonts w:ascii="Arial" w:hAnsi="Arial" w:cs="Arial"/>
        </w:rPr>
        <w:t>S</w:t>
      </w:r>
      <w:r w:rsidR="005405AE">
        <w:rPr>
          <w:rFonts w:ascii="Arial" w:hAnsi="Arial" w:cs="Arial"/>
        </w:rPr>
        <w:t>ettlement</w:t>
      </w:r>
      <w:r w:rsidR="009845E8">
        <w:rPr>
          <w:rFonts w:ascii="Arial" w:hAnsi="Arial" w:cs="Arial"/>
        </w:rPr>
        <w:t>.  S</w:t>
      </w:r>
      <w:r w:rsidR="00EC2FC3" w:rsidRPr="001E54A9">
        <w:rPr>
          <w:rFonts w:ascii="Arial" w:hAnsi="Arial" w:cs="Arial"/>
        </w:rPr>
        <w:t>pecific allocations to individual authorities are not yet available</w:t>
      </w:r>
      <w:r w:rsidR="009845E8">
        <w:rPr>
          <w:rFonts w:ascii="Arial" w:hAnsi="Arial" w:cs="Arial"/>
        </w:rPr>
        <w:t xml:space="preserve"> and as such the MTFS does not include </w:t>
      </w:r>
      <w:r w:rsidR="00D57309">
        <w:rPr>
          <w:rFonts w:ascii="Arial" w:hAnsi="Arial" w:cs="Arial"/>
        </w:rPr>
        <w:t>an estimate for this grant.</w:t>
      </w:r>
    </w:p>
    <w:p w14:paraId="5FC87BD5" w14:textId="77777777" w:rsidR="005E1108" w:rsidRPr="007D485C" w:rsidRDefault="005E1108" w:rsidP="005E1108">
      <w:pPr>
        <w:jc w:val="both"/>
        <w:rPr>
          <w:rFonts w:ascii="Arial" w:hAnsi="Arial" w:cs="Arial"/>
          <w:b/>
          <w:bCs/>
          <w:highlight w:val="cyan"/>
        </w:rPr>
      </w:pPr>
    </w:p>
    <w:p w14:paraId="10950A28" w14:textId="05F1DF91" w:rsidR="00170D1D" w:rsidRPr="00674740" w:rsidRDefault="00170D1D" w:rsidP="00B67717">
      <w:pPr>
        <w:jc w:val="both"/>
        <w:rPr>
          <w:rFonts w:ascii="Arial" w:hAnsi="Arial" w:cs="Arial"/>
        </w:rPr>
      </w:pPr>
      <w:r w:rsidRPr="0023039B">
        <w:rPr>
          <w:rFonts w:ascii="Arial" w:hAnsi="Arial" w:cs="Arial"/>
        </w:rPr>
        <w:t>While these one-off grant allocations from Government are welcomed, the Council is continuing to still seek a longer term, more sustainable, approach to Drainage Board funding from Government that removes the need for Council subsidy entirely.  The Council is part of a Special Interest Group, supported through the LGA, which continues to lobby Government to seek a revised approach to the funding mechanism.</w:t>
      </w:r>
      <w:r w:rsidRPr="00674740">
        <w:rPr>
          <w:rFonts w:ascii="Arial" w:hAnsi="Arial" w:cs="Arial"/>
        </w:rPr>
        <w:t xml:space="preserve">  </w:t>
      </w:r>
    </w:p>
    <w:p w14:paraId="63C78FE6" w14:textId="77777777" w:rsidR="00A828DE" w:rsidRDefault="00A828DE" w:rsidP="0022316C">
      <w:pPr>
        <w:jc w:val="both"/>
        <w:rPr>
          <w:rFonts w:ascii="Arial" w:hAnsi="Arial" w:cs="Arial"/>
          <w:b/>
          <w:bCs/>
        </w:rPr>
      </w:pPr>
    </w:p>
    <w:p w14:paraId="0B75DC64" w14:textId="502C5565" w:rsidR="00384776" w:rsidRPr="005B0FEB" w:rsidRDefault="00384776" w:rsidP="0022316C">
      <w:pPr>
        <w:jc w:val="both"/>
        <w:rPr>
          <w:rFonts w:ascii="Arial" w:hAnsi="Arial" w:cs="Arial"/>
          <w:b/>
        </w:rPr>
      </w:pPr>
      <w:r w:rsidRPr="005B0FEB">
        <w:rPr>
          <w:rFonts w:ascii="Arial" w:hAnsi="Arial" w:cs="Arial"/>
          <w:b/>
        </w:rPr>
        <w:t>Employer</w:t>
      </w:r>
      <w:r w:rsidR="003B37F4" w:rsidRPr="005B0FEB">
        <w:rPr>
          <w:rFonts w:ascii="Arial" w:hAnsi="Arial" w:cs="Arial"/>
          <w:b/>
        </w:rPr>
        <w:t>’</w:t>
      </w:r>
      <w:r w:rsidRPr="005B0FEB">
        <w:rPr>
          <w:rFonts w:ascii="Arial" w:hAnsi="Arial" w:cs="Arial"/>
          <w:b/>
        </w:rPr>
        <w:t>s Pension Fund Contributions</w:t>
      </w:r>
    </w:p>
    <w:p w14:paraId="43949C54" w14:textId="77777777" w:rsidR="00384776" w:rsidRPr="005B0FEB" w:rsidRDefault="00384776">
      <w:pPr>
        <w:jc w:val="both"/>
        <w:rPr>
          <w:rFonts w:ascii="Arial" w:hAnsi="Arial" w:cs="Arial"/>
          <w:b/>
        </w:rPr>
      </w:pPr>
    </w:p>
    <w:p w14:paraId="084B6B21" w14:textId="6DC57015" w:rsidR="00CA12A6" w:rsidRPr="000F436A" w:rsidRDefault="00E76803" w:rsidP="00CA12A6">
      <w:pPr>
        <w:jc w:val="both"/>
        <w:rPr>
          <w:rFonts w:ascii="Arial" w:hAnsi="Arial" w:cs="Arial"/>
        </w:rPr>
      </w:pPr>
      <w:r w:rsidRPr="000F436A">
        <w:rPr>
          <w:rFonts w:ascii="Arial" w:hAnsi="Arial" w:cs="Arial"/>
        </w:rPr>
        <w:t>The latest triennial revaluation of the Council’s Pension Fund took place at 31 March 20</w:t>
      </w:r>
      <w:r w:rsidR="00CA12A6" w:rsidRPr="000F436A">
        <w:rPr>
          <w:rFonts w:ascii="Arial" w:hAnsi="Arial" w:cs="Arial"/>
        </w:rPr>
        <w:t>2</w:t>
      </w:r>
      <w:r w:rsidR="00E46B3F" w:rsidRPr="000F436A">
        <w:rPr>
          <w:rFonts w:ascii="Arial" w:hAnsi="Arial" w:cs="Arial"/>
        </w:rPr>
        <w:t>5</w:t>
      </w:r>
      <w:r w:rsidRPr="000F436A">
        <w:rPr>
          <w:rFonts w:ascii="Arial" w:hAnsi="Arial" w:cs="Arial"/>
        </w:rPr>
        <w:t>,</w:t>
      </w:r>
      <w:r w:rsidR="00DE5252" w:rsidRPr="000F436A">
        <w:rPr>
          <w:rFonts w:ascii="Arial" w:hAnsi="Arial" w:cs="Arial"/>
        </w:rPr>
        <w:t xml:space="preserve"> the </w:t>
      </w:r>
      <w:r w:rsidR="004B3E47" w:rsidRPr="000F436A">
        <w:rPr>
          <w:rFonts w:ascii="Arial" w:hAnsi="Arial" w:cs="Arial"/>
        </w:rPr>
        <w:t xml:space="preserve">results </w:t>
      </w:r>
      <w:r w:rsidR="00972B4E" w:rsidRPr="000F436A">
        <w:rPr>
          <w:rFonts w:ascii="Arial" w:hAnsi="Arial" w:cs="Arial"/>
        </w:rPr>
        <w:t xml:space="preserve">of which </w:t>
      </w:r>
      <w:r w:rsidR="00DE5252" w:rsidRPr="000F436A">
        <w:rPr>
          <w:rFonts w:ascii="Arial" w:hAnsi="Arial" w:cs="Arial"/>
        </w:rPr>
        <w:t>identified t</w:t>
      </w:r>
      <w:r w:rsidR="004B3E47" w:rsidRPr="000F436A">
        <w:rPr>
          <w:rFonts w:ascii="Arial" w:hAnsi="Arial" w:cs="Arial"/>
        </w:rPr>
        <w:t>hat there has been</w:t>
      </w:r>
      <w:r w:rsidR="006E7119" w:rsidRPr="000F436A">
        <w:rPr>
          <w:rFonts w:ascii="Arial" w:hAnsi="Arial" w:cs="Arial"/>
        </w:rPr>
        <w:t xml:space="preserve"> </w:t>
      </w:r>
      <w:r w:rsidR="00353C73" w:rsidRPr="000F436A">
        <w:rPr>
          <w:rFonts w:ascii="Arial" w:hAnsi="Arial" w:cs="Arial"/>
        </w:rPr>
        <w:t>a</w:t>
      </w:r>
      <w:r w:rsidR="0060789B" w:rsidRPr="000F436A">
        <w:rPr>
          <w:rFonts w:ascii="Arial" w:hAnsi="Arial" w:cs="Arial"/>
        </w:rPr>
        <w:t xml:space="preserve"> </w:t>
      </w:r>
      <w:r w:rsidR="00AC0E6B" w:rsidRPr="000F436A">
        <w:rPr>
          <w:rFonts w:ascii="Arial" w:hAnsi="Arial" w:cs="Arial"/>
        </w:rPr>
        <w:t>significant</w:t>
      </w:r>
      <w:r w:rsidR="00E651D2" w:rsidRPr="000F436A">
        <w:rPr>
          <w:rFonts w:ascii="Arial" w:hAnsi="Arial" w:cs="Arial"/>
        </w:rPr>
        <w:t xml:space="preserve"> improvement</w:t>
      </w:r>
      <w:r w:rsidR="004B3E47" w:rsidRPr="000F436A">
        <w:rPr>
          <w:rFonts w:ascii="Arial" w:hAnsi="Arial" w:cs="Arial"/>
        </w:rPr>
        <w:t xml:space="preserve"> in the funding position since the last review </w:t>
      </w:r>
      <w:r w:rsidR="009811F1" w:rsidRPr="000F436A">
        <w:rPr>
          <w:rFonts w:ascii="Arial" w:hAnsi="Arial" w:cs="Arial"/>
        </w:rPr>
        <w:t xml:space="preserve">in 2022.  </w:t>
      </w:r>
      <w:r w:rsidR="004B3E47" w:rsidRPr="000F436A">
        <w:rPr>
          <w:rFonts w:ascii="Arial" w:hAnsi="Arial" w:cs="Arial"/>
        </w:rPr>
        <w:t xml:space="preserve"> </w:t>
      </w:r>
      <w:r w:rsidR="009811F1" w:rsidRPr="000F436A">
        <w:rPr>
          <w:rFonts w:ascii="Arial" w:hAnsi="Arial" w:cs="Arial"/>
        </w:rPr>
        <w:t xml:space="preserve">The </w:t>
      </w:r>
      <w:r w:rsidR="000F436A" w:rsidRPr="000F436A">
        <w:rPr>
          <w:rFonts w:ascii="Arial" w:hAnsi="Arial" w:cs="Arial"/>
        </w:rPr>
        <w:t>F</w:t>
      </w:r>
      <w:r w:rsidR="009811F1" w:rsidRPr="000F436A">
        <w:rPr>
          <w:rFonts w:ascii="Arial" w:hAnsi="Arial" w:cs="Arial"/>
        </w:rPr>
        <w:t>und showed</w:t>
      </w:r>
      <w:r w:rsidR="004B3E47" w:rsidRPr="000F436A">
        <w:rPr>
          <w:rFonts w:ascii="Arial" w:hAnsi="Arial" w:cs="Arial"/>
        </w:rPr>
        <w:t xml:space="preserve"> a </w:t>
      </w:r>
      <w:r w:rsidR="009811F1" w:rsidRPr="000F436A">
        <w:rPr>
          <w:rFonts w:ascii="Arial" w:hAnsi="Arial" w:cs="Arial"/>
        </w:rPr>
        <w:t>strong financial position, with liabilities fully covered, with</w:t>
      </w:r>
      <w:r w:rsidR="000F436A" w:rsidRPr="000F436A">
        <w:rPr>
          <w:rFonts w:ascii="Arial" w:hAnsi="Arial" w:cs="Arial"/>
        </w:rPr>
        <w:t xml:space="preserve"> the</w:t>
      </w:r>
      <w:r w:rsidR="004B3E47" w:rsidRPr="000F436A">
        <w:rPr>
          <w:rFonts w:ascii="Arial" w:hAnsi="Arial" w:cs="Arial"/>
        </w:rPr>
        <w:t xml:space="preserve"> funding level </w:t>
      </w:r>
      <w:r w:rsidR="009811F1" w:rsidRPr="000F436A">
        <w:rPr>
          <w:rFonts w:ascii="Arial" w:hAnsi="Arial" w:cs="Arial"/>
        </w:rPr>
        <w:t xml:space="preserve">increasing  </w:t>
      </w:r>
      <w:r w:rsidR="004B3E47" w:rsidRPr="000F436A">
        <w:rPr>
          <w:rFonts w:ascii="Arial" w:hAnsi="Arial" w:cs="Arial"/>
        </w:rPr>
        <w:t xml:space="preserve">from </w:t>
      </w:r>
      <w:r w:rsidR="00CA12A6" w:rsidRPr="000F436A">
        <w:rPr>
          <w:rFonts w:ascii="Arial" w:hAnsi="Arial" w:cs="Arial"/>
        </w:rPr>
        <w:t>92.7</w:t>
      </w:r>
      <w:r w:rsidR="004B3E47" w:rsidRPr="000F436A">
        <w:rPr>
          <w:rFonts w:ascii="Arial" w:hAnsi="Arial" w:cs="Arial"/>
        </w:rPr>
        <w:t xml:space="preserve">%  to </w:t>
      </w:r>
      <w:r w:rsidR="005B0FEB" w:rsidRPr="000F436A">
        <w:rPr>
          <w:rFonts w:ascii="Arial" w:hAnsi="Arial" w:cs="Arial"/>
        </w:rPr>
        <w:t>101.6</w:t>
      </w:r>
      <w:r w:rsidR="004B3E47" w:rsidRPr="000F436A">
        <w:rPr>
          <w:rFonts w:ascii="Arial" w:hAnsi="Arial" w:cs="Arial"/>
        </w:rPr>
        <w:t>%</w:t>
      </w:r>
      <w:r w:rsidR="003A2CDB" w:rsidRPr="000F436A">
        <w:rPr>
          <w:rFonts w:ascii="Arial" w:hAnsi="Arial" w:cs="Arial"/>
        </w:rPr>
        <w:t xml:space="preserve">, </w:t>
      </w:r>
      <w:r w:rsidR="009811F1" w:rsidRPr="000F436A">
        <w:rPr>
          <w:rFonts w:ascii="Arial" w:hAnsi="Arial" w:cs="Arial"/>
        </w:rPr>
        <w:t xml:space="preserve">equivalent </w:t>
      </w:r>
      <w:r w:rsidR="001E7A8A" w:rsidRPr="000F436A">
        <w:rPr>
          <w:rFonts w:ascii="Arial" w:hAnsi="Arial" w:cs="Arial"/>
        </w:rPr>
        <w:t xml:space="preserve"> to a </w:t>
      </w:r>
      <w:r w:rsidR="003A2CDB" w:rsidRPr="000F436A">
        <w:rPr>
          <w:rFonts w:ascii="Arial" w:hAnsi="Arial" w:cs="Arial"/>
        </w:rPr>
        <w:t>fund surplus of £3.06m</w:t>
      </w:r>
      <w:r w:rsidR="004B3E47" w:rsidRPr="000F436A">
        <w:rPr>
          <w:rFonts w:ascii="Arial" w:hAnsi="Arial" w:cs="Arial"/>
        </w:rPr>
        <w:t xml:space="preserve">. </w:t>
      </w:r>
    </w:p>
    <w:p w14:paraId="2CD71851" w14:textId="77777777" w:rsidR="009811F1" w:rsidRPr="001C0B17" w:rsidRDefault="009811F1" w:rsidP="00CA12A6">
      <w:pPr>
        <w:jc w:val="both"/>
        <w:rPr>
          <w:rFonts w:ascii="Arial" w:hAnsi="Arial" w:cs="Arial"/>
          <w:highlight w:val="yellow"/>
        </w:rPr>
      </w:pPr>
    </w:p>
    <w:p w14:paraId="12422D1B" w14:textId="2DA2EA08" w:rsidR="00616EEB" w:rsidRPr="00AF46E1" w:rsidRDefault="00EC4A3D" w:rsidP="00CA12A6">
      <w:pPr>
        <w:jc w:val="both"/>
        <w:rPr>
          <w:rFonts w:ascii="Arial" w:hAnsi="Arial" w:cs="Arial"/>
        </w:rPr>
      </w:pPr>
      <w:r w:rsidRPr="00AF46E1">
        <w:rPr>
          <w:rFonts w:ascii="Arial" w:hAnsi="Arial" w:cs="Arial"/>
        </w:rPr>
        <w:t>This improvement in the funding position</w:t>
      </w:r>
      <w:r w:rsidR="003228B6" w:rsidRPr="00AF46E1">
        <w:rPr>
          <w:rFonts w:ascii="Arial" w:hAnsi="Arial" w:cs="Arial"/>
        </w:rPr>
        <w:t>,</w:t>
      </w:r>
      <w:r w:rsidRPr="00AF46E1">
        <w:rPr>
          <w:rFonts w:ascii="Arial" w:hAnsi="Arial" w:cs="Arial"/>
        </w:rPr>
        <w:t xml:space="preserve"> </w:t>
      </w:r>
      <w:r w:rsidR="00DF6D9F" w:rsidRPr="00AF46E1">
        <w:rPr>
          <w:rFonts w:ascii="Arial" w:hAnsi="Arial" w:cs="Arial"/>
        </w:rPr>
        <w:t xml:space="preserve">a result of market conditions between 2022 and 2025, </w:t>
      </w:r>
      <w:r w:rsidRPr="00AF46E1">
        <w:rPr>
          <w:rFonts w:ascii="Arial" w:hAnsi="Arial" w:cs="Arial"/>
        </w:rPr>
        <w:t xml:space="preserve">stems mainly from increased UK gilt yields and lower future inflation expectations, which reduce the present value of pension liabilities, alongside strong asset performance. </w:t>
      </w:r>
      <w:r w:rsidR="003228B6" w:rsidRPr="00AF46E1">
        <w:rPr>
          <w:rFonts w:ascii="Arial" w:hAnsi="Arial" w:cs="Arial"/>
        </w:rPr>
        <w:t xml:space="preserve">Overall, the improved funding position has had a positive outcome on contribution rates, reducing primary contribution rates from 23.4% of pensionable pay to 17.3%.   In </w:t>
      </w:r>
      <w:r w:rsidR="00F25ADC" w:rsidRPr="00AF46E1">
        <w:rPr>
          <w:rFonts w:ascii="Arial" w:hAnsi="Arial" w:cs="Arial"/>
        </w:rPr>
        <w:t xml:space="preserve">addition, as there is currently no past service deficit the </w:t>
      </w:r>
      <w:r w:rsidR="00616EEB" w:rsidRPr="00AF46E1">
        <w:rPr>
          <w:rFonts w:ascii="Arial" w:hAnsi="Arial" w:cs="Arial"/>
        </w:rPr>
        <w:t xml:space="preserve">need for </w:t>
      </w:r>
      <w:r w:rsidR="00F25ADC" w:rsidRPr="00AF46E1">
        <w:rPr>
          <w:rFonts w:ascii="Arial" w:hAnsi="Arial" w:cs="Arial"/>
        </w:rPr>
        <w:t>secondary contribution rates ha</w:t>
      </w:r>
      <w:r w:rsidR="00616EEB" w:rsidRPr="00AF46E1">
        <w:rPr>
          <w:rFonts w:ascii="Arial" w:hAnsi="Arial" w:cs="Arial"/>
        </w:rPr>
        <w:t xml:space="preserve">s been negated.  </w:t>
      </w:r>
    </w:p>
    <w:p w14:paraId="46EDC459" w14:textId="77777777" w:rsidR="00616EEB" w:rsidRPr="00AF46E1" w:rsidRDefault="00616EEB" w:rsidP="00CA12A6">
      <w:pPr>
        <w:jc w:val="both"/>
        <w:rPr>
          <w:rFonts w:ascii="Arial" w:hAnsi="Arial" w:cs="Arial"/>
        </w:rPr>
      </w:pPr>
    </w:p>
    <w:p w14:paraId="4EDFE939" w14:textId="4149E624" w:rsidR="00616EEB" w:rsidRDefault="00616EEB" w:rsidP="00CA12A6">
      <w:pPr>
        <w:jc w:val="both"/>
        <w:rPr>
          <w:rFonts w:ascii="Arial" w:hAnsi="Arial" w:cs="Arial"/>
          <w:highlight w:val="yellow"/>
        </w:rPr>
      </w:pPr>
      <w:r w:rsidRPr="00AF46E1">
        <w:rPr>
          <w:rFonts w:ascii="Arial" w:hAnsi="Arial" w:cs="Arial"/>
        </w:rPr>
        <w:t xml:space="preserve">These reductions in </w:t>
      </w:r>
      <w:r w:rsidR="00DF20DC" w:rsidRPr="00AF46E1">
        <w:rPr>
          <w:rFonts w:ascii="Arial" w:hAnsi="Arial" w:cs="Arial"/>
        </w:rPr>
        <w:t xml:space="preserve">primary and secondary </w:t>
      </w:r>
      <w:r w:rsidRPr="00AF46E1">
        <w:rPr>
          <w:rFonts w:ascii="Arial" w:hAnsi="Arial" w:cs="Arial"/>
        </w:rPr>
        <w:t>contribution rates h</w:t>
      </w:r>
      <w:r w:rsidR="00DF20DC" w:rsidRPr="00AF46E1">
        <w:rPr>
          <w:rFonts w:ascii="Arial" w:hAnsi="Arial" w:cs="Arial"/>
        </w:rPr>
        <w:t>as</w:t>
      </w:r>
      <w:r w:rsidRPr="00AF46E1">
        <w:rPr>
          <w:rFonts w:ascii="Arial" w:hAnsi="Arial" w:cs="Arial"/>
        </w:rPr>
        <w:t xml:space="preserve"> resulted in </w:t>
      </w:r>
      <w:r w:rsidR="004C36E7">
        <w:rPr>
          <w:rFonts w:ascii="Arial" w:hAnsi="Arial" w:cs="Arial"/>
        </w:rPr>
        <w:t>average</w:t>
      </w:r>
      <w:r w:rsidRPr="00AF46E1">
        <w:rPr>
          <w:rFonts w:ascii="Arial" w:hAnsi="Arial" w:cs="Arial"/>
        </w:rPr>
        <w:t xml:space="preserve"> annual savings to the General Fund of </w:t>
      </w:r>
      <w:r w:rsidRPr="004C36E7">
        <w:rPr>
          <w:rFonts w:ascii="Arial" w:hAnsi="Arial" w:cs="Arial"/>
        </w:rPr>
        <w:t>c£</w:t>
      </w:r>
      <w:r w:rsidR="001A1AEE" w:rsidRPr="004C36E7">
        <w:rPr>
          <w:rFonts w:ascii="Arial" w:hAnsi="Arial" w:cs="Arial"/>
        </w:rPr>
        <w:t>1.2</w:t>
      </w:r>
      <w:r w:rsidR="00851D4E" w:rsidRPr="004C36E7">
        <w:rPr>
          <w:rFonts w:ascii="Arial" w:hAnsi="Arial" w:cs="Arial"/>
        </w:rPr>
        <w:t>m</w:t>
      </w:r>
      <w:r w:rsidRPr="004C36E7">
        <w:rPr>
          <w:rFonts w:ascii="Arial" w:hAnsi="Arial" w:cs="Arial"/>
        </w:rPr>
        <w:t xml:space="preserve"> p.a.</w:t>
      </w:r>
      <w:r w:rsidR="00DF20DC" w:rsidRPr="004C36E7">
        <w:rPr>
          <w:rFonts w:ascii="Arial" w:hAnsi="Arial" w:cs="Arial"/>
        </w:rPr>
        <w:t xml:space="preserve"> </w:t>
      </w:r>
      <w:r w:rsidR="00DF20DC" w:rsidRPr="00AD5959">
        <w:rPr>
          <w:rFonts w:ascii="Arial" w:hAnsi="Arial" w:cs="Arial"/>
        </w:rPr>
        <w:t>over the period 2026/27 – 2028/29.</w:t>
      </w:r>
    </w:p>
    <w:p w14:paraId="41F844D5" w14:textId="77777777" w:rsidR="00CA12A6" w:rsidRPr="001C0B17" w:rsidRDefault="00CA12A6" w:rsidP="00CA12A6">
      <w:pPr>
        <w:pStyle w:val="Heading1"/>
        <w:jc w:val="both"/>
        <w:rPr>
          <w:b w:val="0"/>
          <w:bCs w:val="0"/>
          <w:color w:val="auto"/>
          <w:sz w:val="24"/>
          <w:highlight w:val="yellow"/>
        </w:rPr>
      </w:pPr>
    </w:p>
    <w:p w14:paraId="1032F56C" w14:textId="0AF4B0FC" w:rsidR="00ED7944" w:rsidRPr="00CA12A6" w:rsidRDefault="00ED7944" w:rsidP="00CA12A6">
      <w:pPr>
        <w:pStyle w:val="Heading1"/>
        <w:jc w:val="both"/>
        <w:rPr>
          <w:color w:val="auto"/>
          <w:sz w:val="24"/>
          <w:lang w:val="en-US"/>
        </w:rPr>
      </w:pPr>
      <w:r w:rsidRPr="005B43BC">
        <w:rPr>
          <w:b w:val="0"/>
          <w:color w:val="auto"/>
          <w:sz w:val="24"/>
          <w:lang w:val="en-US"/>
        </w:rPr>
        <w:t xml:space="preserve">A further actuarial review will take place in April </w:t>
      </w:r>
      <w:r w:rsidRPr="005B43BC">
        <w:rPr>
          <w:b w:val="0"/>
          <w:bCs w:val="0"/>
          <w:color w:val="auto"/>
          <w:sz w:val="24"/>
          <w:lang w:val="en-US"/>
        </w:rPr>
        <w:t>20</w:t>
      </w:r>
      <w:r w:rsidR="00644AFC" w:rsidRPr="005B43BC">
        <w:rPr>
          <w:b w:val="0"/>
          <w:bCs w:val="0"/>
          <w:color w:val="auto"/>
          <w:sz w:val="24"/>
          <w:lang w:val="en-US"/>
        </w:rPr>
        <w:t>2</w:t>
      </w:r>
      <w:r w:rsidR="005B0FEB" w:rsidRPr="005B43BC">
        <w:rPr>
          <w:b w:val="0"/>
          <w:bCs w:val="0"/>
          <w:color w:val="auto"/>
          <w:sz w:val="24"/>
          <w:lang w:val="en-US"/>
        </w:rPr>
        <w:t>8</w:t>
      </w:r>
      <w:r w:rsidRPr="005B43BC">
        <w:rPr>
          <w:b w:val="0"/>
          <w:color w:val="auto"/>
          <w:sz w:val="24"/>
          <w:lang w:val="en-US"/>
        </w:rPr>
        <w:t>, which will inform the</w:t>
      </w:r>
      <w:r w:rsidR="00302748" w:rsidRPr="005B43BC">
        <w:rPr>
          <w:b w:val="0"/>
          <w:color w:val="auto"/>
          <w:sz w:val="24"/>
          <w:lang w:val="en-US"/>
        </w:rPr>
        <w:t xml:space="preserve"> employer contributions from </w:t>
      </w:r>
      <w:r w:rsidR="00302748" w:rsidRPr="005B43BC">
        <w:rPr>
          <w:b w:val="0"/>
          <w:bCs w:val="0"/>
          <w:color w:val="auto"/>
          <w:sz w:val="24"/>
          <w:lang w:val="en-US"/>
        </w:rPr>
        <w:t>20</w:t>
      </w:r>
      <w:r w:rsidR="00644AFC" w:rsidRPr="005B43BC">
        <w:rPr>
          <w:b w:val="0"/>
          <w:bCs w:val="0"/>
          <w:color w:val="auto"/>
          <w:sz w:val="24"/>
          <w:lang w:val="en-US"/>
        </w:rPr>
        <w:t>2</w:t>
      </w:r>
      <w:r w:rsidR="005B43BC" w:rsidRPr="005B43BC">
        <w:rPr>
          <w:b w:val="0"/>
          <w:bCs w:val="0"/>
          <w:color w:val="auto"/>
          <w:sz w:val="24"/>
          <w:lang w:val="en-US"/>
        </w:rPr>
        <w:t>9</w:t>
      </w:r>
      <w:r w:rsidRPr="005B43BC">
        <w:rPr>
          <w:b w:val="0"/>
          <w:bCs w:val="0"/>
          <w:color w:val="auto"/>
          <w:sz w:val="24"/>
          <w:lang w:val="en-US"/>
        </w:rPr>
        <w:t>/</w:t>
      </w:r>
      <w:r w:rsidR="005B43BC" w:rsidRPr="005B43BC">
        <w:rPr>
          <w:b w:val="0"/>
          <w:bCs w:val="0"/>
          <w:color w:val="auto"/>
          <w:sz w:val="24"/>
          <w:lang w:val="en-US"/>
        </w:rPr>
        <w:t>30</w:t>
      </w:r>
      <w:r w:rsidRPr="005B43BC">
        <w:rPr>
          <w:b w:val="0"/>
          <w:color w:val="auto"/>
          <w:sz w:val="24"/>
          <w:lang w:val="en-US"/>
        </w:rPr>
        <w:t xml:space="preserve"> onwards.</w:t>
      </w:r>
      <w:r w:rsidRPr="00CA12A6">
        <w:rPr>
          <w:b w:val="0"/>
          <w:bCs w:val="0"/>
          <w:color w:val="auto"/>
          <w:sz w:val="24"/>
          <w:lang w:val="en-US"/>
        </w:rPr>
        <w:t xml:space="preserve"> </w:t>
      </w:r>
      <w:r w:rsidR="00F5040A">
        <w:rPr>
          <w:b w:val="0"/>
          <w:bCs w:val="0"/>
          <w:color w:val="auto"/>
          <w:sz w:val="24"/>
          <w:lang w:val="en-US"/>
        </w:rPr>
        <w:t xml:space="preserve">Although current liabilities have been met and the Fund is able to focus on balancing long-term strategy and future funding, a </w:t>
      </w:r>
      <w:r w:rsidR="00AD5959">
        <w:rPr>
          <w:b w:val="0"/>
          <w:bCs w:val="0"/>
          <w:color w:val="auto"/>
          <w:sz w:val="24"/>
          <w:lang w:val="en-US"/>
        </w:rPr>
        <w:t xml:space="preserve">contingency of </w:t>
      </w:r>
      <w:r w:rsidR="00AD5959" w:rsidRPr="00770D64">
        <w:rPr>
          <w:b w:val="0"/>
          <w:bCs w:val="0"/>
          <w:color w:val="auto"/>
          <w:sz w:val="24"/>
          <w:lang w:val="en-US"/>
        </w:rPr>
        <w:t>£</w:t>
      </w:r>
      <w:r w:rsidR="005B7079" w:rsidRPr="00770D64">
        <w:rPr>
          <w:b w:val="0"/>
          <w:bCs w:val="0"/>
          <w:color w:val="auto"/>
          <w:sz w:val="24"/>
          <w:lang w:val="en-US"/>
        </w:rPr>
        <w:t>0.</w:t>
      </w:r>
      <w:r w:rsidR="004C1AC1" w:rsidRPr="00770D64">
        <w:rPr>
          <w:b w:val="0"/>
          <w:bCs w:val="0"/>
          <w:color w:val="auto"/>
          <w:sz w:val="24"/>
          <w:lang w:val="en-US"/>
        </w:rPr>
        <w:t>2</w:t>
      </w:r>
      <w:r w:rsidR="005B7079" w:rsidRPr="00770D64">
        <w:rPr>
          <w:b w:val="0"/>
          <w:bCs w:val="0"/>
          <w:color w:val="auto"/>
          <w:sz w:val="24"/>
          <w:lang w:val="en-US"/>
        </w:rPr>
        <w:t>5</w:t>
      </w:r>
      <w:r w:rsidR="004C1AC1" w:rsidRPr="00770D64">
        <w:rPr>
          <w:b w:val="0"/>
          <w:bCs w:val="0"/>
          <w:color w:val="auto"/>
          <w:sz w:val="24"/>
          <w:lang w:val="en-US"/>
        </w:rPr>
        <w:t>0</w:t>
      </w:r>
      <w:r w:rsidR="005B7079" w:rsidRPr="00770D64">
        <w:rPr>
          <w:b w:val="0"/>
          <w:bCs w:val="0"/>
          <w:color w:val="auto"/>
          <w:sz w:val="24"/>
          <w:lang w:val="en-US"/>
        </w:rPr>
        <w:t>m</w:t>
      </w:r>
      <w:r w:rsidR="004C1AC1" w:rsidRPr="00770D64">
        <w:rPr>
          <w:b w:val="0"/>
          <w:bCs w:val="0"/>
          <w:color w:val="auto"/>
          <w:sz w:val="24"/>
          <w:lang w:val="en-US"/>
        </w:rPr>
        <w:t xml:space="preserve"> p.a.</w:t>
      </w:r>
      <w:r w:rsidR="00AD5959">
        <w:rPr>
          <w:b w:val="0"/>
          <w:bCs w:val="0"/>
          <w:color w:val="auto"/>
          <w:sz w:val="24"/>
          <w:lang w:val="en-US"/>
        </w:rPr>
        <w:t xml:space="preserve"> has been set aside from 2029/30 onward to provide for any potential increases in contributions levels,</w:t>
      </w:r>
    </w:p>
    <w:p w14:paraId="31591BE8" w14:textId="77777777" w:rsidR="0005327E" w:rsidRPr="005C6861" w:rsidRDefault="0005327E" w:rsidP="005E20B3">
      <w:pPr>
        <w:rPr>
          <w:rFonts w:ascii="Arial" w:hAnsi="Arial" w:cs="Arial"/>
          <w:lang w:val="en-US"/>
        </w:rPr>
      </w:pPr>
    </w:p>
    <w:p w14:paraId="60210E45" w14:textId="77777777" w:rsidR="00384776" w:rsidRPr="0082051C" w:rsidRDefault="00384776" w:rsidP="0022316C">
      <w:pPr>
        <w:jc w:val="both"/>
        <w:rPr>
          <w:rFonts w:ascii="Arial" w:hAnsi="Arial" w:cs="Arial"/>
          <w:b/>
        </w:rPr>
      </w:pPr>
      <w:r w:rsidRPr="0082051C">
        <w:rPr>
          <w:rFonts w:ascii="Arial" w:hAnsi="Arial" w:cs="Arial"/>
          <w:b/>
        </w:rPr>
        <w:t>Net Interest Receipts</w:t>
      </w:r>
    </w:p>
    <w:p w14:paraId="6F2D5C55" w14:textId="77777777" w:rsidR="00384776" w:rsidRPr="0082051C" w:rsidRDefault="00384776">
      <w:pPr>
        <w:jc w:val="both"/>
        <w:rPr>
          <w:rFonts w:ascii="Arial" w:hAnsi="Arial" w:cs="Arial"/>
          <w:b/>
        </w:rPr>
      </w:pPr>
    </w:p>
    <w:p w14:paraId="3A3C1EF7" w14:textId="77777777" w:rsidR="005D106C" w:rsidRPr="0082051C" w:rsidRDefault="005D106C" w:rsidP="005D106C">
      <w:pPr>
        <w:pStyle w:val="BodyTextIndent2"/>
        <w:ind w:left="0"/>
      </w:pPr>
      <w:r w:rsidRPr="0082051C">
        <w:t>Net interest receipts incorporate the cost of financing the capital programme (via internal and external borrowing) and interest paid and earned on revenue balances during the year.</w:t>
      </w:r>
    </w:p>
    <w:p w14:paraId="2F7CCDC3" w14:textId="77777777" w:rsidR="005D106C" w:rsidRPr="0082051C" w:rsidRDefault="005D106C" w:rsidP="005D106C">
      <w:pPr>
        <w:pStyle w:val="BodyTextIndent2"/>
        <w:ind w:left="0"/>
      </w:pPr>
    </w:p>
    <w:p w14:paraId="21E26BC3" w14:textId="0B5E5692" w:rsidR="00A25B69" w:rsidRPr="0082051C" w:rsidRDefault="00E82E25" w:rsidP="00A25B69">
      <w:pPr>
        <w:pStyle w:val="BodyTextIndent2"/>
        <w:ind w:left="0"/>
      </w:pPr>
      <w:r>
        <w:t>The Council’s</w:t>
      </w:r>
      <w:r w:rsidR="005D106C" w:rsidRPr="0082051C">
        <w:t xml:space="preserve"> investment income</w:t>
      </w:r>
      <w:r>
        <w:t xml:space="preserve"> </w:t>
      </w:r>
      <w:r w:rsidR="005D106C" w:rsidRPr="0082051C">
        <w:t xml:space="preserve">is heavily dependent on how the Council uses its reserves and the prevailing interest rates, </w:t>
      </w:r>
      <w:r>
        <w:t>and is</w:t>
      </w:r>
      <w:r w:rsidR="005D106C" w:rsidRPr="0082051C">
        <w:t xml:space="preserve"> a</w:t>
      </w:r>
      <w:r w:rsidR="00B12494">
        <w:t>n</w:t>
      </w:r>
      <w:r w:rsidR="005D106C" w:rsidRPr="0082051C">
        <w:t xml:space="preserve"> important source of income for supporting the Council’s service expenditure.</w:t>
      </w:r>
      <w:r w:rsidR="00157B75" w:rsidRPr="0082051C">
        <w:t xml:space="preserve"> </w:t>
      </w:r>
      <w:r w:rsidR="00A95AAB" w:rsidRPr="0082051C">
        <w:t>O</w:t>
      </w:r>
      <w:r w:rsidR="00A25B69" w:rsidRPr="0082051C">
        <w:t>ver the last decade the average interest rate achieved was barely above base rate</w:t>
      </w:r>
      <w:r w:rsidR="00254DC0" w:rsidRPr="0082051C">
        <w:t>, h</w:t>
      </w:r>
      <w:r w:rsidR="00A25B69" w:rsidRPr="0082051C">
        <w:t xml:space="preserve">owever, </w:t>
      </w:r>
      <w:r w:rsidR="00533601" w:rsidRPr="0082051C">
        <w:t xml:space="preserve">in recent years </w:t>
      </w:r>
      <w:r w:rsidR="00A25B69" w:rsidRPr="0082051C">
        <w:t xml:space="preserve">interest rates have </w:t>
      </w:r>
      <w:r w:rsidR="00254DC0" w:rsidRPr="0082051C">
        <w:t>increased</w:t>
      </w:r>
      <w:r w:rsidR="00A25B69" w:rsidRPr="0082051C">
        <w:t xml:space="preserve"> </w:t>
      </w:r>
      <w:r w:rsidR="00EE02F8" w:rsidRPr="0082051C">
        <w:t xml:space="preserve">in the Bank of </w:t>
      </w:r>
      <w:r w:rsidR="00FE1CF1" w:rsidRPr="0082051C">
        <w:t>England’s</w:t>
      </w:r>
      <w:r w:rsidR="00EE02F8" w:rsidRPr="0082051C">
        <w:t xml:space="preserve"> attempt to reduce inflation</w:t>
      </w:r>
      <w:r w:rsidR="00FE1CF1" w:rsidRPr="0082051C">
        <w:t xml:space="preserve">, </w:t>
      </w:r>
      <w:r w:rsidR="002D7C23" w:rsidRPr="0082051C">
        <w:t>resulting in a</w:t>
      </w:r>
      <w:r w:rsidR="00A25B69" w:rsidRPr="0082051C">
        <w:t xml:space="preserve"> </w:t>
      </w:r>
      <w:r w:rsidR="00B31BD6">
        <w:t>increased levels of</w:t>
      </w:r>
      <w:r w:rsidR="00A25B69" w:rsidRPr="0082051C">
        <w:t xml:space="preserve"> investment income. The start of the </w:t>
      </w:r>
      <w:r w:rsidR="00B31BD6">
        <w:t>20</w:t>
      </w:r>
      <w:r w:rsidR="00DB016B" w:rsidRPr="0082051C">
        <w:t>2</w:t>
      </w:r>
      <w:r w:rsidR="003E5DE1" w:rsidRPr="0082051C">
        <w:t>5</w:t>
      </w:r>
      <w:r w:rsidR="004A53A5" w:rsidRPr="0082051C">
        <w:t>/26</w:t>
      </w:r>
      <w:r w:rsidR="00A25B69" w:rsidRPr="0082051C">
        <w:t xml:space="preserve"> financial year saw interest rates at </w:t>
      </w:r>
      <w:r w:rsidR="002037B0" w:rsidRPr="0082051C">
        <w:t>4.</w:t>
      </w:r>
      <w:r w:rsidR="003E5DE1" w:rsidRPr="0082051C">
        <w:t>5</w:t>
      </w:r>
      <w:r w:rsidR="00A25B69" w:rsidRPr="0082051C">
        <w:t>%</w:t>
      </w:r>
      <w:r w:rsidR="00394FF5" w:rsidRPr="0082051C">
        <w:t xml:space="preserve">, this has since seen </w:t>
      </w:r>
      <w:r w:rsidR="005B41F1" w:rsidRPr="0082051C">
        <w:t>two reductions</w:t>
      </w:r>
      <w:r w:rsidR="007038B8" w:rsidRPr="0082051C">
        <w:t xml:space="preserve"> to </w:t>
      </w:r>
      <w:r w:rsidR="00256141" w:rsidRPr="0082051C">
        <w:t>the</w:t>
      </w:r>
      <w:r w:rsidR="00A25B69" w:rsidRPr="0082051C">
        <w:t xml:space="preserve"> current rate of </w:t>
      </w:r>
      <w:r w:rsidR="004E4CB9" w:rsidRPr="0082051C">
        <w:t>3.75</w:t>
      </w:r>
      <w:r w:rsidR="005B41F1" w:rsidRPr="0082051C">
        <w:t>% (Dec</w:t>
      </w:r>
      <w:r w:rsidR="00A94CC2">
        <w:t>ember</w:t>
      </w:r>
      <w:r w:rsidR="00632171" w:rsidRPr="0082051C">
        <w:t xml:space="preserve"> 202</w:t>
      </w:r>
      <w:r w:rsidR="0017474B" w:rsidRPr="0082051C">
        <w:t>5</w:t>
      </w:r>
      <w:r w:rsidR="005B41F1" w:rsidRPr="0082051C">
        <w:t>)</w:t>
      </w:r>
      <w:r w:rsidR="002246E5" w:rsidRPr="0082051C">
        <w:t xml:space="preserve"> off the back of </w:t>
      </w:r>
      <w:r w:rsidR="00E15A62" w:rsidRPr="0082051C">
        <w:t>falling inflation rates</w:t>
      </w:r>
      <w:r w:rsidR="00722C0C" w:rsidRPr="0082051C">
        <w:t>.</w:t>
      </w:r>
      <w:r w:rsidR="00EF684B" w:rsidRPr="0082051C">
        <w:t xml:space="preserve"> </w:t>
      </w:r>
      <w:r w:rsidR="00A85037" w:rsidRPr="0082051C">
        <w:t xml:space="preserve">Economists are forecasting </w:t>
      </w:r>
      <w:r w:rsidR="00580C74">
        <w:t>a least one further cut</w:t>
      </w:r>
      <w:r w:rsidR="006F6259">
        <w:t xml:space="preserve"> in 2026/27 but with the potential for more, and estimate the rate to be</w:t>
      </w:r>
      <w:r w:rsidR="00B73528">
        <w:t xml:space="preserve"> around 3.25% by the end of </w:t>
      </w:r>
      <w:r w:rsidR="006F6259">
        <w:t>the year</w:t>
      </w:r>
      <w:r w:rsidR="00B73528">
        <w:t>.</w:t>
      </w:r>
    </w:p>
    <w:p w14:paraId="0F3823C0" w14:textId="77777777" w:rsidR="00A25B69" w:rsidRPr="0082051C" w:rsidRDefault="00A25B69" w:rsidP="005D106C">
      <w:pPr>
        <w:pStyle w:val="BodyTextIndent2"/>
        <w:ind w:left="0"/>
      </w:pPr>
    </w:p>
    <w:p w14:paraId="23F867E1" w14:textId="1359CD86" w:rsidR="00A25B69" w:rsidRPr="0082051C" w:rsidRDefault="002B25CD" w:rsidP="005D106C">
      <w:pPr>
        <w:pStyle w:val="BodyTextIndent2"/>
        <w:ind w:left="0"/>
      </w:pPr>
      <w:r w:rsidRPr="0082051C">
        <w:t>I</w:t>
      </w:r>
      <w:r w:rsidR="00916192" w:rsidRPr="0082051C">
        <w:t xml:space="preserve">nvestments are being kept short and liquid to </w:t>
      </w:r>
      <w:r w:rsidRPr="0082051C">
        <w:t xml:space="preserve">ensure the Council has enough liquid resources to meet the </w:t>
      </w:r>
      <w:r w:rsidR="008B7527">
        <w:t xml:space="preserve">requirements of its </w:t>
      </w:r>
      <w:r w:rsidR="00441C9C">
        <w:t>significant capital investment programmes</w:t>
      </w:r>
      <w:r w:rsidR="00ED4825">
        <w:t>.  Where longer-term investments are made, the</w:t>
      </w:r>
      <w:r w:rsidR="00A25B69" w:rsidRPr="0082051C">
        <w:t xml:space="preserve"> emphasis </w:t>
      </w:r>
      <w:r w:rsidR="00ED4825">
        <w:t xml:space="preserve">is </w:t>
      </w:r>
      <w:r w:rsidR="00A25B69" w:rsidRPr="0082051C">
        <w:t xml:space="preserve">on ‘laddering’ </w:t>
      </w:r>
      <w:r w:rsidR="00ED4825">
        <w:t xml:space="preserve">these, </w:t>
      </w:r>
      <w:r w:rsidR="00A25B69" w:rsidRPr="0082051C">
        <w:t>enabl</w:t>
      </w:r>
      <w:r w:rsidR="00ED4825">
        <w:t>ing</w:t>
      </w:r>
      <w:r w:rsidR="00A25B69" w:rsidRPr="0082051C">
        <w:t xml:space="preserve"> opportunities to consistently improve underlying yield while still allowing flexibility to adjust if market circumstances alter with a regular stream of maturing investments.</w:t>
      </w:r>
    </w:p>
    <w:p w14:paraId="08922115" w14:textId="77777777" w:rsidR="005D106C" w:rsidRPr="003A156F" w:rsidRDefault="005D106C" w:rsidP="005D106C">
      <w:pPr>
        <w:pStyle w:val="BodyTextIndent2"/>
        <w:ind w:left="0"/>
      </w:pPr>
    </w:p>
    <w:p w14:paraId="690BC671" w14:textId="30F8F71F" w:rsidR="005D106C" w:rsidRPr="003A156F" w:rsidRDefault="0061727B" w:rsidP="005D106C">
      <w:pPr>
        <w:pStyle w:val="BodyTextIndent2"/>
        <w:ind w:left="0"/>
      </w:pPr>
      <w:r w:rsidRPr="003A156F">
        <w:t>T</w:t>
      </w:r>
      <w:r w:rsidR="000A17A2" w:rsidRPr="003A156F">
        <w:t>h</w:t>
      </w:r>
      <w:r w:rsidR="005D106C" w:rsidRPr="003A156F">
        <w:t xml:space="preserve">e Council’s portfolio of long-term borrowings currently includes </w:t>
      </w:r>
      <w:r w:rsidR="00B646EA" w:rsidRPr="003A156F">
        <w:t>four</w:t>
      </w:r>
      <w:r w:rsidR="0096386F" w:rsidRPr="003A156F">
        <w:t xml:space="preserve"> loans that are due to be repaid </w:t>
      </w:r>
      <w:r w:rsidR="00A633A2" w:rsidRPr="003A156F">
        <w:t>during</w:t>
      </w:r>
      <w:r w:rsidR="00592C60" w:rsidRPr="003A156F">
        <w:t xml:space="preserve"> the five</w:t>
      </w:r>
      <w:r w:rsidR="0095634A" w:rsidRPr="003A156F">
        <w:t>-</w:t>
      </w:r>
      <w:r w:rsidR="00CB5F60" w:rsidRPr="003A156F">
        <w:t>yea</w:t>
      </w:r>
      <w:r w:rsidR="00003981" w:rsidRPr="003A156F">
        <w:t>r</w:t>
      </w:r>
      <w:r w:rsidR="00CB5F60" w:rsidRPr="003A156F">
        <w:t xml:space="preserve"> MTFS </w:t>
      </w:r>
      <w:r w:rsidR="00003981" w:rsidRPr="003A156F">
        <w:t>202</w:t>
      </w:r>
      <w:r w:rsidR="00AF1826" w:rsidRPr="003A156F">
        <w:t>6</w:t>
      </w:r>
      <w:r w:rsidR="00003981" w:rsidRPr="003A156F">
        <w:t>-3</w:t>
      </w:r>
      <w:r w:rsidR="00AF1826" w:rsidRPr="003A156F">
        <w:t>1</w:t>
      </w:r>
      <w:r w:rsidR="00003981" w:rsidRPr="003A156F">
        <w:t xml:space="preserve"> period</w:t>
      </w:r>
      <w:r w:rsidR="00A633A2" w:rsidRPr="003A156F">
        <w:t xml:space="preserve">. </w:t>
      </w:r>
      <w:r w:rsidR="008A6479" w:rsidRPr="003A156F">
        <w:t xml:space="preserve">The </w:t>
      </w:r>
      <w:r w:rsidR="007F16EF" w:rsidRPr="003A156F">
        <w:t>C</w:t>
      </w:r>
      <w:r w:rsidR="008A6479" w:rsidRPr="003A156F">
        <w:t xml:space="preserve">ouncil </w:t>
      </w:r>
      <w:r w:rsidR="00514947" w:rsidRPr="003A156F">
        <w:t xml:space="preserve">currently has </w:t>
      </w:r>
      <w:r w:rsidR="00BC0772" w:rsidRPr="003A156F">
        <w:t>three</w:t>
      </w:r>
      <w:r w:rsidR="00514947" w:rsidRPr="003A156F">
        <w:t xml:space="preserve"> </w:t>
      </w:r>
      <w:r w:rsidR="008A6479" w:rsidRPr="003A156F">
        <w:t>short</w:t>
      </w:r>
      <w:r w:rsidR="00BE5DDB" w:rsidRPr="003A156F">
        <w:t>-</w:t>
      </w:r>
      <w:r w:rsidR="008A6479" w:rsidRPr="003A156F">
        <w:t>term loan</w:t>
      </w:r>
      <w:r w:rsidR="00736DB0" w:rsidRPr="003A156F">
        <w:t>s</w:t>
      </w:r>
      <w:r w:rsidR="008A6479" w:rsidRPr="003A156F">
        <w:t xml:space="preserve"> which </w:t>
      </w:r>
      <w:r w:rsidR="00F90600" w:rsidRPr="003A156F">
        <w:t>are</w:t>
      </w:r>
      <w:r w:rsidR="00514947" w:rsidRPr="003A156F">
        <w:t xml:space="preserve"> due to </w:t>
      </w:r>
      <w:r w:rsidR="008A6479" w:rsidRPr="003A156F">
        <w:t xml:space="preserve">mature in </w:t>
      </w:r>
      <w:r w:rsidR="00736DB0" w:rsidRPr="003A156F">
        <w:t>202</w:t>
      </w:r>
      <w:r w:rsidR="00BC0772" w:rsidRPr="003A156F">
        <w:t>6</w:t>
      </w:r>
      <w:r w:rsidR="008A6479" w:rsidRPr="003A156F">
        <w:t xml:space="preserve">. </w:t>
      </w:r>
      <w:r w:rsidR="00A27966" w:rsidRPr="003A156F">
        <w:t xml:space="preserve">In recent years the council has </w:t>
      </w:r>
      <w:r w:rsidR="002C5BEB" w:rsidRPr="003A156F">
        <w:t>taken</w:t>
      </w:r>
      <w:r w:rsidR="00277D70" w:rsidRPr="003A156F">
        <w:t xml:space="preserve"> </w:t>
      </w:r>
      <w:r w:rsidR="00AC13CB" w:rsidRPr="003A156F">
        <w:t>out reborrowing in the form of</w:t>
      </w:r>
      <w:r w:rsidR="00731B52" w:rsidRPr="003A156F">
        <w:t xml:space="preserve"> </w:t>
      </w:r>
      <w:r w:rsidR="0034476D" w:rsidRPr="003A156F">
        <w:t xml:space="preserve">Equal </w:t>
      </w:r>
      <w:r w:rsidR="00490DD3" w:rsidRPr="003A156F">
        <w:t>Instalment</w:t>
      </w:r>
      <w:r w:rsidR="0034476D" w:rsidRPr="003A156F">
        <w:t xml:space="preserve"> </w:t>
      </w:r>
      <w:r w:rsidR="00490DD3" w:rsidRPr="003A156F">
        <w:t>of Principal (EIP) loans</w:t>
      </w:r>
      <w:r w:rsidR="00A633A2" w:rsidRPr="003A156F">
        <w:t xml:space="preserve"> </w:t>
      </w:r>
      <w:r w:rsidR="006E76B4" w:rsidRPr="003A156F">
        <w:t xml:space="preserve">of which </w:t>
      </w:r>
      <w:r w:rsidR="008122D4" w:rsidRPr="003A156F">
        <w:t xml:space="preserve">enables </w:t>
      </w:r>
      <w:r w:rsidR="006E76B4" w:rsidRPr="003A156F">
        <w:t xml:space="preserve">the council </w:t>
      </w:r>
      <w:r w:rsidR="008122D4" w:rsidRPr="003A156F">
        <w:t>to pay down</w:t>
      </w:r>
      <w:r w:rsidR="006E76B4" w:rsidRPr="003A156F">
        <w:t xml:space="preserve"> principal over a 10</w:t>
      </w:r>
      <w:r w:rsidR="00BC0772" w:rsidRPr="003A156F">
        <w:t>-</w:t>
      </w:r>
      <w:r w:rsidR="006E76B4" w:rsidRPr="003A156F">
        <w:t xml:space="preserve">year period </w:t>
      </w:r>
      <w:r w:rsidR="008122D4" w:rsidRPr="003A156F">
        <w:t>and</w:t>
      </w:r>
      <w:r w:rsidR="004F6032" w:rsidRPr="003A156F">
        <w:t xml:space="preserve"> reduce </w:t>
      </w:r>
      <w:r w:rsidR="008122D4" w:rsidRPr="003A156F">
        <w:t>interest expense</w:t>
      </w:r>
      <w:r w:rsidR="00745BBF" w:rsidRPr="003A156F">
        <w:t xml:space="preserve">. </w:t>
      </w:r>
      <w:r w:rsidR="00A77D66" w:rsidRPr="003A156F">
        <w:t>Four</w:t>
      </w:r>
      <w:r w:rsidR="005D106C" w:rsidRPr="003A156F">
        <w:t xml:space="preserve"> of </w:t>
      </w:r>
      <w:r w:rsidR="00A633A2" w:rsidRPr="003A156F">
        <w:t>the</w:t>
      </w:r>
      <w:r w:rsidR="00A77D66" w:rsidRPr="003A156F">
        <w:t xml:space="preserve"> </w:t>
      </w:r>
      <w:r w:rsidR="00225C3A" w:rsidRPr="003A156F">
        <w:t>C</w:t>
      </w:r>
      <w:r w:rsidR="00A77D66" w:rsidRPr="003A156F">
        <w:t>ouncil</w:t>
      </w:r>
      <w:r w:rsidR="00225C3A" w:rsidRPr="003A156F">
        <w:t>’</w:t>
      </w:r>
      <w:r w:rsidR="00A77D66" w:rsidRPr="003A156F">
        <w:t>s</w:t>
      </w:r>
      <w:r w:rsidR="00A633A2" w:rsidRPr="003A156F">
        <w:t xml:space="preserve"> loans </w:t>
      </w:r>
      <w:r w:rsidR="005D106C" w:rsidRPr="003A156F">
        <w:t xml:space="preserve">have lender options to vary their terms </w:t>
      </w:r>
      <w:r w:rsidR="00F37CD8" w:rsidRPr="003A156F">
        <w:t>at six</w:t>
      </w:r>
      <w:r w:rsidR="000D59F3" w:rsidRPr="003A156F">
        <w:t>-</w:t>
      </w:r>
      <w:r w:rsidR="00F37CD8" w:rsidRPr="003A156F">
        <w:t>monthly intervals.</w:t>
      </w:r>
      <w:r w:rsidR="005D106C" w:rsidRPr="003A156F">
        <w:t xml:space="preserve">  </w:t>
      </w:r>
    </w:p>
    <w:p w14:paraId="03C8D683" w14:textId="77777777" w:rsidR="005D106C" w:rsidRPr="00A271DA" w:rsidRDefault="005D106C" w:rsidP="005D106C">
      <w:pPr>
        <w:jc w:val="both"/>
        <w:rPr>
          <w:rFonts w:ascii="Arial" w:hAnsi="Arial" w:cs="Arial"/>
          <w:highlight w:val="green"/>
        </w:rPr>
      </w:pPr>
    </w:p>
    <w:p w14:paraId="4ADA23ED" w14:textId="5A9B7E6F" w:rsidR="003B067D" w:rsidRPr="003A156F" w:rsidRDefault="00BA009C" w:rsidP="00902366">
      <w:pPr>
        <w:jc w:val="both"/>
        <w:rPr>
          <w:rFonts w:ascii="Arial" w:hAnsi="Arial" w:cs="Arial"/>
        </w:rPr>
      </w:pPr>
      <w:r w:rsidRPr="003A156F">
        <w:rPr>
          <w:rFonts w:ascii="Arial" w:hAnsi="Arial" w:cs="Arial"/>
        </w:rPr>
        <w:t>S</w:t>
      </w:r>
      <w:r w:rsidR="005D106C" w:rsidRPr="003A156F">
        <w:rPr>
          <w:rFonts w:ascii="Arial" w:hAnsi="Arial" w:cs="Arial"/>
        </w:rPr>
        <w:t>ensitivity to changes in interest rates is linked more markedly to investment</w:t>
      </w:r>
      <w:r w:rsidR="008A6479" w:rsidRPr="003A156F">
        <w:rPr>
          <w:rFonts w:ascii="Arial" w:hAnsi="Arial" w:cs="Arial"/>
        </w:rPr>
        <w:t>s</w:t>
      </w:r>
      <w:r w:rsidR="005D106C" w:rsidRPr="003A156F">
        <w:rPr>
          <w:rFonts w:ascii="Arial" w:hAnsi="Arial" w:cs="Arial"/>
        </w:rPr>
        <w:t xml:space="preserve"> rather than to the portfolio of borrowing</w:t>
      </w:r>
      <w:r w:rsidR="00221CB4" w:rsidRPr="003A156F">
        <w:rPr>
          <w:rFonts w:ascii="Arial" w:hAnsi="Arial" w:cs="Arial"/>
        </w:rPr>
        <w:t xml:space="preserve"> as all borrowing is at fixed interest rates</w:t>
      </w:r>
      <w:r w:rsidR="005D106C" w:rsidRPr="003A156F">
        <w:rPr>
          <w:rFonts w:ascii="Arial" w:hAnsi="Arial" w:cs="Arial"/>
        </w:rPr>
        <w:t xml:space="preserve">.  As an indication, a change in interest rates </w:t>
      </w:r>
      <w:r w:rsidR="13A1A228" w:rsidRPr="003A156F">
        <w:rPr>
          <w:rFonts w:ascii="Arial" w:hAnsi="Arial" w:cs="Arial"/>
        </w:rPr>
        <w:t>achievable on investments</w:t>
      </w:r>
      <w:r w:rsidR="005D106C" w:rsidRPr="003A156F">
        <w:rPr>
          <w:rFonts w:ascii="Arial" w:hAnsi="Arial" w:cs="Arial"/>
        </w:rPr>
        <w:t xml:space="preserve"> of +/- </w:t>
      </w:r>
      <w:r w:rsidR="00335553" w:rsidRPr="003A156F">
        <w:rPr>
          <w:rFonts w:ascii="Arial" w:hAnsi="Arial" w:cs="Arial"/>
        </w:rPr>
        <w:t>0.5</w:t>
      </w:r>
      <w:r w:rsidR="005D106C" w:rsidRPr="003A156F">
        <w:rPr>
          <w:rFonts w:ascii="Arial" w:hAnsi="Arial" w:cs="Arial"/>
        </w:rPr>
        <w:t xml:space="preserve">% </w:t>
      </w:r>
      <w:r w:rsidR="00B76871" w:rsidRPr="003A156F">
        <w:rPr>
          <w:rFonts w:ascii="Arial" w:hAnsi="Arial" w:cs="Arial"/>
        </w:rPr>
        <w:t xml:space="preserve">the interest receivable </w:t>
      </w:r>
      <w:r w:rsidR="005D106C" w:rsidRPr="003A156F">
        <w:rPr>
          <w:rFonts w:ascii="Arial" w:hAnsi="Arial" w:cs="Arial"/>
        </w:rPr>
        <w:t xml:space="preserve">would have an estimated combined impact of </w:t>
      </w:r>
      <w:r w:rsidR="005D106C" w:rsidRPr="00792BCC">
        <w:rPr>
          <w:rFonts w:ascii="Arial" w:hAnsi="Arial" w:cs="Arial"/>
        </w:rPr>
        <w:t>approximately £</w:t>
      </w:r>
      <w:r w:rsidR="008A616F" w:rsidRPr="00792BCC">
        <w:rPr>
          <w:rFonts w:ascii="Arial" w:hAnsi="Arial" w:cs="Arial"/>
        </w:rPr>
        <w:t>0.</w:t>
      </w:r>
      <w:r w:rsidR="00704370" w:rsidRPr="00792BCC">
        <w:rPr>
          <w:rFonts w:ascii="Arial" w:hAnsi="Arial" w:cs="Arial"/>
        </w:rPr>
        <w:t>3</w:t>
      </w:r>
      <w:r w:rsidR="00565D36">
        <w:rPr>
          <w:rFonts w:ascii="Arial" w:hAnsi="Arial" w:cs="Arial"/>
        </w:rPr>
        <w:t>1</w:t>
      </w:r>
      <w:r w:rsidR="00DE4BC8">
        <w:rPr>
          <w:rFonts w:ascii="Arial" w:hAnsi="Arial" w:cs="Arial"/>
        </w:rPr>
        <w:t>3</w:t>
      </w:r>
      <w:r w:rsidR="00CE0076" w:rsidRPr="00792BCC">
        <w:rPr>
          <w:rFonts w:ascii="Arial" w:hAnsi="Arial" w:cs="Arial"/>
        </w:rPr>
        <w:t>m</w:t>
      </w:r>
      <w:r w:rsidR="00462018" w:rsidRPr="00792BCC">
        <w:rPr>
          <w:rFonts w:ascii="Arial" w:hAnsi="Arial" w:cs="Arial"/>
        </w:rPr>
        <w:t xml:space="preserve"> over</w:t>
      </w:r>
      <w:r w:rsidR="00462018" w:rsidRPr="003A156F">
        <w:rPr>
          <w:rFonts w:ascii="Arial" w:hAnsi="Arial" w:cs="Arial"/>
        </w:rPr>
        <w:t xml:space="preserve"> the 5</w:t>
      </w:r>
      <w:r w:rsidR="000B74D5" w:rsidRPr="003A156F">
        <w:rPr>
          <w:rFonts w:ascii="Arial" w:hAnsi="Arial" w:cs="Arial"/>
        </w:rPr>
        <w:t>-</w:t>
      </w:r>
      <w:r w:rsidR="00462018" w:rsidRPr="003A156F">
        <w:rPr>
          <w:rFonts w:ascii="Arial" w:hAnsi="Arial" w:cs="Arial"/>
        </w:rPr>
        <w:t>year MTFS</w:t>
      </w:r>
      <w:r w:rsidR="00AA6340" w:rsidRPr="003A156F">
        <w:rPr>
          <w:rFonts w:ascii="Arial" w:hAnsi="Arial" w:cs="Arial"/>
        </w:rPr>
        <w:t>.</w:t>
      </w:r>
      <w:r w:rsidR="005D106C" w:rsidRPr="003A156F">
        <w:rPr>
          <w:rFonts w:ascii="Arial" w:hAnsi="Arial" w:cs="Arial"/>
        </w:rPr>
        <w:t xml:space="preserve"> </w:t>
      </w:r>
      <w:r w:rsidR="35587F46" w:rsidRPr="003A156F">
        <w:rPr>
          <w:rFonts w:ascii="Arial" w:hAnsi="Arial" w:cs="Arial"/>
        </w:rPr>
        <w:t xml:space="preserve"> A rise of 0.5% in the Bank of England base rate </w:t>
      </w:r>
      <w:r w:rsidR="6AF3F387" w:rsidRPr="003A156F">
        <w:rPr>
          <w:rFonts w:ascii="Arial" w:hAnsi="Arial" w:cs="Arial"/>
        </w:rPr>
        <w:t>would</w:t>
      </w:r>
      <w:r w:rsidR="35587F46" w:rsidRPr="003A156F">
        <w:rPr>
          <w:rFonts w:ascii="Arial" w:hAnsi="Arial" w:cs="Arial"/>
        </w:rPr>
        <w:t xml:space="preserve"> not translate into a 0.5% increase in investment rates available.</w:t>
      </w:r>
    </w:p>
    <w:p w14:paraId="2DA107C0" w14:textId="77777777" w:rsidR="00AA6340" w:rsidRPr="003A156F" w:rsidRDefault="00AA6340" w:rsidP="00902366">
      <w:pPr>
        <w:jc w:val="both"/>
        <w:rPr>
          <w:rFonts w:ascii="Arial" w:hAnsi="Arial" w:cs="Arial"/>
        </w:rPr>
      </w:pPr>
    </w:p>
    <w:p w14:paraId="15B323A0" w14:textId="77777777" w:rsidR="005D106C" w:rsidRPr="003A156F" w:rsidRDefault="00C91FFD" w:rsidP="00902366">
      <w:pPr>
        <w:jc w:val="both"/>
        <w:rPr>
          <w:rFonts w:ascii="Arial" w:hAnsi="Arial" w:cs="Arial"/>
        </w:rPr>
      </w:pPr>
      <w:r w:rsidRPr="003A156F">
        <w:rPr>
          <w:rFonts w:ascii="Arial" w:hAnsi="Arial" w:cs="Arial"/>
        </w:rPr>
        <w:t>Average interest</w:t>
      </w:r>
      <w:r w:rsidR="005D106C" w:rsidRPr="003A156F">
        <w:rPr>
          <w:rFonts w:ascii="Arial" w:hAnsi="Arial" w:cs="Arial"/>
        </w:rPr>
        <w:t xml:space="preserve"> rates </w:t>
      </w:r>
      <w:r w:rsidRPr="003A156F">
        <w:rPr>
          <w:rFonts w:ascii="Arial" w:hAnsi="Arial" w:cs="Arial"/>
        </w:rPr>
        <w:t xml:space="preserve">on investments </w:t>
      </w:r>
      <w:r w:rsidR="005D106C" w:rsidRPr="003A156F">
        <w:rPr>
          <w:rFonts w:ascii="Arial" w:hAnsi="Arial" w:cs="Arial"/>
        </w:rPr>
        <w:t>assumed within the MTFS are as follows:</w:t>
      </w:r>
    </w:p>
    <w:p w14:paraId="146A608F" w14:textId="77777777" w:rsidR="00902366" w:rsidRPr="003A156F" w:rsidRDefault="00902366" w:rsidP="00902366">
      <w:pPr>
        <w:jc w:val="both"/>
        <w:rPr>
          <w:rFonts w:ascii="Arial" w:hAnsi="Arial" w:cs="Arial"/>
        </w:rPr>
      </w:pPr>
    </w:p>
    <w:tbl>
      <w:tblPr>
        <w:tblpPr w:leftFromText="180" w:rightFromText="180" w:vertAnchor="text" w:horzAnchor="margin" w:tblpXSpec="center" w:tblpY="26"/>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134"/>
        <w:gridCol w:w="1134"/>
        <w:gridCol w:w="1260"/>
        <w:gridCol w:w="1095"/>
        <w:gridCol w:w="1350"/>
      </w:tblGrid>
      <w:tr w:rsidR="002258FF" w:rsidRPr="00A271DA" w14:paraId="171360D2" w14:textId="77777777" w:rsidTr="54279E11">
        <w:tc>
          <w:tcPr>
            <w:tcW w:w="1985" w:type="dxa"/>
          </w:tcPr>
          <w:p w14:paraId="5007009A" w14:textId="77777777" w:rsidR="002623B2" w:rsidRPr="003A156F" w:rsidRDefault="002623B2" w:rsidP="002623B2">
            <w:pPr>
              <w:jc w:val="both"/>
              <w:rPr>
                <w:rFonts w:ascii="Arial" w:hAnsi="Arial" w:cs="Arial"/>
              </w:rPr>
            </w:pPr>
          </w:p>
        </w:tc>
        <w:tc>
          <w:tcPr>
            <w:tcW w:w="1134" w:type="dxa"/>
          </w:tcPr>
          <w:p w14:paraId="2E1E9ABC" w14:textId="2D76D80B" w:rsidR="00431AF5" w:rsidRPr="003A156F" w:rsidRDefault="00431AF5" w:rsidP="00431AF5">
            <w:pPr>
              <w:jc w:val="center"/>
              <w:rPr>
                <w:rFonts w:ascii="Arial" w:hAnsi="Arial" w:cs="Arial"/>
                <w:b/>
              </w:rPr>
            </w:pPr>
            <w:r w:rsidRPr="003A156F">
              <w:rPr>
                <w:rFonts w:ascii="Arial" w:hAnsi="Arial" w:cs="Arial"/>
                <w:b/>
              </w:rPr>
              <w:t>20</w:t>
            </w:r>
            <w:r w:rsidR="0062577C" w:rsidRPr="003A156F">
              <w:rPr>
                <w:rFonts w:ascii="Arial" w:hAnsi="Arial" w:cs="Arial"/>
                <w:b/>
              </w:rPr>
              <w:t>26/27</w:t>
            </w:r>
          </w:p>
          <w:p w14:paraId="4BAE97A8" w14:textId="6722DBD0" w:rsidR="002623B2" w:rsidRPr="003A156F" w:rsidRDefault="002623B2" w:rsidP="002623B2">
            <w:pPr>
              <w:jc w:val="center"/>
              <w:rPr>
                <w:rFonts w:ascii="Arial" w:hAnsi="Arial" w:cs="Arial"/>
                <w:b/>
              </w:rPr>
            </w:pPr>
            <w:r w:rsidRPr="003A156F">
              <w:rPr>
                <w:rFonts w:ascii="Arial" w:hAnsi="Arial" w:cs="Arial"/>
                <w:b/>
              </w:rPr>
              <w:t>%</w:t>
            </w:r>
          </w:p>
        </w:tc>
        <w:tc>
          <w:tcPr>
            <w:tcW w:w="1134" w:type="dxa"/>
          </w:tcPr>
          <w:p w14:paraId="1E9FDCB0" w14:textId="7B4D7492" w:rsidR="00431AF5" w:rsidRPr="003A156F" w:rsidRDefault="00431AF5" w:rsidP="00431AF5">
            <w:pPr>
              <w:jc w:val="center"/>
              <w:rPr>
                <w:rFonts w:ascii="Arial" w:hAnsi="Arial" w:cs="Arial"/>
                <w:b/>
              </w:rPr>
            </w:pPr>
            <w:r w:rsidRPr="003A156F">
              <w:rPr>
                <w:rFonts w:ascii="Arial" w:hAnsi="Arial" w:cs="Arial"/>
                <w:b/>
              </w:rPr>
              <w:t>202</w:t>
            </w:r>
            <w:r w:rsidR="0062577C" w:rsidRPr="003A156F">
              <w:rPr>
                <w:rFonts w:ascii="Arial" w:hAnsi="Arial" w:cs="Arial"/>
                <w:b/>
              </w:rPr>
              <w:t>7/28</w:t>
            </w:r>
          </w:p>
          <w:p w14:paraId="1AD612A1" w14:textId="75E1FFA3" w:rsidR="002623B2" w:rsidRPr="003A156F" w:rsidRDefault="002623B2" w:rsidP="002623B2">
            <w:pPr>
              <w:jc w:val="center"/>
              <w:rPr>
                <w:rFonts w:ascii="Arial" w:hAnsi="Arial" w:cs="Arial"/>
                <w:b/>
              </w:rPr>
            </w:pPr>
            <w:r w:rsidRPr="003A156F">
              <w:rPr>
                <w:rFonts w:ascii="Arial" w:hAnsi="Arial" w:cs="Arial"/>
                <w:b/>
              </w:rPr>
              <w:t>%</w:t>
            </w:r>
          </w:p>
        </w:tc>
        <w:tc>
          <w:tcPr>
            <w:tcW w:w="1260" w:type="dxa"/>
          </w:tcPr>
          <w:p w14:paraId="2AC096D9" w14:textId="16BFA16E" w:rsidR="00431AF5" w:rsidRPr="003A156F" w:rsidRDefault="00431AF5" w:rsidP="00431AF5">
            <w:pPr>
              <w:jc w:val="center"/>
              <w:rPr>
                <w:rFonts w:ascii="Arial" w:hAnsi="Arial" w:cs="Arial"/>
                <w:b/>
              </w:rPr>
            </w:pPr>
            <w:r w:rsidRPr="003A156F">
              <w:rPr>
                <w:rFonts w:ascii="Arial" w:hAnsi="Arial" w:cs="Arial"/>
                <w:b/>
              </w:rPr>
              <w:t>202</w:t>
            </w:r>
            <w:r w:rsidR="0062577C" w:rsidRPr="003A156F">
              <w:rPr>
                <w:rFonts w:ascii="Arial" w:hAnsi="Arial" w:cs="Arial"/>
                <w:b/>
              </w:rPr>
              <w:t>8/29</w:t>
            </w:r>
          </w:p>
          <w:p w14:paraId="7D677A30" w14:textId="3967D93A" w:rsidR="002623B2" w:rsidRPr="003A156F" w:rsidRDefault="002623B2" w:rsidP="002623B2">
            <w:pPr>
              <w:jc w:val="center"/>
              <w:rPr>
                <w:rFonts w:ascii="Arial" w:hAnsi="Arial" w:cs="Arial"/>
                <w:b/>
              </w:rPr>
            </w:pPr>
            <w:r w:rsidRPr="003A156F">
              <w:rPr>
                <w:rFonts w:ascii="Arial" w:hAnsi="Arial" w:cs="Arial"/>
                <w:b/>
              </w:rPr>
              <w:t>%</w:t>
            </w:r>
          </w:p>
        </w:tc>
        <w:tc>
          <w:tcPr>
            <w:tcW w:w="1095" w:type="dxa"/>
          </w:tcPr>
          <w:p w14:paraId="45F8C4F3" w14:textId="44F18A98" w:rsidR="00431AF5" w:rsidRPr="003A156F" w:rsidRDefault="00431AF5" w:rsidP="00431AF5">
            <w:pPr>
              <w:jc w:val="center"/>
              <w:rPr>
                <w:rFonts w:ascii="Arial" w:hAnsi="Arial" w:cs="Arial"/>
                <w:b/>
              </w:rPr>
            </w:pPr>
            <w:r w:rsidRPr="003A156F">
              <w:rPr>
                <w:rFonts w:ascii="Arial" w:hAnsi="Arial" w:cs="Arial"/>
                <w:b/>
              </w:rPr>
              <w:t>202</w:t>
            </w:r>
            <w:r w:rsidR="0062577C" w:rsidRPr="003A156F">
              <w:rPr>
                <w:rFonts w:ascii="Arial" w:hAnsi="Arial" w:cs="Arial"/>
                <w:b/>
              </w:rPr>
              <w:t>9/30</w:t>
            </w:r>
          </w:p>
          <w:p w14:paraId="518DC246" w14:textId="73A881A1" w:rsidR="002623B2" w:rsidRPr="003A156F" w:rsidRDefault="002623B2" w:rsidP="002623B2">
            <w:pPr>
              <w:jc w:val="center"/>
              <w:rPr>
                <w:rFonts w:ascii="Arial" w:hAnsi="Arial" w:cs="Arial"/>
                <w:b/>
              </w:rPr>
            </w:pPr>
            <w:r w:rsidRPr="003A156F">
              <w:rPr>
                <w:rFonts w:ascii="Arial" w:hAnsi="Arial" w:cs="Arial"/>
                <w:b/>
              </w:rPr>
              <w:t>%</w:t>
            </w:r>
          </w:p>
        </w:tc>
        <w:tc>
          <w:tcPr>
            <w:tcW w:w="1350" w:type="dxa"/>
          </w:tcPr>
          <w:p w14:paraId="4662D58A" w14:textId="19A68845" w:rsidR="002623B2" w:rsidRPr="003A156F" w:rsidRDefault="00431AF5" w:rsidP="002623B2">
            <w:pPr>
              <w:jc w:val="center"/>
              <w:rPr>
                <w:rFonts w:ascii="Arial" w:hAnsi="Arial" w:cs="Arial"/>
                <w:b/>
              </w:rPr>
            </w:pPr>
            <w:r w:rsidRPr="003A156F">
              <w:rPr>
                <w:rFonts w:ascii="Arial" w:hAnsi="Arial" w:cs="Arial"/>
                <w:b/>
              </w:rPr>
              <w:t>20</w:t>
            </w:r>
            <w:r w:rsidR="0062577C" w:rsidRPr="003A156F">
              <w:rPr>
                <w:rFonts w:ascii="Arial" w:hAnsi="Arial" w:cs="Arial"/>
                <w:b/>
              </w:rPr>
              <w:t>30/31</w:t>
            </w:r>
          </w:p>
          <w:p w14:paraId="58A6EE5E" w14:textId="77777777" w:rsidR="002623B2" w:rsidRPr="003A156F" w:rsidRDefault="002623B2" w:rsidP="002623B2">
            <w:pPr>
              <w:jc w:val="center"/>
              <w:rPr>
                <w:rFonts w:ascii="Arial" w:hAnsi="Arial" w:cs="Arial"/>
                <w:b/>
              </w:rPr>
            </w:pPr>
            <w:r w:rsidRPr="003A156F">
              <w:rPr>
                <w:rFonts w:ascii="Arial" w:hAnsi="Arial" w:cs="Arial"/>
                <w:b/>
              </w:rPr>
              <w:t>%</w:t>
            </w:r>
          </w:p>
        </w:tc>
      </w:tr>
      <w:tr w:rsidR="002258FF" w:rsidRPr="0062577C" w14:paraId="5FD6B61E" w14:textId="77777777" w:rsidTr="54279E11">
        <w:trPr>
          <w:trHeight w:val="340"/>
        </w:trPr>
        <w:tc>
          <w:tcPr>
            <w:tcW w:w="1985" w:type="dxa"/>
            <w:vAlign w:val="center"/>
          </w:tcPr>
          <w:p w14:paraId="5D761581" w14:textId="77777777" w:rsidR="002623B2" w:rsidRPr="003A156F" w:rsidRDefault="002623B2" w:rsidP="002623B2">
            <w:pPr>
              <w:jc w:val="both"/>
              <w:rPr>
                <w:rFonts w:ascii="Arial" w:hAnsi="Arial" w:cs="Arial"/>
                <w:b/>
              </w:rPr>
            </w:pPr>
            <w:r w:rsidRPr="003A156F">
              <w:rPr>
                <w:rFonts w:ascii="Arial" w:hAnsi="Arial" w:cs="Arial"/>
                <w:b/>
              </w:rPr>
              <w:t>Interest Rate</w:t>
            </w:r>
          </w:p>
        </w:tc>
        <w:tc>
          <w:tcPr>
            <w:tcW w:w="1134" w:type="dxa"/>
            <w:vAlign w:val="center"/>
          </w:tcPr>
          <w:p w14:paraId="1623DF11" w14:textId="6ACE2EA2" w:rsidR="002623B2" w:rsidRPr="003A156F" w:rsidRDefault="00431AF5" w:rsidP="54279E11">
            <w:pPr>
              <w:jc w:val="center"/>
              <w:rPr>
                <w:rFonts w:ascii="Arial" w:hAnsi="Arial" w:cs="Arial"/>
                <w:sz w:val="22"/>
                <w:szCs w:val="22"/>
              </w:rPr>
            </w:pPr>
            <w:r w:rsidRPr="003A156F">
              <w:rPr>
                <w:rFonts w:ascii="Arial" w:hAnsi="Arial" w:cs="Arial"/>
                <w:sz w:val="22"/>
                <w:szCs w:val="22"/>
              </w:rPr>
              <w:t>3.</w:t>
            </w:r>
            <w:r w:rsidR="00DA0F5D">
              <w:rPr>
                <w:rFonts w:ascii="Arial" w:hAnsi="Arial" w:cs="Arial"/>
                <w:sz w:val="22"/>
                <w:szCs w:val="22"/>
              </w:rPr>
              <w:t>58</w:t>
            </w:r>
          </w:p>
        </w:tc>
        <w:tc>
          <w:tcPr>
            <w:tcW w:w="1134" w:type="dxa"/>
            <w:vAlign w:val="center"/>
          </w:tcPr>
          <w:p w14:paraId="7931438C" w14:textId="033BF845" w:rsidR="002623B2" w:rsidRPr="003A156F" w:rsidRDefault="00AD24D8" w:rsidP="54279E11">
            <w:pPr>
              <w:jc w:val="center"/>
              <w:rPr>
                <w:rFonts w:ascii="Arial" w:hAnsi="Arial" w:cs="Arial"/>
                <w:sz w:val="22"/>
                <w:szCs w:val="22"/>
              </w:rPr>
            </w:pPr>
            <w:r w:rsidRPr="003A156F">
              <w:rPr>
                <w:rFonts w:ascii="Arial" w:hAnsi="Arial" w:cs="Arial"/>
                <w:sz w:val="22"/>
                <w:szCs w:val="22"/>
              </w:rPr>
              <w:t>3.</w:t>
            </w:r>
            <w:r w:rsidR="00DA0F5D">
              <w:rPr>
                <w:rFonts w:ascii="Arial" w:hAnsi="Arial" w:cs="Arial"/>
                <w:sz w:val="22"/>
                <w:szCs w:val="22"/>
              </w:rPr>
              <w:t>39</w:t>
            </w:r>
          </w:p>
        </w:tc>
        <w:tc>
          <w:tcPr>
            <w:tcW w:w="1260" w:type="dxa"/>
            <w:vAlign w:val="center"/>
          </w:tcPr>
          <w:p w14:paraId="71F950C9" w14:textId="48148736" w:rsidR="009A3AD1" w:rsidRPr="003A156F" w:rsidRDefault="008915FC" w:rsidP="009A3AD1">
            <w:pPr>
              <w:jc w:val="center"/>
              <w:rPr>
                <w:rFonts w:ascii="Arial" w:hAnsi="Arial" w:cs="Arial"/>
                <w:sz w:val="22"/>
                <w:szCs w:val="22"/>
              </w:rPr>
            </w:pPr>
            <w:r w:rsidRPr="003A156F">
              <w:rPr>
                <w:rFonts w:ascii="Arial" w:hAnsi="Arial" w:cs="Arial"/>
                <w:sz w:val="22"/>
                <w:szCs w:val="22"/>
              </w:rPr>
              <w:t>3.</w:t>
            </w:r>
            <w:r w:rsidR="00DA0F5D">
              <w:rPr>
                <w:rFonts w:ascii="Arial" w:hAnsi="Arial" w:cs="Arial"/>
                <w:sz w:val="22"/>
                <w:szCs w:val="22"/>
              </w:rPr>
              <w:t>39</w:t>
            </w:r>
          </w:p>
        </w:tc>
        <w:tc>
          <w:tcPr>
            <w:tcW w:w="1095" w:type="dxa"/>
            <w:vAlign w:val="center"/>
          </w:tcPr>
          <w:p w14:paraId="049D23D6" w14:textId="0096C68E" w:rsidR="002623B2" w:rsidRPr="003A156F" w:rsidRDefault="008915FC" w:rsidP="54279E11">
            <w:pPr>
              <w:jc w:val="center"/>
              <w:rPr>
                <w:rFonts w:ascii="Arial" w:hAnsi="Arial" w:cs="Arial"/>
                <w:sz w:val="22"/>
                <w:szCs w:val="22"/>
              </w:rPr>
            </w:pPr>
            <w:r w:rsidRPr="003A156F">
              <w:rPr>
                <w:rFonts w:ascii="Arial" w:hAnsi="Arial" w:cs="Arial"/>
                <w:sz w:val="22"/>
                <w:szCs w:val="22"/>
              </w:rPr>
              <w:t>3.</w:t>
            </w:r>
            <w:r w:rsidR="00DA0F5D">
              <w:rPr>
                <w:rFonts w:ascii="Arial" w:hAnsi="Arial" w:cs="Arial"/>
                <w:sz w:val="22"/>
                <w:szCs w:val="22"/>
              </w:rPr>
              <w:t>39</w:t>
            </w:r>
          </w:p>
        </w:tc>
        <w:tc>
          <w:tcPr>
            <w:tcW w:w="1350" w:type="dxa"/>
            <w:vAlign w:val="center"/>
          </w:tcPr>
          <w:p w14:paraId="1B74831D" w14:textId="569DC36B" w:rsidR="002623B2" w:rsidRPr="003A156F" w:rsidRDefault="008915FC" w:rsidP="54279E11">
            <w:pPr>
              <w:jc w:val="center"/>
              <w:rPr>
                <w:rFonts w:ascii="Arial" w:hAnsi="Arial" w:cs="Arial"/>
                <w:sz w:val="22"/>
                <w:szCs w:val="22"/>
              </w:rPr>
            </w:pPr>
            <w:r w:rsidRPr="003A156F">
              <w:rPr>
                <w:rFonts w:ascii="Arial" w:hAnsi="Arial" w:cs="Arial"/>
                <w:sz w:val="22"/>
                <w:szCs w:val="22"/>
              </w:rPr>
              <w:t>3.</w:t>
            </w:r>
            <w:r w:rsidR="00DA0F5D">
              <w:rPr>
                <w:rFonts w:ascii="Arial" w:hAnsi="Arial" w:cs="Arial"/>
                <w:sz w:val="22"/>
                <w:szCs w:val="22"/>
              </w:rPr>
              <w:t>39</w:t>
            </w:r>
          </w:p>
        </w:tc>
      </w:tr>
    </w:tbl>
    <w:p w14:paraId="4B157AC9" w14:textId="77777777" w:rsidR="004C107E" w:rsidRPr="0062577C" w:rsidRDefault="004C107E" w:rsidP="00902366">
      <w:pPr>
        <w:jc w:val="both"/>
        <w:rPr>
          <w:rFonts w:ascii="Arial" w:hAnsi="Arial" w:cs="Arial"/>
          <w:highlight w:val="yellow"/>
        </w:rPr>
      </w:pPr>
    </w:p>
    <w:p w14:paraId="1A75CB01" w14:textId="10E87D98" w:rsidR="006663E2" w:rsidRPr="003A156F" w:rsidRDefault="005D106C" w:rsidP="006663E2">
      <w:pPr>
        <w:jc w:val="both"/>
        <w:rPr>
          <w:rFonts w:ascii="Arial" w:hAnsi="Arial" w:cs="Arial"/>
        </w:rPr>
      </w:pPr>
      <w:r w:rsidRPr="003A156F">
        <w:rPr>
          <w:rFonts w:ascii="Arial" w:hAnsi="Arial" w:cs="Arial"/>
        </w:rPr>
        <w:t xml:space="preserve">Based on the current forecasts for interest payable on new borrowing (averaging </w:t>
      </w:r>
      <w:r w:rsidRPr="00F0669A">
        <w:rPr>
          <w:rFonts w:ascii="Arial" w:hAnsi="Arial" w:cs="Arial"/>
        </w:rPr>
        <w:t xml:space="preserve">around </w:t>
      </w:r>
      <w:r w:rsidR="007F389B" w:rsidRPr="00F0669A">
        <w:rPr>
          <w:rFonts w:ascii="Arial" w:hAnsi="Arial" w:cs="Arial"/>
        </w:rPr>
        <w:t>5.2%</w:t>
      </w:r>
      <w:r w:rsidRPr="00F0669A">
        <w:rPr>
          <w:rFonts w:ascii="Arial" w:hAnsi="Arial" w:cs="Arial"/>
        </w:rPr>
        <w:t>)</w:t>
      </w:r>
      <w:r w:rsidRPr="003A156F">
        <w:rPr>
          <w:rFonts w:ascii="Arial" w:hAnsi="Arial" w:cs="Arial"/>
        </w:rPr>
        <w:t xml:space="preserve"> and receivable on investments (averaging around </w:t>
      </w:r>
      <w:r w:rsidR="00E41FFB" w:rsidRPr="003A156F">
        <w:rPr>
          <w:rFonts w:ascii="Arial" w:hAnsi="Arial" w:cs="Arial"/>
        </w:rPr>
        <w:t>3.</w:t>
      </w:r>
      <w:r w:rsidR="00EB2FA9">
        <w:rPr>
          <w:rFonts w:ascii="Arial" w:hAnsi="Arial" w:cs="Arial"/>
        </w:rPr>
        <w:t>43</w:t>
      </w:r>
      <w:r w:rsidR="1195DC53" w:rsidRPr="003A156F">
        <w:rPr>
          <w:rFonts w:ascii="Arial" w:hAnsi="Arial" w:cs="Arial"/>
        </w:rPr>
        <w:t>%</w:t>
      </w:r>
      <w:r w:rsidR="0EFEFB12" w:rsidRPr="003A156F">
        <w:rPr>
          <w:rFonts w:ascii="Arial" w:hAnsi="Arial" w:cs="Arial"/>
        </w:rPr>
        <w:t xml:space="preserve"> </w:t>
      </w:r>
      <w:r w:rsidR="00E41FFB" w:rsidRPr="003A156F">
        <w:rPr>
          <w:rFonts w:ascii="Arial" w:hAnsi="Arial" w:cs="Arial"/>
        </w:rPr>
        <w:t>over the MTFS</w:t>
      </w:r>
      <w:r w:rsidRPr="003A156F">
        <w:rPr>
          <w:rFonts w:ascii="Arial" w:hAnsi="Arial" w:cs="Arial"/>
        </w:rPr>
        <w:t>)</w:t>
      </w:r>
      <w:r w:rsidR="00D313A1" w:rsidRPr="003A156F">
        <w:rPr>
          <w:rFonts w:ascii="Arial" w:hAnsi="Arial" w:cs="Arial"/>
        </w:rPr>
        <w:t>,</w:t>
      </w:r>
      <w:r w:rsidRPr="003A156F">
        <w:rPr>
          <w:rFonts w:ascii="Arial" w:hAnsi="Arial" w:cs="Arial"/>
        </w:rPr>
        <w:t xml:space="preserve"> and the estimated level of balances available for investment</w:t>
      </w:r>
      <w:r w:rsidR="00D313A1" w:rsidRPr="003A156F">
        <w:rPr>
          <w:rFonts w:ascii="Arial" w:hAnsi="Arial" w:cs="Arial"/>
        </w:rPr>
        <w:t>,</w:t>
      </w:r>
      <w:r w:rsidRPr="003A156F">
        <w:rPr>
          <w:rFonts w:ascii="Arial" w:hAnsi="Arial" w:cs="Arial"/>
        </w:rPr>
        <w:t xml:space="preserve"> it is currently anticipated </w:t>
      </w:r>
      <w:r w:rsidR="009537E8" w:rsidRPr="003A156F">
        <w:rPr>
          <w:rFonts w:ascii="Arial" w:hAnsi="Arial" w:cs="Arial"/>
        </w:rPr>
        <w:t>that new</w:t>
      </w:r>
      <w:r w:rsidRPr="003A156F">
        <w:rPr>
          <w:rFonts w:ascii="Arial" w:hAnsi="Arial" w:cs="Arial"/>
        </w:rPr>
        <w:t xml:space="preserve"> borrowing will be taken </w:t>
      </w:r>
      <w:r w:rsidR="00FC60B8" w:rsidRPr="003A156F">
        <w:rPr>
          <w:rFonts w:ascii="Arial" w:hAnsi="Arial" w:cs="Arial"/>
        </w:rPr>
        <w:t xml:space="preserve">to fund the borrowing requirement for the General </w:t>
      </w:r>
      <w:r w:rsidR="00A65FFD" w:rsidRPr="003A156F">
        <w:rPr>
          <w:rFonts w:ascii="Arial" w:hAnsi="Arial" w:cs="Arial"/>
        </w:rPr>
        <w:t>Fund</w:t>
      </w:r>
      <w:r w:rsidR="002A2A64" w:rsidRPr="003A156F">
        <w:rPr>
          <w:rFonts w:ascii="Arial" w:hAnsi="Arial" w:cs="Arial"/>
        </w:rPr>
        <w:t xml:space="preserve"> </w:t>
      </w:r>
      <w:r w:rsidR="00FA3904">
        <w:rPr>
          <w:rFonts w:ascii="Arial" w:hAnsi="Arial" w:cs="Arial"/>
        </w:rPr>
        <w:t xml:space="preserve">and HRA </w:t>
      </w:r>
      <w:r w:rsidR="00FC60B8" w:rsidRPr="003A156F">
        <w:rPr>
          <w:rFonts w:ascii="Arial" w:hAnsi="Arial" w:cs="Arial"/>
        </w:rPr>
        <w:t xml:space="preserve">over the </w:t>
      </w:r>
      <w:r w:rsidR="009537E8" w:rsidRPr="003A156F">
        <w:rPr>
          <w:rFonts w:ascii="Arial" w:hAnsi="Arial" w:cs="Arial"/>
        </w:rPr>
        <w:t>5-year</w:t>
      </w:r>
      <w:r w:rsidR="00FC60B8" w:rsidRPr="003A156F">
        <w:rPr>
          <w:rFonts w:ascii="Arial" w:hAnsi="Arial" w:cs="Arial"/>
        </w:rPr>
        <w:t xml:space="preserve"> strategy</w:t>
      </w:r>
      <w:r w:rsidR="00BA2546" w:rsidRPr="003A156F">
        <w:rPr>
          <w:rFonts w:ascii="Arial" w:hAnsi="Arial" w:cs="Arial"/>
        </w:rPr>
        <w:t>.</w:t>
      </w:r>
      <w:r w:rsidR="0097600C" w:rsidRPr="003A156F">
        <w:rPr>
          <w:rFonts w:ascii="Arial" w:hAnsi="Arial" w:cs="Arial"/>
        </w:rPr>
        <w:t xml:space="preserve"> </w:t>
      </w:r>
      <w:r w:rsidR="00BA2546" w:rsidRPr="003A156F">
        <w:rPr>
          <w:rFonts w:ascii="Arial" w:hAnsi="Arial" w:cs="Arial"/>
        </w:rPr>
        <w:t xml:space="preserve"> </w:t>
      </w:r>
      <w:r w:rsidR="00FC60B8" w:rsidRPr="003A156F">
        <w:rPr>
          <w:rFonts w:ascii="Arial" w:hAnsi="Arial" w:cs="Arial"/>
        </w:rPr>
        <w:t xml:space="preserve">Internal balances will be used to fund the </w:t>
      </w:r>
      <w:r w:rsidR="008A6479" w:rsidRPr="003A156F">
        <w:rPr>
          <w:rFonts w:ascii="Arial" w:hAnsi="Arial" w:cs="Arial"/>
        </w:rPr>
        <w:t xml:space="preserve">existing </w:t>
      </w:r>
      <w:r w:rsidR="00FC60B8" w:rsidRPr="003A156F">
        <w:rPr>
          <w:rFonts w:ascii="Arial" w:hAnsi="Arial" w:cs="Arial"/>
        </w:rPr>
        <w:t>borrowing requirement</w:t>
      </w:r>
      <w:r w:rsidR="008A6479" w:rsidRPr="003A156F">
        <w:rPr>
          <w:rFonts w:ascii="Arial" w:hAnsi="Arial" w:cs="Arial"/>
        </w:rPr>
        <w:t xml:space="preserve"> where it remains financially advantageous to do so</w:t>
      </w:r>
      <w:r w:rsidR="00FC60B8" w:rsidRPr="003A156F">
        <w:rPr>
          <w:rFonts w:ascii="Arial" w:hAnsi="Arial" w:cs="Arial"/>
        </w:rPr>
        <w:t xml:space="preserve">, </w:t>
      </w:r>
      <w:r w:rsidR="008A6479" w:rsidRPr="003A156F">
        <w:rPr>
          <w:rFonts w:ascii="Arial" w:hAnsi="Arial" w:cs="Arial"/>
        </w:rPr>
        <w:t>r</w:t>
      </w:r>
      <w:r w:rsidR="00FC60B8" w:rsidRPr="003A156F">
        <w:rPr>
          <w:rFonts w:ascii="Arial" w:hAnsi="Arial" w:cs="Arial"/>
        </w:rPr>
        <w:t>educ</w:t>
      </w:r>
      <w:r w:rsidR="008A6479" w:rsidRPr="003A156F">
        <w:rPr>
          <w:rFonts w:ascii="Arial" w:hAnsi="Arial" w:cs="Arial"/>
        </w:rPr>
        <w:t>ing</w:t>
      </w:r>
      <w:r w:rsidR="00FC60B8" w:rsidRPr="003A156F">
        <w:rPr>
          <w:rFonts w:ascii="Arial" w:hAnsi="Arial" w:cs="Arial"/>
        </w:rPr>
        <w:t xml:space="preserve"> the amount of interest that would have been payable on new debt, partially offset by a reduction in interest receivable (due to reduced balances available for investments). </w:t>
      </w:r>
    </w:p>
    <w:p w14:paraId="13C871E7" w14:textId="0BC65542" w:rsidR="000557EA" w:rsidRPr="00A271DA" w:rsidRDefault="000557EA" w:rsidP="006663E2">
      <w:pPr>
        <w:jc w:val="both"/>
        <w:rPr>
          <w:rFonts w:ascii="Arial" w:hAnsi="Arial" w:cs="Arial"/>
          <w:highlight w:val="green"/>
        </w:rPr>
      </w:pPr>
    </w:p>
    <w:p w14:paraId="7786A2AA" w14:textId="0EE2A3D2" w:rsidR="000557EA" w:rsidRPr="0082051C" w:rsidRDefault="000557EA" w:rsidP="000557EA">
      <w:pPr>
        <w:pStyle w:val="Default"/>
        <w:jc w:val="both"/>
        <w:rPr>
          <w:rFonts w:ascii="Arial" w:hAnsi="Arial" w:cs="Arial"/>
          <w:b/>
        </w:rPr>
      </w:pPr>
      <w:r w:rsidRPr="0082051C">
        <w:rPr>
          <w:rFonts w:ascii="Arial" w:hAnsi="Arial" w:cs="Arial"/>
          <w:b/>
        </w:rPr>
        <w:t>Provision for Debt Repayment</w:t>
      </w:r>
    </w:p>
    <w:p w14:paraId="031B5BC2" w14:textId="77777777" w:rsidR="000557EA" w:rsidRPr="0082051C" w:rsidRDefault="000557EA" w:rsidP="000557EA">
      <w:pPr>
        <w:pStyle w:val="Default"/>
        <w:jc w:val="both"/>
        <w:rPr>
          <w:rFonts w:ascii="Arial" w:hAnsi="Arial" w:cs="Arial"/>
          <w:b/>
        </w:rPr>
      </w:pPr>
    </w:p>
    <w:p w14:paraId="4B9BC8AA" w14:textId="1FF63636" w:rsidR="000557EA" w:rsidRPr="0082051C" w:rsidRDefault="000557EA" w:rsidP="000557EA">
      <w:pPr>
        <w:pStyle w:val="Default"/>
        <w:jc w:val="both"/>
        <w:rPr>
          <w:rFonts w:ascii="Arial" w:hAnsi="Arial" w:cs="Arial"/>
          <w:color w:val="auto"/>
        </w:rPr>
      </w:pPr>
      <w:r w:rsidRPr="0082051C">
        <w:rPr>
          <w:rFonts w:ascii="Arial" w:hAnsi="Arial" w:cs="Arial"/>
          <w:color w:val="auto"/>
        </w:rPr>
        <w:t xml:space="preserve">A review of the Council’s Minimum Revenue Provision Policy (MRP) </w:t>
      </w:r>
      <w:r w:rsidR="00587363" w:rsidRPr="0082051C">
        <w:rPr>
          <w:rFonts w:ascii="Arial" w:hAnsi="Arial" w:cs="Arial"/>
          <w:color w:val="auto"/>
        </w:rPr>
        <w:t>was</w:t>
      </w:r>
      <w:r w:rsidR="00AB7236">
        <w:rPr>
          <w:rFonts w:ascii="Arial" w:hAnsi="Arial" w:cs="Arial"/>
          <w:color w:val="auto"/>
        </w:rPr>
        <w:t xml:space="preserve"> last</w:t>
      </w:r>
      <w:r w:rsidRPr="0082051C">
        <w:rPr>
          <w:rFonts w:ascii="Arial" w:hAnsi="Arial" w:cs="Arial"/>
          <w:color w:val="auto"/>
        </w:rPr>
        <w:t xml:space="preserve"> undertaken </w:t>
      </w:r>
      <w:r w:rsidR="00587363" w:rsidRPr="0082051C">
        <w:rPr>
          <w:rFonts w:ascii="Arial" w:hAnsi="Arial" w:cs="Arial"/>
          <w:color w:val="auto"/>
        </w:rPr>
        <w:t>during</w:t>
      </w:r>
      <w:r w:rsidRPr="0082051C">
        <w:rPr>
          <w:rFonts w:ascii="Arial" w:hAnsi="Arial" w:cs="Arial"/>
          <w:color w:val="auto"/>
        </w:rPr>
        <w:t xml:space="preserve"> 2022/23.  MRP is a statutory charge to the Council's revenue account to make provision for the repayment of the outstanding capital debt liabilities. The Council is required by law to set aside an amount for this provision which it considers to be prudent. Statutory Guidance which accompanies the Regulations provides options for the calculation of MRP and gives Council's significant discretion in determining the level of MRP.  The Guidance states that 'the broad aim of prudent provision is to ensure that debt is repaid over a period that is either reasonably commensurate with that over which the capital expenditure provides benefits, or, in the case of borrowing supported by Government Revenue Support Grant, reasonably commensurate with the period implicit in the determination of that grant'. </w:t>
      </w:r>
    </w:p>
    <w:p w14:paraId="326DFB87" w14:textId="77777777" w:rsidR="000557EA" w:rsidRPr="0082051C" w:rsidRDefault="000557EA" w:rsidP="000557EA">
      <w:pPr>
        <w:pStyle w:val="Default"/>
        <w:jc w:val="both"/>
        <w:rPr>
          <w:rFonts w:ascii="Arial" w:hAnsi="Arial" w:cs="Arial"/>
        </w:rPr>
      </w:pPr>
    </w:p>
    <w:p w14:paraId="0AB90CD0" w14:textId="1236A792" w:rsidR="00482B8A" w:rsidRDefault="00A72D73" w:rsidP="004F4C97">
      <w:pPr>
        <w:jc w:val="both"/>
        <w:rPr>
          <w:rFonts w:ascii="Arial" w:hAnsi="Arial" w:cs="Arial"/>
        </w:rPr>
      </w:pPr>
      <w:r>
        <w:rPr>
          <w:rFonts w:ascii="Arial" w:hAnsi="Arial" w:cs="Arial"/>
        </w:rPr>
        <w:t>The C</w:t>
      </w:r>
      <w:r w:rsidR="002B25D0" w:rsidRPr="0082051C">
        <w:rPr>
          <w:rFonts w:ascii="Arial" w:hAnsi="Arial" w:cs="Arial"/>
        </w:rPr>
        <w:t>ouncil</w:t>
      </w:r>
      <w:r w:rsidR="003A0AA0">
        <w:rPr>
          <w:rFonts w:ascii="Arial" w:hAnsi="Arial" w:cs="Arial"/>
        </w:rPr>
        <w:t>’s MRP charges are based on</w:t>
      </w:r>
      <w:r w:rsidR="002B25D0" w:rsidRPr="0082051C">
        <w:rPr>
          <w:rFonts w:ascii="Arial" w:hAnsi="Arial" w:cs="Arial"/>
        </w:rPr>
        <w:t xml:space="preserve"> an annu</w:t>
      </w:r>
      <w:r w:rsidR="00F3457A" w:rsidRPr="0082051C">
        <w:rPr>
          <w:rFonts w:ascii="Arial" w:hAnsi="Arial" w:cs="Arial"/>
        </w:rPr>
        <w:t xml:space="preserve">ity </w:t>
      </w:r>
      <w:r w:rsidR="001D2F39" w:rsidRPr="0082051C">
        <w:rPr>
          <w:rFonts w:ascii="Arial" w:hAnsi="Arial" w:cs="Arial"/>
        </w:rPr>
        <w:t>based calculation</w:t>
      </w:r>
      <w:r w:rsidR="00482B8A">
        <w:rPr>
          <w:rFonts w:ascii="Arial" w:hAnsi="Arial" w:cs="Arial"/>
        </w:rPr>
        <w:t>, as opposed to a straight line method</w:t>
      </w:r>
      <w:r w:rsidR="003A0AA0">
        <w:rPr>
          <w:rFonts w:ascii="Arial" w:hAnsi="Arial" w:cs="Arial"/>
        </w:rPr>
        <w:t xml:space="preserve">.  </w:t>
      </w:r>
      <w:r w:rsidR="00482B8A">
        <w:rPr>
          <w:rFonts w:ascii="Arial" w:hAnsi="Arial" w:cs="Arial"/>
        </w:rPr>
        <w:t>The annuity method</w:t>
      </w:r>
      <w:r w:rsidR="00482B8A" w:rsidRPr="00482B8A">
        <w:rPr>
          <w:rFonts w:ascii="Arial" w:hAnsi="Arial" w:cs="Arial"/>
        </w:rPr>
        <w:t> calculat</w:t>
      </w:r>
      <w:r w:rsidR="00482B8A">
        <w:rPr>
          <w:rFonts w:ascii="Arial" w:hAnsi="Arial" w:cs="Arial"/>
        </w:rPr>
        <w:t>es</w:t>
      </w:r>
      <w:r w:rsidR="00482B8A" w:rsidRPr="00482B8A">
        <w:rPr>
          <w:rFonts w:ascii="Arial" w:hAnsi="Arial" w:cs="Arial"/>
        </w:rPr>
        <w:t xml:space="preserve"> a gradually increasing annual charge (like a mortgage payment) that matches the "time value of money" and the asset's expected benefits, creating a fairer, consistent charge over the asset's life by using an interest rate</w:t>
      </w:r>
      <w:r w:rsidR="00482B8A">
        <w:rPr>
          <w:rFonts w:ascii="Arial" w:hAnsi="Arial" w:cs="Arial"/>
        </w:rPr>
        <w:t xml:space="preserve">. </w:t>
      </w:r>
      <w:r w:rsidR="00482B8A" w:rsidRPr="00482B8A">
        <w:rPr>
          <w:rFonts w:ascii="Arial" w:hAnsi="Arial" w:cs="Arial"/>
        </w:rPr>
        <w:t>It ensures debt is prudently repaid over the asset's useful life, with charges</w:t>
      </w:r>
      <w:r w:rsidR="00EC13D5">
        <w:rPr>
          <w:rFonts w:ascii="Arial" w:hAnsi="Arial" w:cs="Arial"/>
        </w:rPr>
        <w:t xml:space="preserve"> </w:t>
      </w:r>
      <w:r w:rsidR="00482B8A" w:rsidRPr="00482B8A">
        <w:rPr>
          <w:rFonts w:ascii="Arial" w:hAnsi="Arial" w:cs="Arial"/>
        </w:rPr>
        <w:t xml:space="preserve">starting after the asset becomes operational, reflecting real costs better than </w:t>
      </w:r>
      <w:r w:rsidR="00EC13D5">
        <w:rPr>
          <w:rFonts w:ascii="Arial" w:hAnsi="Arial" w:cs="Arial"/>
        </w:rPr>
        <w:t xml:space="preserve">a </w:t>
      </w:r>
      <w:r w:rsidR="00482B8A" w:rsidRPr="00482B8A">
        <w:rPr>
          <w:rFonts w:ascii="Arial" w:hAnsi="Arial" w:cs="Arial"/>
        </w:rPr>
        <w:t xml:space="preserve">simple </w:t>
      </w:r>
      <w:r w:rsidR="00EC13D5">
        <w:rPr>
          <w:rFonts w:ascii="Arial" w:hAnsi="Arial" w:cs="Arial"/>
        </w:rPr>
        <w:t>straight line method</w:t>
      </w:r>
      <w:r w:rsidR="00482B8A" w:rsidRPr="00482B8A">
        <w:rPr>
          <w:rFonts w:ascii="Arial" w:hAnsi="Arial" w:cs="Arial"/>
        </w:rPr>
        <w:t>. </w:t>
      </w:r>
    </w:p>
    <w:p w14:paraId="0F300ED2" w14:textId="77777777" w:rsidR="00647E9A" w:rsidRDefault="00647E9A" w:rsidP="006663E2">
      <w:pPr>
        <w:jc w:val="both"/>
        <w:rPr>
          <w:rFonts w:ascii="Arial" w:hAnsi="Arial" w:cs="Arial"/>
        </w:rPr>
      </w:pPr>
    </w:p>
    <w:p w14:paraId="096C21A7" w14:textId="77777777" w:rsidR="00384776" w:rsidRPr="00302DF3" w:rsidRDefault="00A266F5" w:rsidP="00B60355">
      <w:pPr>
        <w:pStyle w:val="BodyTextIndent2"/>
        <w:ind w:left="0"/>
        <w:rPr>
          <w:b/>
          <w:color w:val="C45911"/>
          <w:sz w:val="28"/>
          <w:szCs w:val="28"/>
        </w:rPr>
      </w:pPr>
      <w:r w:rsidRPr="00302DF3">
        <w:rPr>
          <w:b/>
          <w:color w:val="C45911"/>
          <w:sz w:val="28"/>
          <w:szCs w:val="28"/>
        </w:rPr>
        <w:t>Resource</w:t>
      </w:r>
      <w:r w:rsidR="00272F92">
        <w:rPr>
          <w:b/>
          <w:color w:val="C45911"/>
          <w:sz w:val="28"/>
          <w:szCs w:val="28"/>
        </w:rPr>
        <w:t xml:space="preserve"> Assumptions</w:t>
      </w:r>
    </w:p>
    <w:p w14:paraId="1453B293" w14:textId="77777777" w:rsidR="00384776" w:rsidRPr="00302DF3" w:rsidRDefault="00384776">
      <w:pPr>
        <w:autoSpaceDE w:val="0"/>
        <w:autoSpaceDN w:val="0"/>
        <w:adjustRightInd w:val="0"/>
        <w:jc w:val="both"/>
        <w:rPr>
          <w:rFonts w:ascii="Arial" w:hAnsi="Arial" w:cs="Arial"/>
        </w:rPr>
      </w:pPr>
    </w:p>
    <w:p w14:paraId="69F68000" w14:textId="6E694B05" w:rsidR="00E2032B" w:rsidRPr="00C13D89" w:rsidRDefault="00122BFB" w:rsidP="008C14AB">
      <w:pPr>
        <w:pStyle w:val="BodyTextIndent2"/>
        <w:ind w:left="0"/>
        <w:jc w:val="left"/>
        <w:rPr>
          <w:b/>
        </w:rPr>
      </w:pPr>
      <w:r>
        <w:rPr>
          <w:b/>
        </w:rPr>
        <w:t>Fair</w:t>
      </w:r>
      <w:r w:rsidR="003D733F" w:rsidRPr="00C13D89">
        <w:rPr>
          <w:b/>
        </w:rPr>
        <w:t xml:space="preserve"> Funding Assessment: </w:t>
      </w:r>
      <w:r w:rsidR="00E2032B" w:rsidRPr="00C13D89">
        <w:rPr>
          <w:b/>
        </w:rPr>
        <w:t>Revenue Support Grant/National Non-Domestic Rates</w:t>
      </w:r>
    </w:p>
    <w:p w14:paraId="30996E98" w14:textId="77777777" w:rsidR="00326673" w:rsidRPr="00C13D89" w:rsidRDefault="00326673" w:rsidP="008C14AB">
      <w:pPr>
        <w:pStyle w:val="BodyTextIndent2"/>
        <w:ind w:left="0"/>
        <w:jc w:val="left"/>
        <w:rPr>
          <w:b/>
        </w:rPr>
      </w:pPr>
    </w:p>
    <w:p w14:paraId="09349AF5" w14:textId="129F6AAE" w:rsidR="008C14AB" w:rsidRPr="00C13D89" w:rsidRDefault="003A67C6" w:rsidP="008C14AB">
      <w:pPr>
        <w:pStyle w:val="Style1"/>
        <w:keepNext w:val="0"/>
        <w:keepLines w:val="0"/>
        <w:widowControl w:val="0"/>
        <w:numPr>
          <w:ilvl w:val="0"/>
          <w:numId w:val="0"/>
        </w:numPr>
        <w:spacing w:before="0" w:after="0" w:line="240" w:lineRule="auto"/>
        <w:rPr>
          <w:rFonts w:cs="Arial"/>
          <w:color w:val="auto"/>
          <w:sz w:val="24"/>
          <w:szCs w:val="24"/>
        </w:rPr>
      </w:pPr>
      <w:r w:rsidRPr="00C13D89">
        <w:rPr>
          <w:rFonts w:cs="Arial"/>
          <w:color w:val="auto"/>
          <w:sz w:val="24"/>
          <w:szCs w:val="24"/>
        </w:rPr>
        <w:t xml:space="preserve">The </w:t>
      </w:r>
      <w:r w:rsidR="00C211CB" w:rsidRPr="00C13D89">
        <w:rPr>
          <w:rFonts w:cs="Arial"/>
          <w:color w:val="auto"/>
          <w:sz w:val="24"/>
          <w:szCs w:val="24"/>
        </w:rPr>
        <w:t>L</w:t>
      </w:r>
      <w:r w:rsidR="00A37A17" w:rsidRPr="00C13D89">
        <w:rPr>
          <w:rFonts w:cs="Arial"/>
          <w:color w:val="auto"/>
          <w:sz w:val="24"/>
          <w:szCs w:val="24"/>
        </w:rPr>
        <w:t>ocal Govern</w:t>
      </w:r>
      <w:r w:rsidR="00A266F5" w:rsidRPr="00C13D89">
        <w:rPr>
          <w:rFonts w:cs="Arial"/>
          <w:color w:val="auto"/>
          <w:sz w:val="24"/>
          <w:szCs w:val="24"/>
        </w:rPr>
        <w:t>ment Finance Settlement for 202</w:t>
      </w:r>
      <w:r w:rsidR="00E279FF" w:rsidRPr="00C13D89">
        <w:rPr>
          <w:rFonts w:cs="Arial"/>
          <w:color w:val="auto"/>
          <w:sz w:val="24"/>
          <w:szCs w:val="24"/>
        </w:rPr>
        <w:t>6</w:t>
      </w:r>
      <w:r w:rsidR="00AF2F40" w:rsidRPr="00C13D89">
        <w:rPr>
          <w:rFonts w:cs="Arial"/>
          <w:color w:val="auto"/>
          <w:sz w:val="24"/>
          <w:szCs w:val="24"/>
        </w:rPr>
        <w:t>/2</w:t>
      </w:r>
      <w:r w:rsidR="00E279FF" w:rsidRPr="00C13D89">
        <w:rPr>
          <w:rFonts w:cs="Arial"/>
          <w:color w:val="auto"/>
          <w:sz w:val="24"/>
          <w:szCs w:val="24"/>
        </w:rPr>
        <w:t>7</w:t>
      </w:r>
      <w:r w:rsidR="00A37A17" w:rsidRPr="00C13D89">
        <w:rPr>
          <w:rFonts w:cs="Arial"/>
          <w:color w:val="auto"/>
          <w:sz w:val="24"/>
          <w:szCs w:val="24"/>
        </w:rPr>
        <w:t xml:space="preserve"> </w:t>
      </w:r>
      <w:r w:rsidR="004B4A72" w:rsidRPr="00C13D89">
        <w:rPr>
          <w:rFonts w:cs="Arial"/>
          <w:color w:val="auto"/>
          <w:sz w:val="24"/>
          <w:szCs w:val="24"/>
        </w:rPr>
        <w:t>s</w:t>
      </w:r>
      <w:r w:rsidR="00A37A17" w:rsidRPr="00C13D89">
        <w:rPr>
          <w:rFonts w:cs="Arial"/>
          <w:color w:val="auto"/>
          <w:sz w:val="24"/>
          <w:szCs w:val="24"/>
        </w:rPr>
        <w:t>et</w:t>
      </w:r>
      <w:r w:rsidR="004B4A72" w:rsidRPr="00C13D89">
        <w:rPr>
          <w:rFonts w:cs="Arial"/>
          <w:color w:val="auto"/>
          <w:sz w:val="24"/>
          <w:szCs w:val="24"/>
        </w:rPr>
        <w:t>s</w:t>
      </w:r>
      <w:r w:rsidR="00A37A17" w:rsidRPr="00C13D89">
        <w:rPr>
          <w:rFonts w:cs="Arial"/>
          <w:color w:val="auto"/>
          <w:sz w:val="24"/>
          <w:szCs w:val="24"/>
        </w:rPr>
        <w:t xml:space="preserve"> out the distribution of centrally allocated res</w:t>
      </w:r>
      <w:r w:rsidR="004B4A72" w:rsidRPr="00C13D89">
        <w:rPr>
          <w:rFonts w:cs="Arial"/>
          <w:color w:val="auto"/>
          <w:sz w:val="24"/>
          <w:szCs w:val="24"/>
        </w:rPr>
        <w:t>ources for local authorities</w:t>
      </w:r>
      <w:r w:rsidR="005521F7" w:rsidRPr="00C13D89">
        <w:rPr>
          <w:rFonts w:cs="Arial"/>
          <w:color w:val="auto"/>
          <w:sz w:val="24"/>
          <w:szCs w:val="24"/>
        </w:rPr>
        <w:t xml:space="preserve"> and </w:t>
      </w:r>
      <w:r w:rsidR="00C3054D" w:rsidRPr="00C13D89">
        <w:rPr>
          <w:rFonts w:cs="Arial"/>
          <w:color w:val="auto"/>
          <w:sz w:val="24"/>
          <w:szCs w:val="24"/>
        </w:rPr>
        <w:t xml:space="preserve">provides authorities with a combination of grant allocations and their baseline figures within the BRR scheme.  </w:t>
      </w:r>
    </w:p>
    <w:p w14:paraId="42725834" w14:textId="77777777" w:rsidR="008C14AB" w:rsidRPr="00C13D89" w:rsidRDefault="008C14AB" w:rsidP="008C14AB">
      <w:pPr>
        <w:pStyle w:val="Style1"/>
        <w:keepNext w:val="0"/>
        <w:keepLines w:val="0"/>
        <w:widowControl w:val="0"/>
        <w:numPr>
          <w:ilvl w:val="0"/>
          <w:numId w:val="0"/>
        </w:numPr>
        <w:spacing w:before="0" w:after="0" w:line="240" w:lineRule="auto"/>
        <w:rPr>
          <w:rFonts w:cs="Arial"/>
          <w:color w:val="auto"/>
          <w:sz w:val="24"/>
          <w:szCs w:val="24"/>
        </w:rPr>
      </w:pPr>
    </w:p>
    <w:p w14:paraId="3BD8A562" w14:textId="6FF0D89D" w:rsidR="00C55B31" w:rsidRPr="00C13D89" w:rsidRDefault="00D877DA" w:rsidP="00C13D89">
      <w:pPr>
        <w:pStyle w:val="Style1"/>
        <w:numPr>
          <w:ilvl w:val="0"/>
          <w:numId w:val="0"/>
        </w:numPr>
        <w:spacing w:before="0" w:after="0" w:line="240" w:lineRule="auto"/>
        <w:rPr>
          <w:color w:val="auto"/>
          <w:sz w:val="24"/>
          <w:szCs w:val="24"/>
        </w:rPr>
      </w:pPr>
      <w:r w:rsidRPr="00C13D89">
        <w:rPr>
          <w:color w:val="auto"/>
          <w:sz w:val="24"/>
          <w:szCs w:val="24"/>
        </w:rPr>
        <w:t xml:space="preserve">The </w:t>
      </w:r>
      <w:r w:rsidR="005E55C5">
        <w:rPr>
          <w:color w:val="auto"/>
          <w:sz w:val="24"/>
          <w:szCs w:val="24"/>
        </w:rPr>
        <w:t>S</w:t>
      </w:r>
      <w:r w:rsidRPr="00C13D89">
        <w:rPr>
          <w:color w:val="auto"/>
          <w:sz w:val="24"/>
          <w:szCs w:val="24"/>
        </w:rPr>
        <w:t xml:space="preserve">ettlement marks the first time in this decade that the Government has illustrated multiple years’ worth of funding allocations, covering 2026/27 to 2028/29. However, </w:t>
      </w:r>
      <w:r w:rsidR="00F92FDD" w:rsidRPr="00C13D89">
        <w:rPr>
          <w:color w:val="auto"/>
          <w:sz w:val="24"/>
          <w:szCs w:val="24"/>
        </w:rPr>
        <w:t>the S</w:t>
      </w:r>
      <w:r w:rsidR="00C55B31" w:rsidRPr="00C13D89">
        <w:rPr>
          <w:color w:val="auto"/>
          <w:sz w:val="24"/>
          <w:szCs w:val="24"/>
        </w:rPr>
        <w:t>ettlement is for one year only</w:t>
      </w:r>
      <w:r w:rsidR="004C3A94" w:rsidRPr="00C13D89">
        <w:rPr>
          <w:color w:val="auto"/>
          <w:sz w:val="24"/>
          <w:szCs w:val="24"/>
        </w:rPr>
        <w:t xml:space="preserve"> and</w:t>
      </w:r>
      <w:r w:rsidR="00C55B31" w:rsidRPr="00C13D89">
        <w:rPr>
          <w:color w:val="auto"/>
          <w:sz w:val="24"/>
          <w:szCs w:val="24"/>
        </w:rPr>
        <w:t xml:space="preserve"> includes illustrative amounts for 2027/28 and 2028/29. The figures for all years are based on the outcome of the 2024 Autumn Budget &amp; Spending Review, announcements of the 2025 Budget and the 20</w:t>
      </w:r>
      <w:r w:rsidR="000C1DB5" w:rsidRPr="00C13D89">
        <w:rPr>
          <w:color w:val="auto"/>
          <w:sz w:val="24"/>
          <w:szCs w:val="24"/>
          <w:vertAlign w:val="superscript"/>
        </w:rPr>
        <w:t>th</w:t>
      </w:r>
      <w:r w:rsidR="000C1DB5" w:rsidRPr="00C13D89">
        <w:rPr>
          <w:color w:val="auto"/>
          <w:sz w:val="24"/>
          <w:szCs w:val="24"/>
        </w:rPr>
        <w:t xml:space="preserve"> </w:t>
      </w:r>
      <w:r w:rsidR="00C55B31" w:rsidRPr="00C13D89">
        <w:rPr>
          <w:color w:val="auto"/>
          <w:sz w:val="24"/>
          <w:szCs w:val="24"/>
        </w:rPr>
        <w:t xml:space="preserve">November Policy Statement.  </w:t>
      </w:r>
      <w:r w:rsidR="00C35FC1" w:rsidRPr="00C35FC1">
        <w:rPr>
          <w:color w:val="auto"/>
          <w:sz w:val="24"/>
          <w:szCs w:val="24"/>
        </w:rPr>
        <w:t>This is a particularly important settlement for councils, as the government is implementing major reforms to how local government is funded, with changes set to be phased in over these three years.</w:t>
      </w:r>
    </w:p>
    <w:p w14:paraId="64F0F982" w14:textId="77777777" w:rsidR="00376E35" w:rsidRPr="001C0B17" w:rsidRDefault="00376E35" w:rsidP="00A8113D">
      <w:pPr>
        <w:pStyle w:val="Style1"/>
        <w:numPr>
          <w:ilvl w:val="0"/>
          <w:numId w:val="0"/>
        </w:numPr>
        <w:spacing w:before="0" w:after="0" w:line="240" w:lineRule="auto"/>
        <w:rPr>
          <w:color w:val="auto"/>
          <w:sz w:val="24"/>
          <w:szCs w:val="24"/>
          <w:highlight w:val="yellow"/>
        </w:rPr>
      </w:pPr>
    </w:p>
    <w:p w14:paraId="0FE6A52B" w14:textId="77777777" w:rsidR="00376E35" w:rsidRPr="008D0A29" w:rsidRDefault="00376E35" w:rsidP="00376E35">
      <w:pPr>
        <w:jc w:val="both"/>
        <w:rPr>
          <w:rFonts w:ascii="Arial" w:hAnsi="Arial" w:cs="Arial"/>
          <w:i/>
        </w:rPr>
      </w:pPr>
      <w:r w:rsidRPr="008D0A29">
        <w:rPr>
          <w:rFonts w:ascii="Arial" w:hAnsi="Arial" w:cs="Arial"/>
          <w:i/>
        </w:rPr>
        <w:t>Core Spending Power</w:t>
      </w:r>
    </w:p>
    <w:p w14:paraId="1E5B1619" w14:textId="77777777" w:rsidR="00376E35" w:rsidRPr="008D0A29" w:rsidRDefault="00376E35" w:rsidP="00376E35">
      <w:pPr>
        <w:jc w:val="both"/>
        <w:rPr>
          <w:rFonts w:ascii="Arial" w:hAnsi="Arial" w:cs="Arial"/>
          <w:i/>
        </w:rPr>
      </w:pPr>
    </w:p>
    <w:p w14:paraId="276B8EC1" w14:textId="46C26D25" w:rsidR="00376E35" w:rsidRDefault="00376E35" w:rsidP="00376E35">
      <w:pPr>
        <w:pStyle w:val="Style4"/>
        <w:numPr>
          <w:ilvl w:val="0"/>
          <w:numId w:val="0"/>
        </w:numPr>
        <w:spacing w:before="0" w:after="0" w:line="240" w:lineRule="auto"/>
        <w:rPr>
          <w:rFonts w:cs="Arial"/>
          <w:color w:val="auto"/>
          <w:sz w:val="24"/>
          <w:szCs w:val="24"/>
          <w:lang w:val="en-GB"/>
        </w:rPr>
      </w:pPr>
      <w:r w:rsidRPr="008D0A29">
        <w:rPr>
          <w:rFonts w:cs="Arial"/>
          <w:color w:val="auto"/>
          <w:sz w:val="24"/>
          <w:szCs w:val="24"/>
          <w:lang w:val="en-US"/>
        </w:rPr>
        <w:t>T</w:t>
      </w:r>
      <w:r w:rsidRPr="008D0A29">
        <w:rPr>
          <w:rFonts w:cs="Arial"/>
          <w:color w:val="auto"/>
          <w:sz w:val="24"/>
          <w:szCs w:val="24"/>
        </w:rPr>
        <w:t xml:space="preserve">he </w:t>
      </w:r>
      <w:r w:rsidRPr="008D0A29">
        <w:rPr>
          <w:rFonts w:cs="Arial"/>
          <w:color w:val="auto"/>
          <w:sz w:val="24"/>
          <w:szCs w:val="24"/>
          <w:lang w:val="en-GB"/>
        </w:rPr>
        <w:t>Core</w:t>
      </w:r>
      <w:r w:rsidRPr="008D0A29">
        <w:rPr>
          <w:rFonts w:cs="Arial"/>
          <w:color w:val="auto"/>
          <w:sz w:val="24"/>
          <w:szCs w:val="24"/>
        </w:rPr>
        <w:t xml:space="preserve"> Spending Power </w:t>
      </w:r>
      <w:r w:rsidR="00315157" w:rsidRPr="008D0A29">
        <w:rPr>
          <w:rFonts w:cs="Arial"/>
          <w:color w:val="auto"/>
          <w:sz w:val="24"/>
          <w:szCs w:val="24"/>
        </w:rPr>
        <w:t xml:space="preserve">(CSP) </w:t>
      </w:r>
      <w:r w:rsidRPr="008D0A29">
        <w:rPr>
          <w:rFonts w:cs="Arial"/>
          <w:color w:val="auto"/>
          <w:sz w:val="24"/>
          <w:szCs w:val="24"/>
          <w:lang w:val="en-GB"/>
        </w:rPr>
        <w:t xml:space="preserve">calculation includes the main sources of Government funding for local authorities, in addition it also includes local resources in the form of assumed levels of Council Tax income.  </w:t>
      </w:r>
    </w:p>
    <w:p w14:paraId="3AFD009F" w14:textId="77777777" w:rsidR="00376E35" w:rsidRPr="008D0A29" w:rsidRDefault="00376E35" w:rsidP="00376E35">
      <w:pPr>
        <w:pStyle w:val="Style4"/>
        <w:numPr>
          <w:ilvl w:val="0"/>
          <w:numId w:val="0"/>
        </w:numPr>
        <w:spacing w:before="0" w:after="0" w:line="240" w:lineRule="auto"/>
        <w:rPr>
          <w:rFonts w:cs="Arial"/>
          <w:color w:val="auto"/>
          <w:sz w:val="24"/>
          <w:szCs w:val="24"/>
          <w:lang w:val="en-GB"/>
        </w:rPr>
      </w:pPr>
    </w:p>
    <w:p w14:paraId="7B15316F" w14:textId="6F2DAD15" w:rsidR="008C14AB" w:rsidRPr="00BB654A" w:rsidRDefault="00376E35" w:rsidP="0030644D">
      <w:pPr>
        <w:pStyle w:val="Style1"/>
        <w:keepNext w:val="0"/>
        <w:keepLines w:val="0"/>
        <w:widowControl w:val="0"/>
        <w:numPr>
          <w:ilvl w:val="0"/>
          <w:numId w:val="0"/>
        </w:numPr>
        <w:spacing w:before="0" w:after="0" w:line="240" w:lineRule="auto"/>
        <w:rPr>
          <w:rFonts w:cs="Arial"/>
          <w:color w:val="auto"/>
          <w:sz w:val="24"/>
          <w:szCs w:val="24"/>
        </w:rPr>
      </w:pPr>
      <w:r w:rsidRPr="00BB654A">
        <w:rPr>
          <w:rFonts w:cs="Arial"/>
          <w:color w:val="auto"/>
          <w:sz w:val="24"/>
          <w:szCs w:val="24"/>
          <w:lang w:val="en-US"/>
        </w:rPr>
        <w:t xml:space="preserve">The table </w:t>
      </w:r>
      <w:r w:rsidRPr="00BB654A">
        <w:rPr>
          <w:rFonts w:cs="Arial"/>
          <w:color w:val="auto"/>
          <w:sz w:val="24"/>
          <w:szCs w:val="24"/>
        </w:rPr>
        <w:t xml:space="preserve">below shows the national Core Spending Power </w:t>
      </w:r>
      <w:r w:rsidR="00793400" w:rsidRPr="00BB654A">
        <w:rPr>
          <w:rFonts w:cs="Arial"/>
          <w:color w:val="auto"/>
          <w:sz w:val="24"/>
          <w:szCs w:val="24"/>
        </w:rPr>
        <w:t>figures for the period</w:t>
      </w:r>
      <w:r w:rsidRPr="00BB654A">
        <w:rPr>
          <w:rFonts w:cs="Arial"/>
          <w:color w:val="auto"/>
          <w:sz w:val="24"/>
          <w:szCs w:val="24"/>
        </w:rPr>
        <w:t xml:space="preserve"> 2025/26 and 202</w:t>
      </w:r>
      <w:r w:rsidR="004A49A0" w:rsidRPr="00BB654A">
        <w:rPr>
          <w:rFonts w:cs="Arial"/>
          <w:color w:val="auto"/>
          <w:sz w:val="24"/>
          <w:szCs w:val="24"/>
        </w:rPr>
        <w:t>8</w:t>
      </w:r>
      <w:r w:rsidRPr="00BB654A">
        <w:rPr>
          <w:rFonts w:cs="Arial"/>
          <w:color w:val="auto"/>
          <w:sz w:val="24"/>
          <w:szCs w:val="24"/>
          <w:lang w:val="en-US"/>
        </w:rPr>
        <w:t>/2</w:t>
      </w:r>
      <w:r w:rsidR="004A49A0" w:rsidRPr="00BB654A">
        <w:rPr>
          <w:rFonts w:cs="Arial"/>
          <w:color w:val="auto"/>
          <w:sz w:val="24"/>
          <w:szCs w:val="24"/>
          <w:lang w:val="en-US"/>
        </w:rPr>
        <w:t>9</w:t>
      </w:r>
      <w:r w:rsidRPr="00BB654A">
        <w:rPr>
          <w:rFonts w:cs="Arial"/>
          <w:color w:val="auto"/>
          <w:sz w:val="24"/>
          <w:szCs w:val="24"/>
        </w:rPr>
        <w:t xml:space="preserve"> and the breakdown across the various funding sources.  </w:t>
      </w:r>
      <w:r w:rsidRPr="00BB654A">
        <w:rPr>
          <w:rFonts w:cs="Arial"/>
          <w:color w:val="auto"/>
          <w:sz w:val="24"/>
          <w:szCs w:val="24"/>
          <w:lang w:val="en-US"/>
        </w:rPr>
        <w:t xml:space="preserve">Overall, </w:t>
      </w:r>
      <w:r w:rsidR="00BA38C3" w:rsidRPr="00BB654A">
        <w:rPr>
          <w:rFonts w:cs="Arial"/>
          <w:color w:val="auto"/>
          <w:sz w:val="24"/>
          <w:szCs w:val="24"/>
          <w:lang w:val="en-US"/>
        </w:rPr>
        <w:t xml:space="preserve">it shows an increase in CSP of </w:t>
      </w:r>
      <w:r w:rsidR="008531E6" w:rsidRPr="00BB654A">
        <w:rPr>
          <w:rFonts w:cs="Arial"/>
          <w:color w:val="auto"/>
          <w:sz w:val="24"/>
          <w:szCs w:val="24"/>
          <w:lang w:val="en-US"/>
        </w:rPr>
        <w:t>6.1</w:t>
      </w:r>
      <w:r w:rsidR="008A3822" w:rsidRPr="00BB654A">
        <w:rPr>
          <w:rFonts w:cs="Arial"/>
          <w:color w:val="auto"/>
          <w:sz w:val="24"/>
          <w:szCs w:val="24"/>
          <w:lang w:val="en-US"/>
        </w:rPr>
        <w:t>%</w:t>
      </w:r>
      <w:r w:rsidR="00D74412" w:rsidRPr="00BB654A">
        <w:rPr>
          <w:rFonts w:cs="Arial"/>
          <w:color w:val="auto"/>
          <w:sz w:val="24"/>
          <w:szCs w:val="24"/>
          <w:lang w:val="en-US"/>
        </w:rPr>
        <w:t xml:space="preserve"> for 2026/27</w:t>
      </w:r>
      <w:r w:rsidR="006812F0" w:rsidRPr="00BB654A">
        <w:rPr>
          <w:rFonts w:cs="Arial"/>
          <w:color w:val="auto"/>
          <w:sz w:val="24"/>
          <w:szCs w:val="24"/>
          <w:lang w:val="en-US"/>
        </w:rPr>
        <w:t xml:space="preserve"> and 15.</w:t>
      </w:r>
      <w:r w:rsidR="00B13C43" w:rsidRPr="00BB654A">
        <w:rPr>
          <w:rFonts w:cs="Arial"/>
          <w:color w:val="auto"/>
          <w:sz w:val="24"/>
          <w:szCs w:val="24"/>
          <w:lang w:val="en-US"/>
        </w:rPr>
        <w:t>5</w:t>
      </w:r>
      <w:r w:rsidR="006812F0" w:rsidRPr="00BB654A">
        <w:rPr>
          <w:rFonts w:cs="Arial"/>
          <w:color w:val="auto"/>
          <w:sz w:val="24"/>
          <w:szCs w:val="24"/>
          <w:lang w:val="en-US"/>
        </w:rPr>
        <w:t>%</w:t>
      </w:r>
      <w:r w:rsidR="00D913D3" w:rsidRPr="00BB654A">
        <w:rPr>
          <w:rFonts w:cs="Arial"/>
          <w:color w:val="auto"/>
          <w:sz w:val="24"/>
          <w:szCs w:val="24"/>
          <w:lang w:val="en-US"/>
        </w:rPr>
        <w:t xml:space="preserve"> to 2028/29</w:t>
      </w:r>
      <w:r w:rsidR="00223C55" w:rsidRPr="00BB654A">
        <w:rPr>
          <w:rFonts w:cs="Arial"/>
          <w:color w:val="auto"/>
          <w:sz w:val="24"/>
          <w:szCs w:val="24"/>
          <w:lang w:val="en-US"/>
        </w:rPr>
        <w:t>, equivalent to £</w:t>
      </w:r>
      <w:r w:rsidR="008906B6" w:rsidRPr="00BB654A">
        <w:rPr>
          <w:rFonts w:cs="Arial"/>
          <w:color w:val="auto"/>
          <w:sz w:val="24"/>
          <w:szCs w:val="24"/>
          <w:lang w:val="en-US"/>
        </w:rPr>
        <w:t>11.</w:t>
      </w:r>
      <w:r w:rsidR="00B13C43" w:rsidRPr="00BB654A">
        <w:rPr>
          <w:rFonts w:cs="Arial"/>
          <w:color w:val="auto"/>
          <w:sz w:val="24"/>
          <w:szCs w:val="24"/>
          <w:lang w:val="en-US"/>
        </w:rPr>
        <w:t>4</w:t>
      </w:r>
      <w:r w:rsidR="008906B6" w:rsidRPr="00BB654A">
        <w:rPr>
          <w:rFonts w:cs="Arial"/>
          <w:color w:val="auto"/>
          <w:sz w:val="24"/>
          <w:szCs w:val="24"/>
          <w:lang w:val="en-US"/>
        </w:rPr>
        <w:t>m</w:t>
      </w:r>
      <w:r w:rsidR="00D913D3" w:rsidRPr="00BB654A">
        <w:rPr>
          <w:rFonts w:cs="Arial"/>
          <w:color w:val="auto"/>
          <w:sz w:val="24"/>
          <w:szCs w:val="24"/>
          <w:lang w:val="en-US"/>
        </w:rPr>
        <w:t xml:space="preserve">.  </w:t>
      </w:r>
      <w:r w:rsidRPr="00BB654A">
        <w:rPr>
          <w:rFonts w:cs="Arial"/>
          <w:color w:val="auto"/>
          <w:sz w:val="24"/>
          <w:szCs w:val="24"/>
          <w:lang w:val="en-US"/>
        </w:rPr>
        <w:t xml:space="preserve"> </w:t>
      </w:r>
      <w:r w:rsidR="008D0A29" w:rsidRPr="00BB654A">
        <w:rPr>
          <w:color w:val="auto"/>
          <w:sz w:val="24"/>
          <w:szCs w:val="24"/>
        </w:rPr>
        <w:t xml:space="preserve">However, </w:t>
      </w:r>
      <w:r w:rsidR="001D4F6B" w:rsidRPr="00BB654A">
        <w:rPr>
          <w:color w:val="auto"/>
          <w:sz w:val="24"/>
          <w:szCs w:val="24"/>
        </w:rPr>
        <w:t>75</w:t>
      </w:r>
      <w:r w:rsidR="008D0A29" w:rsidRPr="00BB654A">
        <w:rPr>
          <w:color w:val="auto"/>
          <w:sz w:val="24"/>
          <w:szCs w:val="24"/>
        </w:rPr>
        <w:t xml:space="preserve">% of the extra core spending power comes from MHCLG’s council tax </w:t>
      </w:r>
      <w:r w:rsidR="00685E1F" w:rsidRPr="00BB654A">
        <w:rPr>
          <w:rFonts w:cs="Arial"/>
          <w:color w:val="auto"/>
          <w:sz w:val="24"/>
          <w:szCs w:val="24"/>
          <w:lang w:val="en-US"/>
        </w:rPr>
        <w:t xml:space="preserve">assumptions around council taxbase changes and increases </w:t>
      </w:r>
      <w:r w:rsidR="002B65CA" w:rsidRPr="00BB654A">
        <w:rPr>
          <w:rFonts w:cs="Arial"/>
          <w:color w:val="auto"/>
          <w:sz w:val="24"/>
          <w:szCs w:val="24"/>
          <w:lang w:val="en-US"/>
        </w:rPr>
        <w:t xml:space="preserve">(which assumes all councils increase council tax by the maximum possible allowable) </w:t>
      </w:r>
      <w:r w:rsidR="00685E1F" w:rsidRPr="00BB654A">
        <w:rPr>
          <w:rFonts w:cs="Arial"/>
          <w:color w:val="auto"/>
          <w:sz w:val="24"/>
          <w:szCs w:val="24"/>
          <w:lang w:val="en-US"/>
        </w:rPr>
        <w:t>which may not be reflected in local projections</w:t>
      </w:r>
      <w:r w:rsidR="008D0A29" w:rsidRPr="00BB654A">
        <w:rPr>
          <w:color w:val="auto"/>
          <w:sz w:val="24"/>
          <w:szCs w:val="24"/>
        </w:rPr>
        <w:t>, with actual grant increases worth approximately £</w:t>
      </w:r>
      <w:r w:rsidR="007E7200" w:rsidRPr="00BB654A">
        <w:rPr>
          <w:color w:val="auto"/>
          <w:sz w:val="24"/>
          <w:szCs w:val="24"/>
        </w:rPr>
        <w:t>3</w:t>
      </w:r>
      <w:r w:rsidR="008D0A29" w:rsidRPr="00BB654A">
        <w:rPr>
          <w:color w:val="auto"/>
          <w:sz w:val="24"/>
          <w:szCs w:val="24"/>
        </w:rPr>
        <w:t xml:space="preserve"> billion in 2028/29 compared to 2025/26.</w:t>
      </w:r>
    </w:p>
    <w:tbl>
      <w:tblPr>
        <w:tblpPr w:leftFromText="180" w:rightFromText="180" w:vertAnchor="text" w:tblpY="222"/>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29"/>
        <w:gridCol w:w="1139"/>
        <w:gridCol w:w="1134"/>
        <w:gridCol w:w="1134"/>
        <w:gridCol w:w="1030"/>
      </w:tblGrid>
      <w:tr w:rsidR="00F07051" w:rsidRPr="001C0B17" w14:paraId="4E9310D6" w14:textId="77777777" w:rsidTr="00222000">
        <w:trPr>
          <w:trHeight w:val="737"/>
        </w:trPr>
        <w:tc>
          <w:tcPr>
            <w:tcW w:w="3397" w:type="dxa"/>
            <w:noWrap/>
            <w:vAlign w:val="center"/>
            <w:hideMark/>
          </w:tcPr>
          <w:p w14:paraId="09087BF6" w14:textId="77777777" w:rsidR="00F07051" w:rsidRPr="00161887" w:rsidRDefault="00F07051" w:rsidP="00F07051">
            <w:pPr>
              <w:rPr>
                <w:rFonts w:ascii="Arial" w:hAnsi="Arial" w:cs="Arial"/>
                <w:b/>
                <w:sz w:val="22"/>
                <w:szCs w:val="22"/>
                <w:lang w:eastAsia="en-GB"/>
              </w:rPr>
            </w:pPr>
            <w:r w:rsidRPr="00161887">
              <w:rPr>
                <w:rFonts w:ascii="Arial" w:hAnsi="Arial" w:cs="Arial"/>
                <w:b/>
                <w:sz w:val="22"/>
                <w:szCs w:val="22"/>
                <w:lang w:eastAsia="en-GB"/>
              </w:rPr>
              <w:t>England</w:t>
            </w:r>
          </w:p>
        </w:tc>
        <w:tc>
          <w:tcPr>
            <w:tcW w:w="1129" w:type="dxa"/>
            <w:vAlign w:val="center"/>
          </w:tcPr>
          <w:p w14:paraId="25883E0C" w14:textId="2E5E6D33" w:rsidR="00F07051" w:rsidRPr="00161887" w:rsidRDefault="0031453F" w:rsidP="00F07051">
            <w:pPr>
              <w:jc w:val="center"/>
              <w:rPr>
                <w:rFonts w:ascii="Arial" w:hAnsi="Arial" w:cs="Arial"/>
                <w:b/>
                <w:sz w:val="22"/>
                <w:szCs w:val="22"/>
                <w:lang w:eastAsia="en-GB"/>
              </w:rPr>
            </w:pPr>
            <w:r w:rsidRPr="00161887">
              <w:rPr>
                <w:rFonts w:ascii="Arial" w:hAnsi="Arial" w:cs="Arial"/>
                <w:b/>
                <w:sz w:val="22"/>
                <w:szCs w:val="22"/>
                <w:lang w:eastAsia="en-GB"/>
              </w:rPr>
              <w:t>2024/25</w:t>
            </w:r>
          </w:p>
        </w:tc>
        <w:tc>
          <w:tcPr>
            <w:tcW w:w="1139" w:type="dxa"/>
            <w:vAlign w:val="center"/>
          </w:tcPr>
          <w:p w14:paraId="76C1163E" w14:textId="40C87A7F" w:rsidR="00F07051" w:rsidRPr="00161887" w:rsidRDefault="0031453F" w:rsidP="00F07051">
            <w:pPr>
              <w:jc w:val="center"/>
              <w:rPr>
                <w:rFonts w:ascii="Arial" w:hAnsi="Arial" w:cs="Arial"/>
                <w:b/>
                <w:sz w:val="22"/>
                <w:szCs w:val="22"/>
                <w:lang w:eastAsia="en-GB"/>
              </w:rPr>
            </w:pPr>
            <w:r w:rsidRPr="00161887">
              <w:rPr>
                <w:rFonts w:ascii="Arial" w:hAnsi="Arial" w:cs="Arial"/>
                <w:b/>
                <w:sz w:val="22"/>
                <w:szCs w:val="22"/>
                <w:lang w:eastAsia="en-GB"/>
              </w:rPr>
              <w:t>2025/26</w:t>
            </w:r>
          </w:p>
        </w:tc>
        <w:tc>
          <w:tcPr>
            <w:tcW w:w="1134" w:type="dxa"/>
            <w:vAlign w:val="center"/>
          </w:tcPr>
          <w:p w14:paraId="687F3817" w14:textId="27F5B996" w:rsidR="00F07051" w:rsidRPr="00161887" w:rsidRDefault="0031453F" w:rsidP="00F07051">
            <w:pPr>
              <w:jc w:val="center"/>
              <w:rPr>
                <w:rFonts w:ascii="Arial" w:hAnsi="Arial" w:cs="Arial"/>
                <w:b/>
                <w:sz w:val="22"/>
                <w:szCs w:val="22"/>
                <w:lang w:eastAsia="en-GB"/>
              </w:rPr>
            </w:pPr>
            <w:r w:rsidRPr="00161887">
              <w:rPr>
                <w:rFonts w:ascii="Arial" w:hAnsi="Arial" w:cs="Arial"/>
                <w:b/>
                <w:sz w:val="22"/>
                <w:szCs w:val="22"/>
                <w:lang w:eastAsia="en-GB"/>
              </w:rPr>
              <w:t>2026/27</w:t>
            </w:r>
          </w:p>
        </w:tc>
        <w:tc>
          <w:tcPr>
            <w:tcW w:w="1134" w:type="dxa"/>
            <w:vAlign w:val="center"/>
          </w:tcPr>
          <w:p w14:paraId="7397B606" w14:textId="15B1A339" w:rsidR="00F07051" w:rsidRPr="00161887" w:rsidRDefault="0031453F" w:rsidP="00F07051">
            <w:pPr>
              <w:jc w:val="center"/>
              <w:rPr>
                <w:rFonts w:ascii="Arial" w:hAnsi="Arial" w:cs="Arial"/>
                <w:b/>
                <w:sz w:val="22"/>
                <w:szCs w:val="22"/>
                <w:lang w:eastAsia="en-GB"/>
              </w:rPr>
            </w:pPr>
            <w:r w:rsidRPr="00161887">
              <w:rPr>
                <w:rFonts w:ascii="Arial" w:hAnsi="Arial" w:cs="Arial"/>
                <w:b/>
                <w:sz w:val="22"/>
                <w:szCs w:val="22"/>
                <w:lang w:eastAsia="en-GB"/>
              </w:rPr>
              <w:t>2027/28</w:t>
            </w:r>
          </w:p>
        </w:tc>
        <w:tc>
          <w:tcPr>
            <w:tcW w:w="1030" w:type="dxa"/>
            <w:vAlign w:val="center"/>
          </w:tcPr>
          <w:p w14:paraId="1E2F050F" w14:textId="774D2477" w:rsidR="00F07051" w:rsidRPr="00161887" w:rsidRDefault="0031453F" w:rsidP="00F07051">
            <w:pPr>
              <w:jc w:val="center"/>
              <w:rPr>
                <w:rFonts w:ascii="Arial" w:hAnsi="Arial" w:cs="Arial"/>
                <w:b/>
                <w:sz w:val="22"/>
                <w:szCs w:val="22"/>
                <w:lang w:eastAsia="en-GB"/>
              </w:rPr>
            </w:pPr>
            <w:r w:rsidRPr="00161887">
              <w:rPr>
                <w:rFonts w:ascii="Arial" w:hAnsi="Arial" w:cs="Arial"/>
                <w:b/>
                <w:sz w:val="22"/>
                <w:szCs w:val="22"/>
                <w:lang w:eastAsia="en-GB"/>
              </w:rPr>
              <w:t>2028/29</w:t>
            </w:r>
          </w:p>
        </w:tc>
      </w:tr>
      <w:tr w:rsidR="00F07051" w:rsidRPr="001C0B17" w14:paraId="68133E16" w14:textId="77777777" w:rsidTr="00222000">
        <w:trPr>
          <w:trHeight w:val="315"/>
        </w:trPr>
        <w:tc>
          <w:tcPr>
            <w:tcW w:w="3397" w:type="dxa"/>
            <w:hideMark/>
          </w:tcPr>
          <w:p w14:paraId="7AF9B356" w14:textId="77777777" w:rsidR="00F07051" w:rsidRPr="00161887" w:rsidRDefault="00F07051" w:rsidP="00F07051">
            <w:pPr>
              <w:rPr>
                <w:rFonts w:ascii="Arial" w:hAnsi="Arial" w:cs="Arial"/>
                <w:sz w:val="22"/>
                <w:szCs w:val="22"/>
                <w:lang w:eastAsia="en-GB"/>
              </w:rPr>
            </w:pPr>
            <w:r w:rsidRPr="00161887">
              <w:rPr>
                <w:rFonts w:ascii="Arial" w:hAnsi="Arial" w:cs="Arial"/>
                <w:sz w:val="22"/>
                <w:szCs w:val="22"/>
                <w:lang w:eastAsia="en-GB"/>
              </w:rPr>
              <w:t> </w:t>
            </w:r>
          </w:p>
        </w:tc>
        <w:tc>
          <w:tcPr>
            <w:tcW w:w="1129" w:type="dxa"/>
          </w:tcPr>
          <w:p w14:paraId="5861E307" w14:textId="14E11977" w:rsidR="00F07051" w:rsidRPr="00161887" w:rsidRDefault="00F07051" w:rsidP="00F07051">
            <w:pPr>
              <w:jc w:val="center"/>
              <w:rPr>
                <w:rFonts w:ascii="Arial" w:hAnsi="Arial" w:cs="Arial"/>
                <w:b/>
                <w:sz w:val="22"/>
                <w:szCs w:val="22"/>
                <w:lang w:eastAsia="en-GB"/>
              </w:rPr>
            </w:pPr>
            <w:r w:rsidRPr="00161887">
              <w:rPr>
                <w:rFonts w:ascii="Arial" w:hAnsi="Arial" w:cs="Arial"/>
                <w:b/>
                <w:sz w:val="22"/>
                <w:szCs w:val="22"/>
                <w:lang w:eastAsia="en-GB"/>
              </w:rPr>
              <w:t>£</w:t>
            </w:r>
            <w:r w:rsidR="00161887" w:rsidRPr="00161887">
              <w:rPr>
                <w:rFonts w:ascii="Arial" w:hAnsi="Arial" w:cs="Arial"/>
                <w:b/>
                <w:sz w:val="22"/>
                <w:szCs w:val="22"/>
                <w:lang w:eastAsia="en-GB"/>
              </w:rPr>
              <w:t>m</w:t>
            </w:r>
          </w:p>
        </w:tc>
        <w:tc>
          <w:tcPr>
            <w:tcW w:w="1139" w:type="dxa"/>
          </w:tcPr>
          <w:p w14:paraId="3E4F55E4" w14:textId="7D34457C" w:rsidR="00F07051" w:rsidRPr="00161887" w:rsidRDefault="00F07051" w:rsidP="00F07051">
            <w:pPr>
              <w:jc w:val="center"/>
              <w:rPr>
                <w:rFonts w:ascii="Arial" w:hAnsi="Arial" w:cs="Arial"/>
                <w:b/>
                <w:sz w:val="22"/>
                <w:szCs w:val="22"/>
                <w:lang w:eastAsia="en-GB"/>
              </w:rPr>
            </w:pPr>
            <w:r w:rsidRPr="00161887">
              <w:rPr>
                <w:rFonts w:ascii="Arial" w:hAnsi="Arial" w:cs="Arial"/>
                <w:b/>
                <w:sz w:val="22"/>
                <w:szCs w:val="22"/>
                <w:lang w:eastAsia="en-GB"/>
              </w:rPr>
              <w:t>£</w:t>
            </w:r>
            <w:r w:rsidR="00161887" w:rsidRPr="00161887">
              <w:rPr>
                <w:rFonts w:ascii="Arial" w:hAnsi="Arial" w:cs="Arial"/>
                <w:b/>
                <w:sz w:val="22"/>
                <w:szCs w:val="22"/>
                <w:lang w:eastAsia="en-GB"/>
              </w:rPr>
              <w:t>m</w:t>
            </w:r>
          </w:p>
        </w:tc>
        <w:tc>
          <w:tcPr>
            <w:tcW w:w="1134" w:type="dxa"/>
          </w:tcPr>
          <w:p w14:paraId="049ED736" w14:textId="1598D293" w:rsidR="00F07051" w:rsidRPr="00161887" w:rsidRDefault="00F07051" w:rsidP="00F07051">
            <w:pPr>
              <w:jc w:val="center"/>
              <w:rPr>
                <w:rFonts w:ascii="Arial" w:hAnsi="Arial" w:cs="Arial"/>
                <w:b/>
                <w:sz w:val="22"/>
                <w:szCs w:val="22"/>
                <w:lang w:eastAsia="en-GB"/>
              </w:rPr>
            </w:pPr>
            <w:r w:rsidRPr="00161887">
              <w:rPr>
                <w:rFonts w:ascii="Arial" w:hAnsi="Arial" w:cs="Arial"/>
                <w:b/>
                <w:sz w:val="22"/>
                <w:szCs w:val="22"/>
                <w:lang w:eastAsia="en-GB"/>
              </w:rPr>
              <w:t>£</w:t>
            </w:r>
            <w:r w:rsidR="00161887" w:rsidRPr="00161887">
              <w:rPr>
                <w:rFonts w:ascii="Arial" w:hAnsi="Arial" w:cs="Arial"/>
                <w:b/>
                <w:sz w:val="22"/>
                <w:szCs w:val="22"/>
                <w:lang w:eastAsia="en-GB"/>
              </w:rPr>
              <w:t>m</w:t>
            </w:r>
          </w:p>
        </w:tc>
        <w:tc>
          <w:tcPr>
            <w:tcW w:w="1134" w:type="dxa"/>
          </w:tcPr>
          <w:p w14:paraId="5CB2DBC0" w14:textId="177FBA1B" w:rsidR="00F07051" w:rsidRPr="00161887" w:rsidRDefault="00F07051" w:rsidP="00F07051">
            <w:pPr>
              <w:jc w:val="center"/>
              <w:rPr>
                <w:rFonts w:ascii="Arial" w:hAnsi="Arial" w:cs="Arial"/>
                <w:b/>
                <w:sz w:val="22"/>
                <w:szCs w:val="22"/>
                <w:lang w:eastAsia="en-GB"/>
              </w:rPr>
            </w:pPr>
            <w:r w:rsidRPr="00161887">
              <w:rPr>
                <w:rFonts w:ascii="Arial" w:hAnsi="Arial" w:cs="Arial"/>
                <w:b/>
                <w:sz w:val="22"/>
                <w:szCs w:val="22"/>
                <w:lang w:eastAsia="en-GB"/>
              </w:rPr>
              <w:t>£</w:t>
            </w:r>
            <w:r w:rsidR="00161887" w:rsidRPr="00161887">
              <w:rPr>
                <w:rFonts w:ascii="Arial" w:hAnsi="Arial" w:cs="Arial"/>
                <w:b/>
                <w:sz w:val="22"/>
                <w:szCs w:val="22"/>
                <w:lang w:eastAsia="en-GB"/>
              </w:rPr>
              <w:t>m</w:t>
            </w:r>
          </w:p>
        </w:tc>
        <w:tc>
          <w:tcPr>
            <w:tcW w:w="1030" w:type="dxa"/>
          </w:tcPr>
          <w:p w14:paraId="54A54A3D" w14:textId="75F0A359" w:rsidR="00F07051" w:rsidRPr="00161887" w:rsidRDefault="00F07051" w:rsidP="00F07051">
            <w:pPr>
              <w:jc w:val="center"/>
              <w:rPr>
                <w:rFonts w:ascii="Arial" w:hAnsi="Arial" w:cs="Arial"/>
                <w:b/>
                <w:sz w:val="22"/>
                <w:szCs w:val="22"/>
                <w:lang w:eastAsia="en-GB"/>
              </w:rPr>
            </w:pPr>
            <w:r w:rsidRPr="00161887">
              <w:rPr>
                <w:rFonts w:ascii="Arial" w:hAnsi="Arial" w:cs="Arial"/>
                <w:b/>
                <w:sz w:val="22"/>
                <w:szCs w:val="22"/>
                <w:lang w:eastAsia="en-GB"/>
              </w:rPr>
              <w:t>£</w:t>
            </w:r>
            <w:r w:rsidR="00161887" w:rsidRPr="00161887">
              <w:rPr>
                <w:rFonts w:ascii="Arial" w:hAnsi="Arial" w:cs="Arial"/>
                <w:b/>
                <w:sz w:val="22"/>
                <w:szCs w:val="22"/>
                <w:lang w:eastAsia="en-GB"/>
              </w:rPr>
              <w:t>m</w:t>
            </w:r>
          </w:p>
        </w:tc>
      </w:tr>
      <w:tr w:rsidR="00CE64D8" w:rsidRPr="001C0B17" w14:paraId="7B480708" w14:textId="77777777" w:rsidTr="00222000">
        <w:trPr>
          <w:trHeight w:val="315"/>
        </w:trPr>
        <w:tc>
          <w:tcPr>
            <w:tcW w:w="3397" w:type="dxa"/>
            <w:vAlign w:val="bottom"/>
          </w:tcPr>
          <w:p w14:paraId="4541B75F" w14:textId="74EC415F" w:rsidR="00CE64D8" w:rsidRPr="001C0B17" w:rsidRDefault="0053662E" w:rsidP="00CE64D8">
            <w:pPr>
              <w:rPr>
                <w:rFonts w:ascii="Arial" w:hAnsi="Arial" w:cs="Arial"/>
                <w:sz w:val="20"/>
                <w:szCs w:val="20"/>
                <w:highlight w:val="yellow"/>
                <w:lang w:eastAsia="en-GB"/>
              </w:rPr>
            </w:pPr>
            <w:r>
              <w:rPr>
                <w:rFonts w:ascii="Arial" w:hAnsi="Arial" w:cs="Arial"/>
                <w:color w:val="000000"/>
                <w:sz w:val="22"/>
                <w:szCs w:val="22"/>
              </w:rPr>
              <w:t>Legacy</w:t>
            </w:r>
            <w:r w:rsidR="00CE64D8">
              <w:rPr>
                <w:rFonts w:ascii="Arial" w:hAnsi="Arial" w:cs="Arial"/>
                <w:color w:val="000000"/>
                <w:sz w:val="22"/>
                <w:szCs w:val="22"/>
              </w:rPr>
              <w:t xml:space="preserve"> Funding Assessment</w:t>
            </w:r>
          </w:p>
        </w:tc>
        <w:tc>
          <w:tcPr>
            <w:tcW w:w="1129" w:type="dxa"/>
            <w:vAlign w:val="center"/>
          </w:tcPr>
          <w:p w14:paraId="05248823" w14:textId="1843F381" w:rsidR="00CE64D8" w:rsidRPr="001C0B17" w:rsidRDefault="000A076F" w:rsidP="00CE64D8">
            <w:pPr>
              <w:jc w:val="right"/>
              <w:rPr>
                <w:rFonts w:ascii="Arial" w:hAnsi="Arial" w:cs="Arial"/>
                <w:sz w:val="20"/>
                <w:szCs w:val="20"/>
                <w:highlight w:val="yellow"/>
                <w:lang w:eastAsia="en-GB"/>
              </w:rPr>
            </w:pPr>
            <w:r>
              <w:rPr>
                <w:rFonts w:ascii="Arial" w:hAnsi="Arial" w:cs="Arial"/>
                <w:color w:val="000000"/>
                <w:sz w:val="22"/>
                <w:szCs w:val="22"/>
              </w:rPr>
              <w:t>30,961</w:t>
            </w:r>
          </w:p>
        </w:tc>
        <w:tc>
          <w:tcPr>
            <w:tcW w:w="1139" w:type="dxa"/>
            <w:vAlign w:val="center"/>
          </w:tcPr>
          <w:p w14:paraId="65876B46" w14:textId="13567B99" w:rsidR="00CE64D8" w:rsidRPr="001C0B17" w:rsidRDefault="0053662E" w:rsidP="00CE64D8">
            <w:pPr>
              <w:jc w:val="right"/>
              <w:rPr>
                <w:rFonts w:ascii="Arial" w:hAnsi="Arial" w:cs="Arial"/>
                <w:sz w:val="20"/>
                <w:szCs w:val="20"/>
                <w:highlight w:val="yellow"/>
                <w:lang w:eastAsia="en-GB"/>
              </w:rPr>
            </w:pPr>
            <w:r>
              <w:rPr>
                <w:rFonts w:ascii="Arial" w:hAnsi="Arial" w:cs="Arial"/>
                <w:color w:val="000000"/>
                <w:sz w:val="22"/>
                <w:szCs w:val="22"/>
              </w:rPr>
              <w:t>32,442</w:t>
            </w:r>
          </w:p>
        </w:tc>
        <w:tc>
          <w:tcPr>
            <w:tcW w:w="1134" w:type="dxa"/>
            <w:vAlign w:val="center"/>
          </w:tcPr>
          <w:p w14:paraId="172B3DFD" w14:textId="4B78F4E3" w:rsidR="00CE64D8" w:rsidRPr="001C0B17" w:rsidRDefault="0053662E" w:rsidP="00CE64D8">
            <w:pPr>
              <w:jc w:val="right"/>
              <w:rPr>
                <w:rFonts w:ascii="Arial" w:hAnsi="Arial" w:cs="Arial"/>
                <w:sz w:val="20"/>
                <w:szCs w:val="20"/>
                <w:highlight w:val="yellow"/>
                <w:lang w:eastAsia="en-GB"/>
              </w:rPr>
            </w:pPr>
            <w:r>
              <w:rPr>
                <w:rFonts w:ascii="Arial" w:hAnsi="Arial" w:cs="Arial"/>
                <w:color w:val="000000"/>
                <w:sz w:val="22"/>
                <w:szCs w:val="22"/>
              </w:rPr>
              <w:t>0</w:t>
            </w:r>
          </w:p>
        </w:tc>
        <w:tc>
          <w:tcPr>
            <w:tcW w:w="1134" w:type="dxa"/>
            <w:vAlign w:val="center"/>
          </w:tcPr>
          <w:p w14:paraId="70F5D96A" w14:textId="3D29AADC" w:rsidR="00CE64D8" w:rsidRPr="001C0B17" w:rsidRDefault="0053662E" w:rsidP="00CE64D8">
            <w:pPr>
              <w:jc w:val="right"/>
              <w:rPr>
                <w:rFonts w:ascii="Arial" w:hAnsi="Arial" w:cs="Arial"/>
                <w:sz w:val="20"/>
                <w:szCs w:val="20"/>
                <w:highlight w:val="yellow"/>
                <w:lang w:eastAsia="en-GB"/>
              </w:rPr>
            </w:pPr>
            <w:r>
              <w:rPr>
                <w:rFonts w:ascii="Arial" w:hAnsi="Arial" w:cs="Arial"/>
                <w:color w:val="000000"/>
                <w:sz w:val="22"/>
                <w:szCs w:val="22"/>
              </w:rPr>
              <w:t>0</w:t>
            </w:r>
          </w:p>
        </w:tc>
        <w:tc>
          <w:tcPr>
            <w:tcW w:w="1030" w:type="dxa"/>
            <w:vAlign w:val="center"/>
          </w:tcPr>
          <w:p w14:paraId="22A2B4CA" w14:textId="028C8155" w:rsidR="00CE64D8" w:rsidRPr="001C0B17" w:rsidRDefault="0053662E" w:rsidP="00CE64D8">
            <w:pPr>
              <w:jc w:val="right"/>
              <w:rPr>
                <w:rFonts w:ascii="Arial" w:hAnsi="Arial" w:cs="Arial"/>
                <w:sz w:val="20"/>
                <w:szCs w:val="20"/>
                <w:highlight w:val="yellow"/>
                <w:lang w:eastAsia="en-GB"/>
              </w:rPr>
            </w:pPr>
            <w:r>
              <w:rPr>
                <w:rFonts w:ascii="Arial" w:hAnsi="Arial" w:cs="Arial"/>
                <w:color w:val="000000"/>
                <w:sz w:val="22"/>
                <w:szCs w:val="22"/>
              </w:rPr>
              <w:t>0</w:t>
            </w:r>
          </w:p>
        </w:tc>
      </w:tr>
      <w:tr w:rsidR="00CE64D8" w:rsidRPr="001C0B17" w14:paraId="3966A758" w14:textId="77777777" w:rsidTr="00222000">
        <w:trPr>
          <w:trHeight w:val="315"/>
        </w:trPr>
        <w:tc>
          <w:tcPr>
            <w:tcW w:w="3397" w:type="dxa"/>
          </w:tcPr>
          <w:p w14:paraId="1542CA40" w14:textId="2694CCD4" w:rsidR="00CE64D8" w:rsidRPr="001C0B17" w:rsidRDefault="00993340" w:rsidP="00CE64D8">
            <w:pPr>
              <w:rPr>
                <w:rFonts w:ascii="Arial" w:hAnsi="Arial" w:cs="Arial"/>
                <w:sz w:val="20"/>
                <w:szCs w:val="20"/>
                <w:highlight w:val="yellow"/>
                <w:lang w:eastAsia="en-GB"/>
              </w:rPr>
            </w:pPr>
            <w:r>
              <w:rPr>
                <w:rFonts w:ascii="Arial" w:hAnsi="Arial" w:cs="Arial"/>
                <w:color w:val="000000"/>
                <w:sz w:val="22"/>
                <w:szCs w:val="22"/>
              </w:rPr>
              <w:t>Fair Funding Allocation</w:t>
            </w:r>
          </w:p>
        </w:tc>
        <w:tc>
          <w:tcPr>
            <w:tcW w:w="1129" w:type="dxa"/>
            <w:vAlign w:val="center"/>
          </w:tcPr>
          <w:p w14:paraId="3E55B4F8" w14:textId="3F424ED0"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0</w:t>
            </w:r>
          </w:p>
        </w:tc>
        <w:tc>
          <w:tcPr>
            <w:tcW w:w="1139" w:type="dxa"/>
            <w:vAlign w:val="center"/>
          </w:tcPr>
          <w:p w14:paraId="790C5F03" w14:textId="509D7132"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0</w:t>
            </w:r>
          </w:p>
        </w:tc>
        <w:tc>
          <w:tcPr>
            <w:tcW w:w="1134" w:type="dxa"/>
            <w:vAlign w:val="center"/>
          </w:tcPr>
          <w:p w14:paraId="6AA5FCE2" w14:textId="0AC969F9"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33,92</w:t>
            </w:r>
            <w:r w:rsidR="00FB44DC">
              <w:rPr>
                <w:rFonts w:ascii="Arial" w:hAnsi="Arial" w:cs="Arial"/>
                <w:color w:val="000000"/>
                <w:sz w:val="22"/>
                <w:szCs w:val="22"/>
              </w:rPr>
              <w:t>9</w:t>
            </w:r>
          </w:p>
        </w:tc>
        <w:tc>
          <w:tcPr>
            <w:tcW w:w="1134" w:type="dxa"/>
            <w:vAlign w:val="center"/>
          </w:tcPr>
          <w:p w14:paraId="7CE3619C" w14:textId="7B30AF29"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34,401</w:t>
            </w:r>
          </w:p>
        </w:tc>
        <w:tc>
          <w:tcPr>
            <w:tcW w:w="1030" w:type="dxa"/>
            <w:vAlign w:val="center"/>
          </w:tcPr>
          <w:p w14:paraId="3A249303" w14:textId="15A5ADB0"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34,896</w:t>
            </w:r>
          </w:p>
        </w:tc>
      </w:tr>
      <w:tr w:rsidR="00CE64D8" w:rsidRPr="001C0B17" w14:paraId="566C44A9" w14:textId="77777777" w:rsidTr="00222000">
        <w:trPr>
          <w:trHeight w:val="315"/>
        </w:trPr>
        <w:tc>
          <w:tcPr>
            <w:tcW w:w="3397" w:type="dxa"/>
          </w:tcPr>
          <w:p w14:paraId="322EB75B" w14:textId="3582A979" w:rsidR="00CE64D8" w:rsidRPr="001C0B17" w:rsidRDefault="00993340" w:rsidP="00CE64D8">
            <w:pPr>
              <w:rPr>
                <w:rFonts w:ascii="Arial" w:hAnsi="Arial" w:cs="Arial"/>
                <w:sz w:val="20"/>
                <w:szCs w:val="20"/>
                <w:highlight w:val="yellow"/>
                <w:lang w:eastAsia="en-GB"/>
              </w:rPr>
            </w:pPr>
            <w:r>
              <w:rPr>
                <w:rFonts w:ascii="Arial" w:hAnsi="Arial" w:cs="Arial"/>
                <w:color w:val="000000"/>
                <w:sz w:val="22"/>
                <w:szCs w:val="22"/>
              </w:rPr>
              <w:t>Council tax requirement</w:t>
            </w:r>
          </w:p>
        </w:tc>
        <w:tc>
          <w:tcPr>
            <w:tcW w:w="1129" w:type="dxa"/>
            <w:vAlign w:val="center"/>
          </w:tcPr>
          <w:p w14:paraId="453CF679" w14:textId="15551378"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36,154</w:t>
            </w:r>
          </w:p>
        </w:tc>
        <w:tc>
          <w:tcPr>
            <w:tcW w:w="1139" w:type="dxa"/>
            <w:vAlign w:val="center"/>
          </w:tcPr>
          <w:p w14:paraId="4EC866AF" w14:textId="509DAFFB"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38,656</w:t>
            </w:r>
          </w:p>
        </w:tc>
        <w:tc>
          <w:tcPr>
            <w:tcW w:w="1134" w:type="dxa"/>
            <w:vAlign w:val="center"/>
          </w:tcPr>
          <w:p w14:paraId="79182289" w14:textId="208CD202"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41,2</w:t>
            </w:r>
            <w:r w:rsidR="00FB44DC">
              <w:rPr>
                <w:rFonts w:ascii="Arial" w:hAnsi="Arial" w:cs="Arial"/>
                <w:color w:val="000000"/>
                <w:sz w:val="22"/>
                <w:szCs w:val="22"/>
              </w:rPr>
              <w:t>11</w:t>
            </w:r>
          </w:p>
        </w:tc>
        <w:tc>
          <w:tcPr>
            <w:tcW w:w="1134" w:type="dxa"/>
            <w:vAlign w:val="center"/>
          </w:tcPr>
          <w:p w14:paraId="2DF1CF3E" w14:textId="1256E852"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44,01</w:t>
            </w:r>
            <w:r w:rsidR="00FB44DC">
              <w:rPr>
                <w:rFonts w:ascii="Arial" w:hAnsi="Arial" w:cs="Arial"/>
                <w:color w:val="000000"/>
                <w:sz w:val="22"/>
                <w:szCs w:val="22"/>
              </w:rPr>
              <w:t>9</w:t>
            </w:r>
          </w:p>
        </w:tc>
        <w:tc>
          <w:tcPr>
            <w:tcW w:w="1030" w:type="dxa"/>
            <w:vAlign w:val="center"/>
          </w:tcPr>
          <w:p w14:paraId="30A83F89" w14:textId="22F8CB0E" w:rsidR="00CE64D8" w:rsidRPr="001C0B17" w:rsidRDefault="00CD31D5" w:rsidP="00CE64D8">
            <w:pPr>
              <w:jc w:val="right"/>
              <w:rPr>
                <w:rFonts w:ascii="Arial" w:hAnsi="Arial" w:cs="Arial"/>
                <w:sz w:val="20"/>
                <w:szCs w:val="20"/>
                <w:highlight w:val="yellow"/>
                <w:lang w:eastAsia="en-GB"/>
              </w:rPr>
            </w:pPr>
            <w:r>
              <w:rPr>
                <w:rFonts w:ascii="Arial" w:hAnsi="Arial" w:cs="Arial"/>
                <w:color w:val="000000"/>
                <w:sz w:val="22"/>
                <w:szCs w:val="22"/>
              </w:rPr>
              <w:t>47,0</w:t>
            </w:r>
            <w:r w:rsidR="00FB44DC">
              <w:rPr>
                <w:rFonts w:ascii="Arial" w:hAnsi="Arial" w:cs="Arial"/>
                <w:color w:val="000000"/>
                <w:sz w:val="22"/>
                <w:szCs w:val="22"/>
              </w:rPr>
              <w:t>10</w:t>
            </w:r>
          </w:p>
        </w:tc>
      </w:tr>
      <w:tr w:rsidR="00CE64D8" w:rsidRPr="001C0B17" w14:paraId="450BD707" w14:textId="77777777" w:rsidTr="00222000">
        <w:trPr>
          <w:trHeight w:val="315"/>
        </w:trPr>
        <w:tc>
          <w:tcPr>
            <w:tcW w:w="3397" w:type="dxa"/>
          </w:tcPr>
          <w:p w14:paraId="1292F7F1" w14:textId="70AC533B" w:rsidR="00CE64D8" w:rsidRPr="001C0B17" w:rsidRDefault="00993340" w:rsidP="00CE64D8">
            <w:pPr>
              <w:rPr>
                <w:rFonts w:ascii="Arial" w:hAnsi="Arial" w:cs="Arial"/>
                <w:sz w:val="20"/>
                <w:szCs w:val="20"/>
                <w:highlight w:val="yellow"/>
                <w:lang w:eastAsia="en-GB"/>
              </w:rPr>
            </w:pPr>
            <w:r>
              <w:rPr>
                <w:rFonts w:ascii="Arial" w:hAnsi="Arial" w:cs="Arial"/>
                <w:color w:val="000000"/>
                <w:sz w:val="22"/>
                <w:szCs w:val="22"/>
              </w:rPr>
              <w:t>Homelessness, Rough Sleeping and Domestic Abuse</w:t>
            </w:r>
          </w:p>
        </w:tc>
        <w:tc>
          <w:tcPr>
            <w:tcW w:w="1129" w:type="dxa"/>
            <w:vAlign w:val="center"/>
          </w:tcPr>
          <w:p w14:paraId="2B3E8549" w14:textId="2C8B4181"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521</w:t>
            </w:r>
          </w:p>
        </w:tc>
        <w:tc>
          <w:tcPr>
            <w:tcW w:w="1139" w:type="dxa"/>
            <w:vAlign w:val="center"/>
          </w:tcPr>
          <w:p w14:paraId="188C05DB" w14:textId="4A2A10AA"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725</w:t>
            </w:r>
          </w:p>
        </w:tc>
        <w:tc>
          <w:tcPr>
            <w:tcW w:w="1134" w:type="dxa"/>
            <w:vAlign w:val="center"/>
          </w:tcPr>
          <w:p w14:paraId="4EC96F36" w14:textId="48A88B2F" w:rsidR="00CE64D8" w:rsidRPr="001C0B17" w:rsidRDefault="00035DA4" w:rsidP="00CE64D8">
            <w:pPr>
              <w:jc w:val="right"/>
              <w:rPr>
                <w:rFonts w:ascii="Arial" w:hAnsi="Arial" w:cs="Arial"/>
                <w:sz w:val="20"/>
                <w:szCs w:val="20"/>
                <w:highlight w:val="yellow"/>
                <w:lang w:eastAsia="en-GB"/>
              </w:rPr>
            </w:pPr>
            <w:r>
              <w:rPr>
                <w:rFonts w:ascii="Arial" w:hAnsi="Arial" w:cs="Arial"/>
                <w:color w:val="000000"/>
                <w:sz w:val="22"/>
                <w:szCs w:val="22"/>
              </w:rPr>
              <w:t>885</w:t>
            </w:r>
          </w:p>
        </w:tc>
        <w:tc>
          <w:tcPr>
            <w:tcW w:w="1134" w:type="dxa"/>
            <w:vAlign w:val="center"/>
          </w:tcPr>
          <w:p w14:paraId="20BC3D7D" w14:textId="4A9EA211" w:rsidR="00CE64D8" w:rsidRPr="001C0B17" w:rsidRDefault="00035DA4" w:rsidP="00CE64D8">
            <w:pPr>
              <w:jc w:val="right"/>
              <w:rPr>
                <w:rFonts w:ascii="Arial" w:hAnsi="Arial" w:cs="Arial"/>
                <w:sz w:val="20"/>
                <w:szCs w:val="20"/>
                <w:highlight w:val="yellow"/>
                <w:lang w:eastAsia="en-GB"/>
              </w:rPr>
            </w:pPr>
            <w:r>
              <w:rPr>
                <w:rFonts w:ascii="Arial" w:hAnsi="Arial" w:cs="Arial"/>
                <w:color w:val="000000"/>
                <w:sz w:val="22"/>
                <w:szCs w:val="22"/>
              </w:rPr>
              <w:t>906</w:t>
            </w:r>
          </w:p>
        </w:tc>
        <w:tc>
          <w:tcPr>
            <w:tcW w:w="1030" w:type="dxa"/>
            <w:vAlign w:val="center"/>
          </w:tcPr>
          <w:p w14:paraId="708FBA33" w14:textId="7B287180" w:rsidR="00CE64D8" w:rsidRPr="001C0B17" w:rsidRDefault="00035DA4" w:rsidP="00CE64D8">
            <w:pPr>
              <w:jc w:val="right"/>
              <w:rPr>
                <w:rFonts w:ascii="Arial" w:hAnsi="Arial" w:cs="Arial"/>
                <w:iCs/>
                <w:sz w:val="20"/>
                <w:szCs w:val="20"/>
                <w:highlight w:val="yellow"/>
                <w:lang w:eastAsia="en-GB"/>
              </w:rPr>
            </w:pPr>
            <w:r>
              <w:rPr>
                <w:rFonts w:ascii="Arial" w:hAnsi="Arial" w:cs="Arial"/>
                <w:color w:val="000000"/>
                <w:sz w:val="22"/>
                <w:szCs w:val="22"/>
              </w:rPr>
              <w:t>927</w:t>
            </w:r>
          </w:p>
        </w:tc>
      </w:tr>
      <w:tr w:rsidR="00CE64D8" w:rsidRPr="001C0B17" w14:paraId="32C08FAA" w14:textId="77777777" w:rsidTr="00222000">
        <w:trPr>
          <w:trHeight w:val="315"/>
        </w:trPr>
        <w:tc>
          <w:tcPr>
            <w:tcW w:w="3397" w:type="dxa"/>
          </w:tcPr>
          <w:p w14:paraId="724507E6" w14:textId="1E01FB31" w:rsidR="00CE64D8" w:rsidRPr="001C0B17" w:rsidRDefault="00993340" w:rsidP="00CE64D8">
            <w:pPr>
              <w:rPr>
                <w:rFonts w:ascii="Arial" w:hAnsi="Arial" w:cs="Arial"/>
                <w:sz w:val="20"/>
                <w:szCs w:val="20"/>
                <w:highlight w:val="yellow"/>
                <w:lang w:eastAsia="en-GB"/>
              </w:rPr>
            </w:pPr>
            <w:r>
              <w:rPr>
                <w:rFonts w:ascii="Arial" w:hAnsi="Arial" w:cs="Arial"/>
                <w:color w:val="000000"/>
                <w:sz w:val="22"/>
                <w:szCs w:val="22"/>
              </w:rPr>
              <w:t>Families First Partnership</w:t>
            </w:r>
          </w:p>
        </w:tc>
        <w:tc>
          <w:tcPr>
            <w:tcW w:w="1129" w:type="dxa"/>
            <w:vAlign w:val="center"/>
          </w:tcPr>
          <w:p w14:paraId="5D4CF305" w14:textId="50E9528A"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253</w:t>
            </w:r>
          </w:p>
        </w:tc>
        <w:tc>
          <w:tcPr>
            <w:tcW w:w="1139" w:type="dxa"/>
            <w:vAlign w:val="center"/>
          </w:tcPr>
          <w:p w14:paraId="6C13F961" w14:textId="2A508865" w:rsidR="00CE64D8" w:rsidRPr="001C0B17" w:rsidRDefault="001E6966" w:rsidP="00CE64D8">
            <w:pPr>
              <w:jc w:val="right"/>
              <w:rPr>
                <w:rFonts w:ascii="Arial" w:hAnsi="Arial" w:cs="Arial"/>
                <w:sz w:val="20"/>
                <w:szCs w:val="20"/>
                <w:highlight w:val="yellow"/>
                <w:lang w:eastAsia="en-GB"/>
              </w:rPr>
            </w:pPr>
            <w:r>
              <w:rPr>
                <w:rFonts w:ascii="Arial" w:hAnsi="Arial" w:cs="Arial"/>
                <w:color w:val="000000"/>
                <w:sz w:val="22"/>
                <w:szCs w:val="22"/>
              </w:rPr>
              <w:t>523</w:t>
            </w:r>
          </w:p>
        </w:tc>
        <w:tc>
          <w:tcPr>
            <w:tcW w:w="1134" w:type="dxa"/>
            <w:vAlign w:val="center"/>
          </w:tcPr>
          <w:p w14:paraId="5552F406" w14:textId="378DBAA0" w:rsidR="00CE64D8" w:rsidRPr="001C0B17" w:rsidRDefault="001E6966" w:rsidP="00CE64D8">
            <w:pPr>
              <w:jc w:val="right"/>
              <w:rPr>
                <w:rFonts w:ascii="Arial" w:hAnsi="Arial" w:cs="Arial"/>
                <w:sz w:val="20"/>
                <w:szCs w:val="20"/>
                <w:highlight w:val="yellow"/>
                <w:lang w:eastAsia="en-GB"/>
              </w:rPr>
            </w:pPr>
            <w:r>
              <w:rPr>
                <w:rFonts w:ascii="Arial" w:hAnsi="Arial" w:cs="Arial"/>
                <w:color w:val="000000"/>
                <w:sz w:val="22"/>
                <w:szCs w:val="22"/>
              </w:rPr>
              <w:t>853</w:t>
            </w:r>
          </w:p>
        </w:tc>
        <w:tc>
          <w:tcPr>
            <w:tcW w:w="1134" w:type="dxa"/>
            <w:vAlign w:val="center"/>
          </w:tcPr>
          <w:p w14:paraId="6A6878B2" w14:textId="08B1A964" w:rsidR="00CE64D8" w:rsidRPr="001C0B17" w:rsidRDefault="001E6966" w:rsidP="00CE64D8">
            <w:pPr>
              <w:jc w:val="right"/>
              <w:rPr>
                <w:rFonts w:ascii="Arial" w:hAnsi="Arial" w:cs="Arial"/>
                <w:sz w:val="20"/>
                <w:szCs w:val="20"/>
                <w:highlight w:val="yellow"/>
                <w:lang w:eastAsia="en-GB"/>
              </w:rPr>
            </w:pPr>
            <w:r>
              <w:rPr>
                <w:rFonts w:ascii="Arial" w:hAnsi="Arial" w:cs="Arial"/>
                <w:color w:val="000000"/>
                <w:sz w:val="22"/>
                <w:szCs w:val="22"/>
              </w:rPr>
              <w:t>853</w:t>
            </w:r>
          </w:p>
        </w:tc>
        <w:tc>
          <w:tcPr>
            <w:tcW w:w="1030" w:type="dxa"/>
            <w:vAlign w:val="center"/>
          </w:tcPr>
          <w:p w14:paraId="44EB41CB" w14:textId="045958D9" w:rsidR="00CE64D8" w:rsidRPr="001C0B17" w:rsidRDefault="00993340" w:rsidP="00CE64D8">
            <w:pPr>
              <w:jc w:val="right"/>
              <w:rPr>
                <w:rFonts w:ascii="Arial" w:hAnsi="Arial" w:cs="Arial"/>
                <w:iCs/>
                <w:sz w:val="20"/>
                <w:szCs w:val="20"/>
                <w:highlight w:val="yellow"/>
                <w:lang w:eastAsia="en-GB"/>
              </w:rPr>
            </w:pPr>
            <w:r>
              <w:rPr>
                <w:rFonts w:ascii="Arial" w:hAnsi="Arial" w:cs="Arial"/>
                <w:color w:val="000000"/>
                <w:sz w:val="22"/>
                <w:szCs w:val="22"/>
              </w:rPr>
              <w:t>729</w:t>
            </w:r>
          </w:p>
        </w:tc>
      </w:tr>
      <w:tr w:rsidR="00CE64D8" w:rsidRPr="001C0B17" w14:paraId="14435A7D" w14:textId="77777777" w:rsidTr="00222000">
        <w:trPr>
          <w:trHeight w:val="315"/>
        </w:trPr>
        <w:tc>
          <w:tcPr>
            <w:tcW w:w="3397" w:type="dxa"/>
          </w:tcPr>
          <w:p w14:paraId="2E2A1B6E" w14:textId="4D0E4AE9" w:rsidR="00CE64D8" w:rsidRPr="001C0B17" w:rsidRDefault="00993340" w:rsidP="00CE64D8">
            <w:pPr>
              <w:rPr>
                <w:rFonts w:ascii="Arial" w:hAnsi="Arial" w:cs="Arial"/>
                <w:sz w:val="20"/>
                <w:szCs w:val="20"/>
                <w:highlight w:val="yellow"/>
                <w:lang w:eastAsia="en-GB"/>
              </w:rPr>
            </w:pPr>
            <w:r>
              <w:rPr>
                <w:rFonts w:ascii="Arial" w:hAnsi="Arial" w:cs="Arial"/>
                <w:color w:val="000000"/>
                <w:sz w:val="22"/>
                <w:szCs w:val="22"/>
              </w:rPr>
              <w:t>Total Transitional Protections</w:t>
            </w:r>
          </w:p>
        </w:tc>
        <w:tc>
          <w:tcPr>
            <w:tcW w:w="1129" w:type="dxa"/>
            <w:vAlign w:val="center"/>
          </w:tcPr>
          <w:p w14:paraId="206B1A3D" w14:textId="55A4FD33"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0</w:t>
            </w:r>
          </w:p>
        </w:tc>
        <w:tc>
          <w:tcPr>
            <w:tcW w:w="1139" w:type="dxa"/>
            <w:vAlign w:val="center"/>
          </w:tcPr>
          <w:p w14:paraId="47DA5061" w14:textId="4C15D883"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0</w:t>
            </w:r>
          </w:p>
        </w:tc>
        <w:tc>
          <w:tcPr>
            <w:tcW w:w="1134" w:type="dxa"/>
            <w:vAlign w:val="center"/>
          </w:tcPr>
          <w:p w14:paraId="1D4A7840" w14:textId="02AC93A0" w:rsidR="00CE64D8" w:rsidRPr="001C0B17" w:rsidRDefault="00035DA4" w:rsidP="00CE64D8">
            <w:pPr>
              <w:jc w:val="right"/>
              <w:rPr>
                <w:rFonts w:ascii="Arial" w:hAnsi="Arial" w:cs="Arial"/>
                <w:sz w:val="20"/>
                <w:szCs w:val="20"/>
                <w:highlight w:val="yellow"/>
                <w:lang w:eastAsia="en-GB"/>
              </w:rPr>
            </w:pPr>
            <w:r>
              <w:rPr>
                <w:rFonts w:ascii="Arial" w:hAnsi="Arial" w:cs="Arial"/>
                <w:color w:val="000000"/>
                <w:sz w:val="22"/>
                <w:szCs w:val="22"/>
              </w:rPr>
              <w:t>134</w:t>
            </w:r>
          </w:p>
        </w:tc>
        <w:tc>
          <w:tcPr>
            <w:tcW w:w="1134" w:type="dxa"/>
            <w:vAlign w:val="center"/>
          </w:tcPr>
          <w:p w14:paraId="4CF3EF03" w14:textId="7EB94663" w:rsidR="00CE64D8" w:rsidRPr="001C0B17" w:rsidRDefault="00035DA4" w:rsidP="00CE64D8">
            <w:pPr>
              <w:jc w:val="right"/>
              <w:rPr>
                <w:rFonts w:ascii="Arial" w:hAnsi="Arial" w:cs="Arial"/>
                <w:sz w:val="20"/>
                <w:szCs w:val="20"/>
                <w:highlight w:val="yellow"/>
                <w:lang w:eastAsia="en-GB"/>
              </w:rPr>
            </w:pPr>
            <w:r>
              <w:rPr>
                <w:rFonts w:ascii="Arial" w:hAnsi="Arial" w:cs="Arial"/>
                <w:color w:val="000000"/>
                <w:sz w:val="22"/>
                <w:szCs w:val="22"/>
              </w:rPr>
              <w:t>272</w:t>
            </w:r>
          </w:p>
        </w:tc>
        <w:tc>
          <w:tcPr>
            <w:tcW w:w="1030" w:type="dxa"/>
            <w:vAlign w:val="center"/>
          </w:tcPr>
          <w:p w14:paraId="45253608" w14:textId="12221720" w:rsidR="00CE64D8" w:rsidRPr="001C0B17" w:rsidRDefault="00035DA4" w:rsidP="00CE64D8">
            <w:pPr>
              <w:jc w:val="right"/>
              <w:rPr>
                <w:rFonts w:ascii="Arial" w:hAnsi="Arial" w:cs="Arial"/>
                <w:iCs/>
                <w:sz w:val="20"/>
                <w:szCs w:val="20"/>
                <w:highlight w:val="yellow"/>
                <w:lang w:eastAsia="en-GB"/>
              </w:rPr>
            </w:pPr>
            <w:r>
              <w:rPr>
                <w:rFonts w:ascii="Arial" w:hAnsi="Arial" w:cs="Arial"/>
                <w:color w:val="000000"/>
                <w:sz w:val="22"/>
                <w:szCs w:val="22"/>
              </w:rPr>
              <w:t>448</w:t>
            </w:r>
          </w:p>
        </w:tc>
      </w:tr>
      <w:tr w:rsidR="00CE64D8" w:rsidRPr="001C0B17" w14:paraId="51181B51" w14:textId="77777777" w:rsidTr="00222000">
        <w:trPr>
          <w:trHeight w:val="315"/>
        </w:trPr>
        <w:tc>
          <w:tcPr>
            <w:tcW w:w="3397" w:type="dxa"/>
          </w:tcPr>
          <w:p w14:paraId="76F33710" w14:textId="385CAAC1" w:rsidR="00CE64D8" w:rsidRPr="001C0B17" w:rsidRDefault="00993340" w:rsidP="00CE64D8">
            <w:pPr>
              <w:rPr>
                <w:rFonts w:ascii="Arial" w:hAnsi="Arial" w:cs="Arial"/>
                <w:sz w:val="20"/>
                <w:szCs w:val="20"/>
                <w:highlight w:val="yellow"/>
                <w:lang w:eastAsia="en-GB"/>
              </w:rPr>
            </w:pPr>
            <w:r>
              <w:rPr>
                <w:rFonts w:ascii="Arial" w:hAnsi="Arial" w:cs="Arial"/>
                <w:color w:val="000000"/>
                <w:sz w:val="22"/>
                <w:szCs w:val="22"/>
              </w:rPr>
              <w:t>Grants rolled in to Revenue Support Grant</w:t>
            </w:r>
          </w:p>
        </w:tc>
        <w:tc>
          <w:tcPr>
            <w:tcW w:w="1129" w:type="dxa"/>
            <w:vAlign w:val="center"/>
          </w:tcPr>
          <w:p w14:paraId="6B944FDB" w14:textId="2592CC87"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444</w:t>
            </w:r>
          </w:p>
        </w:tc>
        <w:tc>
          <w:tcPr>
            <w:tcW w:w="1139" w:type="dxa"/>
            <w:vAlign w:val="center"/>
          </w:tcPr>
          <w:p w14:paraId="33C865E4" w14:textId="7AB02D1B"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543</w:t>
            </w:r>
          </w:p>
        </w:tc>
        <w:tc>
          <w:tcPr>
            <w:tcW w:w="1134" w:type="dxa"/>
            <w:vAlign w:val="center"/>
          </w:tcPr>
          <w:p w14:paraId="29F9B3DF" w14:textId="40892119"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0</w:t>
            </w:r>
          </w:p>
        </w:tc>
        <w:tc>
          <w:tcPr>
            <w:tcW w:w="1134" w:type="dxa"/>
            <w:vAlign w:val="center"/>
          </w:tcPr>
          <w:p w14:paraId="6B7635E5" w14:textId="707E7D01" w:rsidR="00CE64D8" w:rsidRPr="001C0B17" w:rsidRDefault="00CE64D8" w:rsidP="00CE64D8">
            <w:pPr>
              <w:jc w:val="right"/>
              <w:rPr>
                <w:rFonts w:ascii="Arial" w:hAnsi="Arial" w:cs="Arial"/>
                <w:sz w:val="20"/>
                <w:szCs w:val="20"/>
                <w:highlight w:val="yellow"/>
                <w:lang w:eastAsia="en-GB"/>
              </w:rPr>
            </w:pPr>
            <w:r>
              <w:rPr>
                <w:rFonts w:ascii="Arial" w:hAnsi="Arial" w:cs="Arial"/>
                <w:color w:val="000000"/>
                <w:sz w:val="22"/>
                <w:szCs w:val="22"/>
              </w:rPr>
              <w:t>0</w:t>
            </w:r>
          </w:p>
        </w:tc>
        <w:tc>
          <w:tcPr>
            <w:tcW w:w="1030" w:type="dxa"/>
            <w:vAlign w:val="center"/>
          </w:tcPr>
          <w:p w14:paraId="30FE81C3" w14:textId="4A122B32" w:rsidR="00CE64D8" w:rsidRPr="001C0B17" w:rsidRDefault="00CE64D8" w:rsidP="00CE64D8">
            <w:pPr>
              <w:jc w:val="right"/>
              <w:rPr>
                <w:rFonts w:ascii="Arial" w:hAnsi="Arial" w:cs="Arial"/>
                <w:iCs/>
                <w:sz w:val="20"/>
                <w:szCs w:val="20"/>
                <w:highlight w:val="yellow"/>
                <w:lang w:eastAsia="en-GB"/>
              </w:rPr>
            </w:pPr>
            <w:r>
              <w:rPr>
                <w:rFonts w:ascii="Arial" w:hAnsi="Arial" w:cs="Arial"/>
                <w:color w:val="000000"/>
                <w:sz w:val="22"/>
                <w:szCs w:val="22"/>
              </w:rPr>
              <w:t>0</w:t>
            </w:r>
          </w:p>
        </w:tc>
      </w:tr>
      <w:tr w:rsidR="00CE64D8" w:rsidRPr="001C0B17" w14:paraId="4C8D42FB" w14:textId="77777777" w:rsidTr="00222000">
        <w:trPr>
          <w:trHeight w:val="330"/>
        </w:trPr>
        <w:tc>
          <w:tcPr>
            <w:tcW w:w="3397" w:type="dxa"/>
            <w:vAlign w:val="bottom"/>
          </w:tcPr>
          <w:p w14:paraId="710FFB7A" w14:textId="23640A3D" w:rsidR="00CE64D8" w:rsidRPr="001C0B17" w:rsidRDefault="00993340" w:rsidP="00CE64D8">
            <w:pPr>
              <w:rPr>
                <w:rFonts w:ascii="Arial" w:hAnsi="Arial" w:cs="Arial"/>
                <w:sz w:val="20"/>
                <w:szCs w:val="20"/>
                <w:highlight w:val="yellow"/>
                <w:lang w:eastAsia="en-GB"/>
              </w:rPr>
            </w:pPr>
            <w:r>
              <w:rPr>
                <w:rFonts w:ascii="Arial" w:hAnsi="Arial" w:cs="Arial"/>
                <w:color w:val="000000"/>
                <w:sz w:val="22"/>
                <w:szCs w:val="22"/>
              </w:rPr>
              <w:t>Recovery</w:t>
            </w:r>
            <w:r w:rsidR="00CE64D8">
              <w:rPr>
                <w:rFonts w:ascii="Arial" w:hAnsi="Arial" w:cs="Arial"/>
                <w:color w:val="000000"/>
                <w:sz w:val="22"/>
                <w:szCs w:val="22"/>
              </w:rPr>
              <w:t xml:space="preserve"> Grant</w:t>
            </w:r>
            <w:r>
              <w:rPr>
                <w:rFonts w:ascii="Arial" w:hAnsi="Arial" w:cs="Arial"/>
                <w:color w:val="000000"/>
                <w:sz w:val="22"/>
                <w:szCs w:val="22"/>
              </w:rPr>
              <w:t xml:space="preserve"> </w:t>
            </w:r>
            <w:r w:rsidR="00027DA3">
              <w:rPr>
                <w:rFonts w:ascii="Arial" w:hAnsi="Arial" w:cs="Arial"/>
                <w:color w:val="000000"/>
                <w:sz w:val="22"/>
                <w:szCs w:val="22"/>
              </w:rPr>
              <w:t>Allocation</w:t>
            </w:r>
          </w:p>
        </w:tc>
        <w:tc>
          <w:tcPr>
            <w:tcW w:w="1129" w:type="dxa"/>
            <w:vAlign w:val="center"/>
          </w:tcPr>
          <w:p w14:paraId="0D2F6A1D" w14:textId="0CC5C0CB"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0</w:t>
            </w:r>
          </w:p>
        </w:tc>
        <w:tc>
          <w:tcPr>
            <w:tcW w:w="1139" w:type="dxa"/>
            <w:vAlign w:val="center"/>
          </w:tcPr>
          <w:p w14:paraId="6F069880" w14:textId="5E831570" w:rsidR="00CE64D8" w:rsidRPr="001C0B17" w:rsidRDefault="00993340" w:rsidP="00CE64D8">
            <w:pPr>
              <w:jc w:val="right"/>
              <w:rPr>
                <w:rFonts w:ascii="Arial" w:hAnsi="Arial" w:cs="Arial"/>
                <w:sz w:val="20"/>
                <w:szCs w:val="20"/>
                <w:highlight w:val="yellow"/>
                <w:lang w:eastAsia="en-GB"/>
              </w:rPr>
            </w:pPr>
            <w:r>
              <w:rPr>
                <w:rFonts w:ascii="Arial" w:hAnsi="Arial" w:cs="Arial"/>
                <w:color w:val="000000"/>
                <w:sz w:val="22"/>
                <w:szCs w:val="22"/>
              </w:rPr>
              <w:t>600</w:t>
            </w:r>
          </w:p>
        </w:tc>
        <w:tc>
          <w:tcPr>
            <w:tcW w:w="1134" w:type="dxa"/>
            <w:vAlign w:val="center"/>
          </w:tcPr>
          <w:p w14:paraId="6B1548A7" w14:textId="77344F60" w:rsidR="00CE64D8" w:rsidRPr="001C0B17" w:rsidRDefault="00027DA3" w:rsidP="00CE64D8">
            <w:pPr>
              <w:jc w:val="right"/>
              <w:rPr>
                <w:rFonts w:ascii="Arial" w:hAnsi="Arial" w:cs="Arial"/>
                <w:sz w:val="20"/>
                <w:szCs w:val="20"/>
                <w:highlight w:val="yellow"/>
                <w:lang w:eastAsia="en-GB"/>
              </w:rPr>
            </w:pPr>
            <w:r>
              <w:rPr>
                <w:rFonts w:ascii="Arial" w:hAnsi="Arial" w:cs="Arial"/>
                <w:color w:val="000000"/>
                <w:sz w:val="22"/>
                <w:szCs w:val="22"/>
              </w:rPr>
              <w:t>864</w:t>
            </w:r>
          </w:p>
        </w:tc>
        <w:tc>
          <w:tcPr>
            <w:tcW w:w="1134" w:type="dxa"/>
            <w:vAlign w:val="center"/>
          </w:tcPr>
          <w:p w14:paraId="2A912D13" w14:textId="5CDD6956" w:rsidR="00CE64D8" w:rsidRPr="001C0B17" w:rsidRDefault="00027DA3" w:rsidP="00CE64D8">
            <w:pPr>
              <w:jc w:val="right"/>
              <w:rPr>
                <w:rFonts w:ascii="Arial" w:hAnsi="Arial" w:cs="Arial"/>
                <w:sz w:val="20"/>
                <w:szCs w:val="20"/>
                <w:highlight w:val="yellow"/>
                <w:lang w:eastAsia="en-GB"/>
              </w:rPr>
            </w:pPr>
            <w:r>
              <w:rPr>
                <w:rFonts w:ascii="Arial" w:hAnsi="Arial" w:cs="Arial"/>
                <w:color w:val="000000"/>
                <w:sz w:val="22"/>
                <w:szCs w:val="22"/>
              </w:rPr>
              <w:t>864</w:t>
            </w:r>
          </w:p>
        </w:tc>
        <w:tc>
          <w:tcPr>
            <w:tcW w:w="1030" w:type="dxa"/>
            <w:vAlign w:val="center"/>
          </w:tcPr>
          <w:p w14:paraId="1E7AF5DD" w14:textId="1235C95A" w:rsidR="00CE64D8" w:rsidRPr="001C0B17" w:rsidRDefault="00027DA3" w:rsidP="00CE64D8">
            <w:pPr>
              <w:jc w:val="right"/>
              <w:rPr>
                <w:rFonts w:ascii="Arial" w:hAnsi="Arial" w:cs="Arial"/>
                <w:bCs/>
                <w:sz w:val="20"/>
                <w:szCs w:val="20"/>
                <w:highlight w:val="yellow"/>
                <w:lang w:eastAsia="en-GB"/>
              </w:rPr>
            </w:pPr>
            <w:r>
              <w:rPr>
                <w:rFonts w:ascii="Arial" w:hAnsi="Arial" w:cs="Arial"/>
                <w:color w:val="000000"/>
                <w:sz w:val="22"/>
                <w:szCs w:val="22"/>
              </w:rPr>
              <w:t>875</w:t>
            </w:r>
          </w:p>
        </w:tc>
      </w:tr>
      <w:tr w:rsidR="009C1DAA" w:rsidRPr="001C0B17" w14:paraId="6C2316D7" w14:textId="77777777" w:rsidTr="00222000">
        <w:trPr>
          <w:trHeight w:val="330"/>
        </w:trPr>
        <w:tc>
          <w:tcPr>
            <w:tcW w:w="3397" w:type="dxa"/>
            <w:vAlign w:val="bottom"/>
          </w:tcPr>
          <w:p w14:paraId="6FC60C6F" w14:textId="6490A7CA" w:rsidR="009C1DAA" w:rsidRDefault="009C1DAA" w:rsidP="00CE64D8">
            <w:pPr>
              <w:rPr>
                <w:rFonts w:ascii="Arial" w:hAnsi="Arial" w:cs="Arial"/>
                <w:color w:val="000000"/>
                <w:sz w:val="22"/>
                <w:szCs w:val="22"/>
              </w:rPr>
            </w:pPr>
            <w:r>
              <w:rPr>
                <w:rFonts w:ascii="Arial" w:hAnsi="Arial" w:cs="Arial"/>
                <w:color w:val="000000"/>
                <w:sz w:val="22"/>
                <w:szCs w:val="22"/>
              </w:rPr>
              <w:t>Adjustment Support Grant</w:t>
            </w:r>
          </w:p>
        </w:tc>
        <w:tc>
          <w:tcPr>
            <w:tcW w:w="1129" w:type="dxa"/>
            <w:vAlign w:val="center"/>
          </w:tcPr>
          <w:p w14:paraId="1BD7EB6C" w14:textId="1C81DBE8" w:rsidR="009C1DAA" w:rsidRDefault="009C1DAA" w:rsidP="00CE64D8">
            <w:pPr>
              <w:jc w:val="right"/>
              <w:rPr>
                <w:rFonts w:ascii="Arial" w:hAnsi="Arial" w:cs="Arial"/>
                <w:color w:val="000000"/>
                <w:sz w:val="22"/>
                <w:szCs w:val="22"/>
              </w:rPr>
            </w:pPr>
            <w:r>
              <w:rPr>
                <w:rFonts w:ascii="Arial" w:hAnsi="Arial" w:cs="Arial"/>
                <w:color w:val="000000"/>
                <w:sz w:val="22"/>
                <w:szCs w:val="22"/>
              </w:rPr>
              <w:t>0</w:t>
            </w:r>
          </w:p>
        </w:tc>
        <w:tc>
          <w:tcPr>
            <w:tcW w:w="1139" w:type="dxa"/>
            <w:vAlign w:val="center"/>
          </w:tcPr>
          <w:p w14:paraId="456F53B1" w14:textId="3CDE1FDC" w:rsidR="009C1DAA" w:rsidRDefault="009C1DAA" w:rsidP="00CE64D8">
            <w:pPr>
              <w:jc w:val="right"/>
              <w:rPr>
                <w:rFonts w:ascii="Arial" w:hAnsi="Arial" w:cs="Arial"/>
                <w:color w:val="000000"/>
                <w:sz w:val="22"/>
                <w:szCs w:val="22"/>
              </w:rPr>
            </w:pPr>
            <w:r>
              <w:rPr>
                <w:rFonts w:ascii="Arial" w:hAnsi="Arial" w:cs="Arial"/>
                <w:color w:val="000000"/>
                <w:sz w:val="22"/>
                <w:szCs w:val="22"/>
              </w:rPr>
              <w:t>0</w:t>
            </w:r>
          </w:p>
        </w:tc>
        <w:tc>
          <w:tcPr>
            <w:tcW w:w="1134" w:type="dxa"/>
            <w:vAlign w:val="center"/>
          </w:tcPr>
          <w:p w14:paraId="5AEA95C0" w14:textId="768DE150" w:rsidR="009C1DAA" w:rsidRDefault="009C1DAA" w:rsidP="00CE64D8">
            <w:pPr>
              <w:jc w:val="right"/>
              <w:rPr>
                <w:rFonts w:ascii="Arial" w:hAnsi="Arial" w:cs="Arial"/>
                <w:color w:val="000000"/>
                <w:sz w:val="22"/>
                <w:szCs w:val="22"/>
              </w:rPr>
            </w:pPr>
            <w:r>
              <w:rPr>
                <w:rFonts w:ascii="Arial" w:hAnsi="Arial" w:cs="Arial"/>
                <w:color w:val="000000"/>
                <w:sz w:val="22"/>
                <w:szCs w:val="22"/>
              </w:rPr>
              <w:t>116</w:t>
            </w:r>
          </w:p>
        </w:tc>
        <w:tc>
          <w:tcPr>
            <w:tcW w:w="1134" w:type="dxa"/>
            <w:vAlign w:val="center"/>
          </w:tcPr>
          <w:p w14:paraId="747FC887" w14:textId="3C09B5B2" w:rsidR="009C1DAA" w:rsidRDefault="009C1DAA" w:rsidP="00CE64D8">
            <w:pPr>
              <w:jc w:val="right"/>
              <w:rPr>
                <w:rFonts w:ascii="Arial" w:hAnsi="Arial" w:cs="Arial"/>
                <w:color w:val="000000"/>
                <w:sz w:val="22"/>
                <w:szCs w:val="22"/>
              </w:rPr>
            </w:pPr>
            <w:r>
              <w:rPr>
                <w:rFonts w:ascii="Arial" w:hAnsi="Arial" w:cs="Arial"/>
                <w:color w:val="000000"/>
                <w:sz w:val="22"/>
                <w:szCs w:val="22"/>
              </w:rPr>
              <w:t>0</w:t>
            </w:r>
          </w:p>
        </w:tc>
        <w:tc>
          <w:tcPr>
            <w:tcW w:w="1030" w:type="dxa"/>
            <w:vAlign w:val="center"/>
          </w:tcPr>
          <w:p w14:paraId="653CE4D1" w14:textId="5B8C3C6A" w:rsidR="009C1DAA" w:rsidRDefault="009C1DAA" w:rsidP="00CE64D8">
            <w:pPr>
              <w:jc w:val="right"/>
              <w:rPr>
                <w:rFonts w:ascii="Arial" w:hAnsi="Arial" w:cs="Arial"/>
                <w:color w:val="000000"/>
                <w:sz w:val="22"/>
                <w:szCs w:val="22"/>
              </w:rPr>
            </w:pPr>
            <w:r>
              <w:rPr>
                <w:rFonts w:ascii="Arial" w:hAnsi="Arial" w:cs="Arial"/>
                <w:color w:val="000000"/>
                <w:sz w:val="22"/>
                <w:szCs w:val="22"/>
              </w:rPr>
              <w:t>0</w:t>
            </w:r>
          </w:p>
        </w:tc>
      </w:tr>
      <w:tr w:rsidR="00CE64D8" w:rsidRPr="001C0B17" w14:paraId="49749632" w14:textId="77777777" w:rsidTr="00222000">
        <w:trPr>
          <w:trHeight w:val="330"/>
        </w:trPr>
        <w:tc>
          <w:tcPr>
            <w:tcW w:w="3397" w:type="dxa"/>
          </w:tcPr>
          <w:p w14:paraId="6225F06E" w14:textId="163F3795" w:rsidR="00CE64D8" w:rsidRPr="001C0B17" w:rsidRDefault="00993340" w:rsidP="00CE64D8">
            <w:pPr>
              <w:rPr>
                <w:rFonts w:ascii="Arial" w:hAnsi="Arial" w:cs="Arial"/>
                <w:sz w:val="20"/>
                <w:szCs w:val="20"/>
                <w:highlight w:val="yellow"/>
                <w:lang w:eastAsia="en-GB"/>
              </w:rPr>
            </w:pPr>
            <w:r>
              <w:rPr>
                <w:rFonts w:ascii="Arial" w:hAnsi="Arial" w:cs="Arial"/>
                <w:color w:val="000000"/>
                <w:sz w:val="22"/>
                <w:szCs w:val="22"/>
              </w:rPr>
              <w:t>Mayoral Capacity Fund</w:t>
            </w:r>
          </w:p>
        </w:tc>
        <w:tc>
          <w:tcPr>
            <w:tcW w:w="1129" w:type="dxa"/>
            <w:vAlign w:val="center"/>
          </w:tcPr>
          <w:p w14:paraId="648593BC" w14:textId="4DA7E26D" w:rsidR="00CE64D8" w:rsidRPr="001C0B17" w:rsidRDefault="001E6966" w:rsidP="00CE64D8">
            <w:pPr>
              <w:jc w:val="right"/>
              <w:rPr>
                <w:rFonts w:ascii="Arial" w:hAnsi="Arial" w:cs="Arial"/>
                <w:sz w:val="20"/>
                <w:szCs w:val="20"/>
                <w:highlight w:val="yellow"/>
                <w:lang w:eastAsia="en-GB"/>
              </w:rPr>
            </w:pPr>
            <w:r>
              <w:rPr>
                <w:rFonts w:ascii="Arial" w:hAnsi="Arial" w:cs="Arial"/>
                <w:color w:val="000000"/>
                <w:sz w:val="22"/>
                <w:szCs w:val="22"/>
              </w:rPr>
              <w:t>13</w:t>
            </w:r>
          </w:p>
        </w:tc>
        <w:tc>
          <w:tcPr>
            <w:tcW w:w="1139" w:type="dxa"/>
            <w:vAlign w:val="center"/>
          </w:tcPr>
          <w:p w14:paraId="73818316" w14:textId="1CE9D8EF" w:rsidR="00CE64D8" w:rsidRPr="001C0B17" w:rsidRDefault="001E6966" w:rsidP="00CE64D8">
            <w:pPr>
              <w:jc w:val="right"/>
              <w:rPr>
                <w:rFonts w:ascii="Arial" w:hAnsi="Arial" w:cs="Arial"/>
                <w:sz w:val="20"/>
                <w:szCs w:val="20"/>
                <w:highlight w:val="yellow"/>
                <w:lang w:eastAsia="en-GB"/>
              </w:rPr>
            </w:pPr>
            <w:r>
              <w:rPr>
                <w:rFonts w:ascii="Arial" w:hAnsi="Arial" w:cs="Arial"/>
                <w:color w:val="000000"/>
                <w:sz w:val="22"/>
                <w:szCs w:val="22"/>
              </w:rPr>
              <w:t>34</w:t>
            </w:r>
          </w:p>
        </w:tc>
        <w:tc>
          <w:tcPr>
            <w:tcW w:w="1134" w:type="dxa"/>
            <w:vAlign w:val="center"/>
          </w:tcPr>
          <w:p w14:paraId="4A8EE37E" w14:textId="224C3548" w:rsidR="00CE64D8" w:rsidRPr="001C0B17" w:rsidRDefault="009C1DAA" w:rsidP="00CE64D8">
            <w:pPr>
              <w:jc w:val="right"/>
              <w:rPr>
                <w:rFonts w:ascii="Arial" w:hAnsi="Arial" w:cs="Arial"/>
                <w:sz w:val="20"/>
                <w:szCs w:val="20"/>
                <w:highlight w:val="yellow"/>
                <w:lang w:eastAsia="en-GB"/>
              </w:rPr>
            </w:pPr>
            <w:r>
              <w:rPr>
                <w:rFonts w:ascii="Arial" w:hAnsi="Arial" w:cs="Arial"/>
                <w:color w:val="000000"/>
                <w:sz w:val="22"/>
                <w:szCs w:val="22"/>
              </w:rPr>
              <w:t>45</w:t>
            </w:r>
          </w:p>
        </w:tc>
        <w:tc>
          <w:tcPr>
            <w:tcW w:w="1134" w:type="dxa"/>
            <w:vAlign w:val="center"/>
          </w:tcPr>
          <w:p w14:paraId="66BA4664" w14:textId="42BCBA7A" w:rsidR="00CE64D8" w:rsidRPr="001C0B17" w:rsidRDefault="009C1DAA" w:rsidP="00CE64D8">
            <w:pPr>
              <w:jc w:val="right"/>
              <w:rPr>
                <w:rFonts w:ascii="Arial" w:hAnsi="Arial" w:cs="Arial"/>
                <w:sz w:val="20"/>
                <w:szCs w:val="20"/>
                <w:highlight w:val="yellow"/>
                <w:lang w:eastAsia="en-GB"/>
              </w:rPr>
            </w:pPr>
            <w:r>
              <w:rPr>
                <w:rFonts w:ascii="Arial" w:hAnsi="Arial" w:cs="Arial"/>
                <w:color w:val="000000"/>
                <w:sz w:val="22"/>
                <w:szCs w:val="22"/>
              </w:rPr>
              <w:t>45</w:t>
            </w:r>
          </w:p>
        </w:tc>
        <w:tc>
          <w:tcPr>
            <w:tcW w:w="1030" w:type="dxa"/>
            <w:vAlign w:val="center"/>
          </w:tcPr>
          <w:p w14:paraId="132B6091" w14:textId="4D31A90A" w:rsidR="00CE64D8" w:rsidRPr="001C0B17" w:rsidRDefault="009C1DAA" w:rsidP="00CE64D8">
            <w:pPr>
              <w:jc w:val="right"/>
              <w:rPr>
                <w:rFonts w:ascii="Arial" w:hAnsi="Arial" w:cs="Arial"/>
                <w:bCs/>
                <w:sz w:val="20"/>
                <w:szCs w:val="20"/>
                <w:highlight w:val="yellow"/>
                <w:lang w:eastAsia="en-GB"/>
              </w:rPr>
            </w:pPr>
            <w:r>
              <w:rPr>
                <w:rFonts w:ascii="Arial" w:hAnsi="Arial" w:cs="Arial"/>
                <w:color w:val="000000"/>
                <w:sz w:val="22"/>
                <w:szCs w:val="22"/>
              </w:rPr>
              <w:t>48</w:t>
            </w:r>
          </w:p>
        </w:tc>
      </w:tr>
      <w:tr w:rsidR="00CE64D8" w:rsidRPr="001C0B17" w14:paraId="54F3FE3C" w14:textId="77777777" w:rsidTr="00222000">
        <w:trPr>
          <w:trHeight w:val="330"/>
        </w:trPr>
        <w:tc>
          <w:tcPr>
            <w:tcW w:w="3397" w:type="dxa"/>
            <w:vAlign w:val="center"/>
            <w:hideMark/>
          </w:tcPr>
          <w:p w14:paraId="34A278AA" w14:textId="77777777" w:rsidR="00CE64D8" w:rsidRPr="00AF0846" w:rsidRDefault="00CE64D8" w:rsidP="00CE64D8">
            <w:pPr>
              <w:rPr>
                <w:rFonts w:ascii="Arial" w:hAnsi="Arial" w:cs="Arial"/>
                <w:b/>
                <w:sz w:val="22"/>
                <w:szCs w:val="22"/>
                <w:lang w:eastAsia="en-GB"/>
              </w:rPr>
            </w:pPr>
            <w:r w:rsidRPr="00AF0846">
              <w:rPr>
                <w:rFonts w:ascii="Arial" w:hAnsi="Arial" w:cs="Arial"/>
                <w:b/>
                <w:sz w:val="22"/>
                <w:szCs w:val="22"/>
                <w:lang w:eastAsia="en-GB"/>
              </w:rPr>
              <w:t xml:space="preserve">Core Spending Power </w:t>
            </w:r>
          </w:p>
        </w:tc>
        <w:tc>
          <w:tcPr>
            <w:tcW w:w="1129" w:type="dxa"/>
            <w:vAlign w:val="center"/>
          </w:tcPr>
          <w:p w14:paraId="57FBD9EA" w14:textId="586A0B82" w:rsidR="00CE64D8" w:rsidRPr="00247C1B" w:rsidRDefault="00801077" w:rsidP="00CE64D8">
            <w:pPr>
              <w:jc w:val="right"/>
              <w:rPr>
                <w:rFonts w:ascii="Arial" w:hAnsi="Arial" w:cs="Arial"/>
                <w:b/>
                <w:sz w:val="22"/>
                <w:szCs w:val="22"/>
                <w:lang w:eastAsia="en-GB"/>
              </w:rPr>
            </w:pPr>
            <w:r w:rsidRPr="00247C1B">
              <w:rPr>
                <w:rFonts w:ascii="Arial" w:hAnsi="Arial" w:cs="Arial"/>
                <w:b/>
                <w:sz w:val="22"/>
                <w:szCs w:val="22"/>
                <w:lang w:eastAsia="en-GB"/>
              </w:rPr>
              <w:t>6</w:t>
            </w:r>
            <w:r w:rsidR="0036101D" w:rsidRPr="00247C1B">
              <w:rPr>
                <w:rFonts w:ascii="Arial" w:hAnsi="Arial" w:cs="Arial"/>
                <w:b/>
                <w:sz w:val="22"/>
                <w:szCs w:val="22"/>
                <w:lang w:eastAsia="en-GB"/>
              </w:rPr>
              <w:t>8</w:t>
            </w:r>
            <w:r w:rsidRPr="00247C1B">
              <w:rPr>
                <w:rFonts w:ascii="Arial" w:hAnsi="Arial" w:cs="Arial"/>
                <w:b/>
                <w:sz w:val="22"/>
                <w:szCs w:val="22"/>
                <w:lang w:eastAsia="en-GB"/>
              </w:rPr>
              <w:t>,</w:t>
            </w:r>
            <w:r w:rsidR="0061738C">
              <w:rPr>
                <w:rFonts w:ascii="Arial" w:hAnsi="Arial" w:cs="Arial"/>
                <w:b/>
                <w:sz w:val="22"/>
                <w:szCs w:val="22"/>
                <w:lang w:eastAsia="en-GB"/>
              </w:rPr>
              <w:t>345</w:t>
            </w:r>
          </w:p>
        </w:tc>
        <w:tc>
          <w:tcPr>
            <w:tcW w:w="1139" w:type="dxa"/>
            <w:vAlign w:val="center"/>
          </w:tcPr>
          <w:p w14:paraId="73E3BCC6" w14:textId="2C04AAE7" w:rsidR="00CE64D8" w:rsidRPr="00247C1B" w:rsidRDefault="00E57B87" w:rsidP="00CE64D8">
            <w:pPr>
              <w:jc w:val="right"/>
              <w:rPr>
                <w:rFonts w:ascii="Arial" w:hAnsi="Arial" w:cs="Arial"/>
                <w:b/>
                <w:sz w:val="22"/>
                <w:szCs w:val="22"/>
                <w:lang w:eastAsia="en-GB"/>
              </w:rPr>
            </w:pPr>
            <w:r w:rsidRPr="00247C1B">
              <w:rPr>
                <w:rFonts w:ascii="Arial" w:hAnsi="Arial" w:cs="Arial"/>
                <w:b/>
                <w:sz w:val="22"/>
                <w:szCs w:val="22"/>
                <w:lang w:eastAsia="en-GB"/>
              </w:rPr>
              <w:t>73,52</w:t>
            </w:r>
            <w:r w:rsidR="0061738C">
              <w:rPr>
                <w:rFonts w:ascii="Arial" w:hAnsi="Arial" w:cs="Arial"/>
                <w:b/>
                <w:sz w:val="22"/>
                <w:szCs w:val="22"/>
                <w:lang w:eastAsia="en-GB"/>
              </w:rPr>
              <w:t>3</w:t>
            </w:r>
          </w:p>
        </w:tc>
        <w:tc>
          <w:tcPr>
            <w:tcW w:w="1134" w:type="dxa"/>
            <w:vAlign w:val="center"/>
          </w:tcPr>
          <w:p w14:paraId="02CDDECF" w14:textId="6B277099" w:rsidR="00CE64D8" w:rsidRPr="00247C1B" w:rsidRDefault="00E57B87" w:rsidP="00CE64D8">
            <w:pPr>
              <w:jc w:val="right"/>
              <w:rPr>
                <w:rFonts w:ascii="Arial" w:hAnsi="Arial" w:cs="Arial"/>
                <w:b/>
                <w:sz w:val="22"/>
                <w:szCs w:val="22"/>
                <w:lang w:eastAsia="en-GB"/>
              </w:rPr>
            </w:pPr>
            <w:r w:rsidRPr="00247C1B">
              <w:rPr>
                <w:rFonts w:ascii="Arial" w:hAnsi="Arial" w:cs="Arial"/>
                <w:b/>
                <w:sz w:val="22"/>
                <w:szCs w:val="22"/>
                <w:lang w:eastAsia="en-GB"/>
              </w:rPr>
              <w:t>7</w:t>
            </w:r>
            <w:r w:rsidR="0061738C">
              <w:rPr>
                <w:rFonts w:ascii="Arial" w:hAnsi="Arial" w:cs="Arial"/>
                <w:b/>
                <w:sz w:val="22"/>
                <w:szCs w:val="22"/>
                <w:lang w:eastAsia="en-GB"/>
              </w:rPr>
              <w:t>8,038</w:t>
            </w:r>
          </w:p>
        </w:tc>
        <w:tc>
          <w:tcPr>
            <w:tcW w:w="1134" w:type="dxa"/>
            <w:vAlign w:val="center"/>
          </w:tcPr>
          <w:p w14:paraId="2EE96DD0" w14:textId="7A372F7A" w:rsidR="00CE64D8" w:rsidRPr="00247C1B" w:rsidRDefault="00E57B87" w:rsidP="00CE64D8">
            <w:pPr>
              <w:jc w:val="right"/>
              <w:rPr>
                <w:rFonts w:ascii="Arial" w:hAnsi="Arial" w:cs="Arial"/>
                <w:b/>
                <w:sz w:val="22"/>
                <w:szCs w:val="22"/>
                <w:lang w:eastAsia="en-GB"/>
              </w:rPr>
            </w:pPr>
            <w:r w:rsidRPr="00247C1B">
              <w:rPr>
                <w:rFonts w:ascii="Arial" w:hAnsi="Arial" w:cs="Arial"/>
                <w:b/>
                <w:sz w:val="22"/>
                <w:szCs w:val="22"/>
                <w:lang w:eastAsia="en-GB"/>
              </w:rPr>
              <w:t>81,</w:t>
            </w:r>
            <w:r w:rsidR="0061738C">
              <w:rPr>
                <w:rFonts w:ascii="Arial" w:hAnsi="Arial" w:cs="Arial"/>
                <w:b/>
                <w:sz w:val="22"/>
                <w:szCs w:val="22"/>
                <w:lang w:eastAsia="en-GB"/>
              </w:rPr>
              <w:t>360</w:t>
            </w:r>
          </w:p>
        </w:tc>
        <w:tc>
          <w:tcPr>
            <w:tcW w:w="1030" w:type="dxa"/>
            <w:vAlign w:val="center"/>
          </w:tcPr>
          <w:p w14:paraId="4C268A66" w14:textId="2F616D17" w:rsidR="00CE64D8" w:rsidRPr="00247C1B" w:rsidRDefault="00C14EB2" w:rsidP="00CE64D8">
            <w:pPr>
              <w:jc w:val="right"/>
              <w:rPr>
                <w:rFonts w:ascii="Arial" w:hAnsi="Arial" w:cs="Arial"/>
                <w:b/>
                <w:sz w:val="22"/>
                <w:szCs w:val="22"/>
                <w:lang w:eastAsia="en-GB"/>
              </w:rPr>
            </w:pPr>
            <w:r>
              <w:rPr>
                <w:rFonts w:ascii="Arial" w:hAnsi="Arial" w:cs="Arial"/>
                <w:b/>
                <w:bCs/>
                <w:sz w:val="22"/>
                <w:szCs w:val="22"/>
                <w:lang w:eastAsia="en-GB"/>
              </w:rPr>
              <w:t>84,</w:t>
            </w:r>
            <w:r w:rsidR="0061738C">
              <w:rPr>
                <w:rFonts w:ascii="Arial" w:hAnsi="Arial" w:cs="Arial"/>
                <w:b/>
                <w:bCs/>
                <w:sz w:val="22"/>
                <w:szCs w:val="22"/>
                <w:lang w:eastAsia="en-GB"/>
              </w:rPr>
              <w:t>933</w:t>
            </w:r>
          </w:p>
        </w:tc>
      </w:tr>
      <w:tr w:rsidR="00CE64D8" w:rsidRPr="001C0B17" w14:paraId="58161651" w14:textId="77777777" w:rsidTr="00222000">
        <w:trPr>
          <w:trHeight w:val="330"/>
        </w:trPr>
        <w:tc>
          <w:tcPr>
            <w:tcW w:w="3397" w:type="dxa"/>
            <w:vAlign w:val="center"/>
          </w:tcPr>
          <w:p w14:paraId="2F6D21FC" w14:textId="77777777" w:rsidR="00CE64D8" w:rsidRPr="00AF0846" w:rsidRDefault="00CE64D8" w:rsidP="00CE64D8">
            <w:pPr>
              <w:rPr>
                <w:rFonts w:ascii="Arial" w:hAnsi="Arial" w:cs="Arial"/>
                <w:b/>
                <w:sz w:val="22"/>
                <w:szCs w:val="22"/>
                <w:lang w:eastAsia="en-GB"/>
              </w:rPr>
            </w:pPr>
            <w:r w:rsidRPr="00AF0846">
              <w:rPr>
                <w:rFonts w:ascii="Arial" w:hAnsi="Arial" w:cs="Arial"/>
                <w:b/>
                <w:sz w:val="22"/>
                <w:szCs w:val="22"/>
                <w:lang w:eastAsia="en-GB"/>
              </w:rPr>
              <w:t>Change %</w:t>
            </w:r>
          </w:p>
        </w:tc>
        <w:tc>
          <w:tcPr>
            <w:tcW w:w="1129" w:type="dxa"/>
            <w:vAlign w:val="center"/>
          </w:tcPr>
          <w:p w14:paraId="08BD8064" w14:textId="304DC40A" w:rsidR="00CE64D8" w:rsidRPr="00247C1B" w:rsidRDefault="00CE64D8" w:rsidP="00CE64D8">
            <w:pPr>
              <w:jc w:val="right"/>
              <w:rPr>
                <w:rFonts w:ascii="Arial" w:hAnsi="Arial" w:cs="Arial"/>
                <w:b/>
                <w:sz w:val="22"/>
                <w:szCs w:val="22"/>
              </w:rPr>
            </w:pPr>
          </w:p>
        </w:tc>
        <w:tc>
          <w:tcPr>
            <w:tcW w:w="1139" w:type="dxa"/>
            <w:vAlign w:val="center"/>
          </w:tcPr>
          <w:p w14:paraId="68F32683" w14:textId="21392FB7" w:rsidR="00CE64D8" w:rsidRPr="00247C1B" w:rsidRDefault="00CE64D8" w:rsidP="00CE64D8">
            <w:pPr>
              <w:jc w:val="right"/>
              <w:rPr>
                <w:rFonts w:ascii="Arial" w:hAnsi="Arial" w:cs="Arial"/>
                <w:b/>
                <w:sz w:val="22"/>
                <w:szCs w:val="22"/>
              </w:rPr>
            </w:pPr>
          </w:p>
        </w:tc>
        <w:tc>
          <w:tcPr>
            <w:tcW w:w="1134" w:type="dxa"/>
            <w:vAlign w:val="center"/>
          </w:tcPr>
          <w:p w14:paraId="5319538B" w14:textId="6D73EBC9" w:rsidR="00CE64D8" w:rsidRPr="00247C1B" w:rsidRDefault="009C1DAA" w:rsidP="00CE64D8">
            <w:pPr>
              <w:jc w:val="right"/>
              <w:rPr>
                <w:rFonts w:ascii="Arial" w:hAnsi="Arial" w:cs="Arial"/>
                <w:b/>
                <w:sz w:val="22"/>
                <w:szCs w:val="22"/>
              </w:rPr>
            </w:pPr>
            <w:r>
              <w:rPr>
                <w:rFonts w:ascii="Arial" w:hAnsi="Arial" w:cs="Arial"/>
                <w:b/>
                <w:sz w:val="22"/>
                <w:szCs w:val="22"/>
              </w:rPr>
              <w:t>6.1</w:t>
            </w:r>
            <w:r w:rsidR="004D6461" w:rsidRPr="00247C1B">
              <w:rPr>
                <w:rFonts w:ascii="Arial" w:hAnsi="Arial" w:cs="Arial"/>
                <w:b/>
                <w:sz w:val="22"/>
                <w:szCs w:val="22"/>
              </w:rPr>
              <w:t>%</w:t>
            </w:r>
          </w:p>
        </w:tc>
        <w:tc>
          <w:tcPr>
            <w:tcW w:w="1134" w:type="dxa"/>
            <w:vAlign w:val="center"/>
          </w:tcPr>
          <w:p w14:paraId="0DA6E12D" w14:textId="34DCFC14" w:rsidR="00CE64D8" w:rsidRPr="00247C1B" w:rsidRDefault="002226E9" w:rsidP="00CE64D8">
            <w:pPr>
              <w:jc w:val="right"/>
              <w:rPr>
                <w:rFonts w:ascii="Arial" w:hAnsi="Arial" w:cs="Arial"/>
                <w:b/>
                <w:sz w:val="22"/>
                <w:szCs w:val="22"/>
              </w:rPr>
            </w:pPr>
            <w:r w:rsidRPr="00247C1B">
              <w:rPr>
                <w:rFonts w:ascii="Arial" w:hAnsi="Arial" w:cs="Arial"/>
                <w:b/>
                <w:sz w:val="22"/>
                <w:szCs w:val="22"/>
              </w:rPr>
              <w:t>4.</w:t>
            </w:r>
            <w:r w:rsidR="009C1DAA">
              <w:rPr>
                <w:rFonts w:ascii="Arial" w:hAnsi="Arial" w:cs="Arial"/>
                <w:b/>
                <w:sz w:val="22"/>
                <w:szCs w:val="22"/>
              </w:rPr>
              <w:t>3</w:t>
            </w:r>
            <w:r w:rsidRPr="00247C1B">
              <w:rPr>
                <w:rFonts w:ascii="Arial" w:hAnsi="Arial" w:cs="Arial"/>
                <w:b/>
                <w:sz w:val="22"/>
                <w:szCs w:val="22"/>
              </w:rPr>
              <w:t>%</w:t>
            </w:r>
          </w:p>
        </w:tc>
        <w:tc>
          <w:tcPr>
            <w:tcW w:w="1030" w:type="dxa"/>
            <w:vAlign w:val="center"/>
          </w:tcPr>
          <w:p w14:paraId="5619417B" w14:textId="7679A443" w:rsidR="00CE64D8" w:rsidRPr="00247C1B" w:rsidRDefault="00247C1B" w:rsidP="00CE64D8">
            <w:pPr>
              <w:jc w:val="right"/>
              <w:rPr>
                <w:rFonts w:ascii="Arial" w:hAnsi="Arial" w:cs="Arial"/>
                <w:b/>
                <w:sz w:val="22"/>
                <w:szCs w:val="22"/>
              </w:rPr>
            </w:pPr>
            <w:r w:rsidRPr="00247C1B">
              <w:rPr>
                <w:rFonts w:ascii="Arial" w:hAnsi="Arial" w:cs="Arial"/>
                <w:b/>
                <w:sz w:val="22"/>
                <w:szCs w:val="22"/>
              </w:rPr>
              <w:t>4.4</w:t>
            </w:r>
            <w:r w:rsidR="004D6461" w:rsidRPr="00247C1B">
              <w:rPr>
                <w:rFonts w:ascii="Arial" w:hAnsi="Arial" w:cs="Arial"/>
                <w:b/>
                <w:sz w:val="22"/>
                <w:szCs w:val="22"/>
              </w:rPr>
              <w:t>%</w:t>
            </w:r>
          </w:p>
        </w:tc>
      </w:tr>
    </w:tbl>
    <w:p w14:paraId="245F508C" w14:textId="77777777" w:rsidR="0030644D" w:rsidRPr="001C0B17" w:rsidRDefault="0030644D" w:rsidP="0030644D">
      <w:pPr>
        <w:pStyle w:val="Style1"/>
        <w:numPr>
          <w:ilvl w:val="0"/>
          <w:numId w:val="0"/>
        </w:numPr>
        <w:spacing w:before="0" w:after="0" w:line="240" w:lineRule="auto"/>
        <w:rPr>
          <w:rFonts w:cs="Arial"/>
          <w:color w:val="auto"/>
          <w:sz w:val="24"/>
          <w:szCs w:val="24"/>
          <w:highlight w:val="yellow"/>
        </w:rPr>
      </w:pPr>
    </w:p>
    <w:p w14:paraId="3F412911" w14:textId="4F301D80" w:rsidR="00587294" w:rsidRDefault="00A269B0" w:rsidP="00E3163C">
      <w:pPr>
        <w:pStyle w:val="Style4"/>
        <w:numPr>
          <w:ilvl w:val="0"/>
          <w:numId w:val="0"/>
        </w:numPr>
        <w:spacing w:before="0" w:after="0" w:line="240" w:lineRule="auto"/>
        <w:rPr>
          <w:rFonts w:cs="Arial"/>
          <w:color w:val="auto"/>
          <w:sz w:val="24"/>
          <w:szCs w:val="24"/>
          <w:lang w:val="en-US"/>
        </w:rPr>
      </w:pPr>
      <w:r w:rsidRPr="003C7574">
        <w:rPr>
          <w:rFonts w:cs="Arial"/>
          <w:color w:val="auto"/>
          <w:sz w:val="24"/>
          <w:szCs w:val="24"/>
          <w:lang w:val="en-US"/>
        </w:rPr>
        <w:t xml:space="preserve">Although the national level of </w:t>
      </w:r>
      <w:r w:rsidR="009F3EF5" w:rsidRPr="003C7574">
        <w:rPr>
          <w:rFonts w:cs="Arial"/>
          <w:color w:val="auto"/>
          <w:sz w:val="24"/>
          <w:szCs w:val="24"/>
          <w:lang w:val="en-US"/>
        </w:rPr>
        <w:t>Core Spending Power</w:t>
      </w:r>
      <w:r w:rsidRPr="003C7574">
        <w:rPr>
          <w:rFonts w:cs="Arial"/>
          <w:color w:val="auto"/>
          <w:sz w:val="24"/>
          <w:szCs w:val="24"/>
          <w:lang w:val="en-US"/>
        </w:rPr>
        <w:t xml:space="preserve"> is forecast to increase by </w:t>
      </w:r>
      <w:r w:rsidR="009205A4" w:rsidRPr="003C7574">
        <w:rPr>
          <w:rFonts w:cs="Arial"/>
          <w:color w:val="auto"/>
          <w:sz w:val="24"/>
          <w:szCs w:val="24"/>
          <w:lang w:val="en-US"/>
        </w:rPr>
        <w:t>15.</w:t>
      </w:r>
      <w:r w:rsidR="00BB654A">
        <w:rPr>
          <w:rFonts w:cs="Arial"/>
          <w:color w:val="auto"/>
          <w:sz w:val="24"/>
          <w:szCs w:val="24"/>
          <w:lang w:val="en-US"/>
        </w:rPr>
        <w:t>5</w:t>
      </w:r>
      <w:r w:rsidRPr="003C7574">
        <w:rPr>
          <w:rFonts w:cs="Arial"/>
          <w:color w:val="auto"/>
          <w:sz w:val="24"/>
          <w:szCs w:val="24"/>
          <w:lang w:val="en-US"/>
        </w:rPr>
        <w:t>% the</w:t>
      </w:r>
      <w:r w:rsidR="008C24C6" w:rsidRPr="003C7574">
        <w:rPr>
          <w:rFonts w:cs="Arial"/>
          <w:color w:val="auto"/>
          <w:sz w:val="24"/>
          <w:szCs w:val="24"/>
          <w:lang w:val="en-US"/>
        </w:rPr>
        <w:t xml:space="preserve">re will be </w:t>
      </w:r>
      <w:r w:rsidRPr="003C7574">
        <w:rPr>
          <w:rFonts w:cs="Arial"/>
          <w:color w:val="auto"/>
          <w:sz w:val="24"/>
          <w:szCs w:val="24"/>
          <w:lang w:val="en-US"/>
        </w:rPr>
        <w:t>variation</w:t>
      </w:r>
      <w:r w:rsidR="00FA4698">
        <w:rPr>
          <w:rFonts w:cs="Arial"/>
          <w:color w:val="auto"/>
          <w:sz w:val="24"/>
          <w:szCs w:val="24"/>
          <w:lang w:val="en-US"/>
        </w:rPr>
        <w:t>s</w:t>
      </w:r>
      <w:r w:rsidRPr="003C7574">
        <w:rPr>
          <w:rFonts w:cs="Arial"/>
          <w:color w:val="auto"/>
          <w:sz w:val="24"/>
          <w:szCs w:val="24"/>
          <w:lang w:val="en-US"/>
        </w:rPr>
        <w:t xml:space="preserve"> between individual authorities and types of authority.  </w:t>
      </w:r>
      <w:r w:rsidR="009F3EF5" w:rsidRPr="003C7574">
        <w:rPr>
          <w:rFonts w:cs="Arial"/>
          <w:color w:val="auto"/>
          <w:sz w:val="24"/>
          <w:szCs w:val="24"/>
          <w:lang w:val="en-US"/>
        </w:rPr>
        <w:t xml:space="preserve"> </w:t>
      </w:r>
    </w:p>
    <w:p w14:paraId="3D91696E" w14:textId="77777777" w:rsidR="00587294" w:rsidRPr="003C7574" w:rsidRDefault="00587294" w:rsidP="00E3163C">
      <w:pPr>
        <w:pStyle w:val="Style4"/>
        <w:numPr>
          <w:ilvl w:val="0"/>
          <w:numId w:val="0"/>
        </w:numPr>
        <w:spacing w:before="0" w:after="0" w:line="240" w:lineRule="auto"/>
        <w:rPr>
          <w:rFonts w:cs="Arial"/>
          <w:color w:val="auto"/>
          <w:sz w:val="24"/>
          <w:szCs w:val="24"/>
          <w:lang w:val="en-US"/>
        </w:rPr>
      </w:pPr>
    </w:p>
    <w:p w14:paraId="74DCBC58" w14:textId="0473CBF1" w:rsidR="00D6629F" w:rsidRDefault="00B35563" w:rsidP="00E3163C">
      <w:pPr>
        <w:pStyle w:val="Style4"/>
        <w:numPr>
          <w:ilvl w:val="0"/>
          <w:numId w:val="0"/>
        </w:numPr>
        <w:spacing w:before="0" w:after="0" w:line="240" w:lineRule="auto"/>
        <w:rPr>
          <w:rFonts w:cs="Arial"/>
          <w:color w:val="auto"/>
          <w:sz w:val="24"/>
          <w:szCs w:val="24"/>
          <w:lang w:val="en-GB"/>
        </w:rPr>
      </w:pPr>
      <w:r w:rsidRPr="00D3325B">
        <w:rPr>
          <w:rFonts w:cs="Arial"/>
          <w:color w:val="auto"/>
          <w:sz w:val="24"/>
          <w:szCs w:val="24"/>
          <w:lang w:val="en-GB"/>
        </w:rPr>
        <w:t xml:space="preserve">Over a third </w:t>
      </w:r>
      <w:r w:rsidR="00262CA6" w:rsidRPr="00D3325B">
        <w:rPr>
          <w:rFonts w:cs="Arial"/>
          <w:color w:val="auto"/>
          <w:sz w:val="24"/>
          <w:szCs w:val="24"/>
          <w:lang w:val="en-GB"/>
        </w:rPr>
        <w:t>of councils will see their funding fall in real-terms over the next three years. This includes the majority of shire districts and inner London boroughs</w:t>
      </w:r>
      <w:r w:rsidR="004916E6" w:rsidRPr="00D3325B">
        <w:rPr>
          <w:rFonts w:cs="Arial"/>
          <w:color w:val="auto"/>
          <w:sz w:val="24"/>
          <w:szCs w:val="24"/>
          <w:lang w:val="en-GB"/>
        </w:rPr>
        <w:t xml:space="preserve">, </w:t>
      </w:r>
      <w:r w:rsidR="00262CA6" w:rsidRPr="00D3325B">
        <w:rPr>
          <w:rFonts w:cs="Arial"/>
          <w:color w:val="auto"/>
          <w:sz w:val="24"/>
          <w:szCs w:val="24"/>
          <w:lang w:val="en-GB"/>
        </w:rPr>
        <w:t>but far smaller shares of outer London boroughs unitary authorities, metropolitan districts and shire counties</w:t>
      </w:r>
      <w:r w:rsidR="004916E6" w:rsidRPr="00D3325B">
        <w:rPr>
          <w:rFonts w:cs="Arial"/>
          <w:color w:val="auto"/>
          <w:sz w:val="24"/>
          <w:szCs w:val="24"/>
          <w:lang w:val="en-GB"/>
        </w:rPr>
        <w:t xml:space="preserve">.  </w:t>
      </w:r>
      <w:r w:rsidR="00262CA6" w:rsidRPr="00D3325B">
        <w:rPr>
          <w:rFonts w:cs="Arial"/>
          <w:color w:val="auto"/>
          <w:sz w:val="24"/>
          <w:szCs w:val="24"/>
          <w:lang w:val="en-GB"/>
        </w:rPr>
        <w:t>These</w:t>
      </w:r>
      <w:r w:rsidR="00262CA6" w:rsidRPr="0006395F">
        <w:rPr>
          <w:rFonts w:cs="Arial"/>
          <w:color w:val="auto"/>
          <w:sz w:val="24"/>
          <w:szCs w:val="24"/>
          <w:lang w:val="en-GB"/>
        </w:rPr>
        <w:t xml:space="preserve"> patterns reflect changes to where needs are assessed to lie</w:t>
      </w:r>
      <w:r w:rsidR="006C2B3A" w:rsidRPr="0006395F">
        <w:rPr>
          <w:rFonts w:cs="Arial"/>
          <w:color w:val="auto"/>
          <w:sz w:val="24"/>
          <w:szCs w:val="24"/>
          <w:lang w:val="en-GB"/>
        </w:rPr>
        <w:t>,</w:t>
      </w:r>
      <w:r w:rsidR="00262CA6" w:rsidRPr="0006395F">
        <w:rPr>
          <w:rFonts w:cs="Arial"/>
          <w:color w:val="auto"/>
          <w:sz w:val="24"/>
          <w:szCs w:val="24"/>
          <w:lang w:val="en-GB"/>
        </w:rPr>
        <w:t xml:space="preserve"> including a shift from the types of services provided by district councils</w:t>
      </w:r>
      <w:r w:rsidR="007767B9">
        <w:rPr>
          <w:rFonts w:cs="Arial"/>
          <w:color w:val="auto"/>
          <w:sz w:val="24"/>
          <w:szCs w:val="24"/>
          <w:lang w:val="en-GB"/>
        </w:rPr>
        <w:t xml:space="preserve">, </w:t>
      </w:r>
      <w:r w:rsidR="00262CA6" w:rsidRPr="0006395F">
        <w:rPr>
          <w:rFonts w:cs="Arial"/>
          <w:color w:val="auto"/>
          <w:sz w:val="24"/>
          <w:szCs w:val="24"/>
          <w:lang w:val="en-GB"/>
        </w:rPr>
        <w:t>such as refuse collection, planning services, and leisure services</w:t>
      </w:r>
      <w:r w:rsidR="007767B9">
        <w:rPr>
          <w:rFonts w:cs="Arial"/>
          <w:color w:val="auto"/>
          <w:sz w:val="24"/>
          <w:szCs w:val="24"/>
          <w:lang w:val="en-GB"/>
        </w:rPr>
        <w:t>,</w:t>
      </w:r>
      <w:r w:rsidR="00262CA6" w:rsidRPr="0006395F">
        <w:rPr>
          <w:rFonts w:cs="Arial"/>
          <w:color w:val="auto"/>
          <w:sz w:val="24"/>
          <w:szCs w:val="24"/>
          <w:lang w:val="en-GB"/>
        </w:rPr>
        <w:t xml:space="preserve"> to those provided by counties and single-tier councils</w:t>
      </w:r>
      <w:r w:rsidR="007767B9">
        <w:rPr>
          <w:rFonts w:cs="Arial"/>
          <w:color w:val="auto"/>
          <w:sz w:val="24"/>
          <w:szCs w:val="24"/>
          <w:lang w:val="en-GB"/>
        </w:rPr>
        <w:t xml:space="preserve">, </w:t>
      </w:r>
      <w:r w:rsidR="00262CA6" w:rsidRPr="0006395F">
        <w:rPr>
          <w:rFonts w:cs="Arial"/>
          <w:color w:val="auto"/>
          <w:sz w:val="24"/>
          <w:szCs w:val="24"/>
          <w:lang w:val="en-GB"/>
        </w:rPr>
        <w:t>such as social care and home-to-school transport.</w:t>
      </w:r>
    </w:p>
    <w:p w14:paraId="617245A2" w14:textId="77777777" w:rsidR="0006395F" w:rsidRDefault="0006395F" w:rsidP="00E3163C">
      <w:pPr>
        <w:pStyle w:val="Style4"/>
        <w:numPr>
          <w:ilvl w:val="0"/>
          <w:numId w:val="0"/>
        </w:numPr>
        <w:spacing w:before="0" w:after="0" w:line="240" w:lineRule="auto"/>
        <w:rPr>
          <w:rFonts w:cs="Arial"/>
          <w:color w:val="auto"/>
          <w:sz w:val="24"/>
          <w:szCs w:val="24"/>
          <w:lang w:val="en-GB"/>
        </w:rPr>
      </w:pPr>
    </w:p>
    <w:p w14:paraId="55F8DA5E" w14:textId="2F73E3BD" w:rsidR="0006395F" w:rsidRDefault="007767B9" w:rsidP="00E3163C">
      <w:pPr>
        <w:pStyle w:val="Style4"/>
        <w:numPr>
          <w:ilvl w:val="0"/>
          <w:numId w:val="0"/>
        </w:numPr>
        <w:spacing w:before="0" w:after="0" w:line="240" w:lineRule="auto"/>
        <w:rPr>
          <w:rFonts w:cs="Arial"/>
          <w:color w:val="auto"/>
          <w:sz w:val="24"/>
          <w:szCs w:val="24"/>
          <w:lang w:val="en-GB"/>
        </w:rPr>
      </w:pPr>
      <w:r w:rsidRPr="00BE6675">
        <w:rPr>
          <w:rFonts w:cs="Arial"/>
          <w:color w:val="auto"/>
          <w:sz w:val="24"/>
          <w:szCs w:val="24"/>
          <w:lang w:val="en-GB"/>
        </w:rPr>
        <w:t>At the other end of the spectrum, one-in-ten councils will see their funding increase in real-terms by a sixth or more over the next three years. There</w:t>
      </w:r>
      <w:r w:rsidRPr="00EE2AE1">
        <w:rPr>
          <w:rFonts w:cs="Arial"/>
          <w:color w:val="auto"/>
          <w:sz w:val="24"/>
          <w:szCs w:val="24"/>
          <w:lang w:val="en-GB"/>
        </w:rPr>
        <w:t xml:space="preserve"> is a concentration of such big winners in outer London, where half of councils are set to gain at least this much</w:t>
      </w:r>
      <w:r w:rsidRPr="00F714F7">
        <w:rPr>
          <w:rFonts w:cs="Arial"/>
          <w:color w:val="auto"/>
          <w:sz w:val="24"/>
          <w:szCs w:val="24"/>
          <w:lang w:val="en-GB"/>
        </w:rPr>
        <w:t>. Five outer London boroughs are set to increases of a quarter or more.</w:t>
      </w:r>
    </w:p>
    <w:p w14:paraId="22684071" w14:textId="77777777" w:rsidR="007767B9" w:rsidRPr="0006395F" w:rsidRDefault="007767B9" w:rsidP="00E3163C">
      <w:pPr>
        <w:pStyle w:val="Style4"/>
        <w:numPr>
          <w:ilvl w:val="0"/>
          <w:numId w:val="0"/>
        </w:numPr>
        <w:spacing w:before="0" w:after="0" w:line="240" w:lineRule="auto"/>
        <w:rPr>
          <w:rFonts w:cs="Arial"/>
          <w:color w:val="auto"/>
          <w:sz w:val="24"/>
          <w:szCs w:val="24"/>
          <w:lang w:val="en-US"/>
        </w:rPr>
      </w:pPr>
    </w:p>
    <w:p w14:paraId="7B129095" w14:textId="6FAE01EB" w:rsidR="00616A60" w:rsidRPr="009B28CD" w:rsidRDefault="00616A60" w:rsidP="00E3163C">
      <w:pPr>
        <w:pStyle w:val="Style4"/>
        <w:numPr>
          <w:ilvl w:val="0"/>
          <w:numId w:val="0"/>
        </w:numPr>
        <w:spacing w:before="0" w:after="0" w:line="240" w:lineRule="auto"/>
        <w:rPr>
          <w:rFonts w:cs="Arial"/>
          <w:color w:val="auto"/>
          <w:sz w:val="24"/>
          <w:szCs w:val="24"/>
          <w:lang w:val="en-US"/>
        </w:rPr>
      </w:pPr>
      <w:r w:rsidRPr="009B28CD">
        <w:rPr>
          <w:rFonts w:cs="Arial"/>
          <w:color w:val="auto"/>
          <w:sz w:val="24"/>
          <w:szCs w:val="24"/>
          <w:lang w:val="en-US"/>
        </w:rPr>
        <w:t>Average increases</w:t>
      </w:r>
      <w:r>
        <w:rPr>
          <w:rFonts w:cs="Arial"/>
          <w:color w:val="auto"/>
          <w:sz w:val="24"/>
          <w:szCs w:val="24"/>
          <w:lang w:val="en-US"/>
        </w:rPr>
        <w:t xml:space="preserve"> </w:t>
      </w:r>
      <w:r w:rsidR="00E168AC">
        <w:rPr>
          <w:rFonts w:cs="Arial"/>
          <w:color w:val="auto"/>
          <w:sz w:val="24"/>
          <w:szCs w:val="24"/>
          <w:lang w:val="en-US"/>
        </w:rPr>
        <w:t xml:space="preserve">in CSP, </w:t>
      </w:r>
      <w:r w:rsidRPr="009B28CD">
        <w:rPr>
          <w:rFonts w:cs="Arial"/>
          <w:color w:val="auto"/>
          <w:sz w:val="24"/>
          <w:szCs w:val="24"/>
          <w:lang w:val="en-US"/>
        </w:rPr>
        <w:t xml:space="preserve">across the authority </w:t>
      </w:r>
      <w:r w:rsidR="00227D86" w:rsidRPr="009B28CD">
        <w:rPr>
          <w:rFonts w:cs="Arial"/>
          <w:color w:val="auto"/>
          <w:sz w:val="24"/>
          <w:szCs w:val="24"/>
          <w:lang w:val="en-US"/>
        </w:rPr>
        <w:t xml:space="preserve">types </w:t>
      </w:r>
      <w:r w:rsidR="00D84DEE" w:rsidRPr="009B28CD">
        <w:rPr>
          <w:rFonts w:cs="Arial"/>
          <w:color w:val="auto"/>
          <w:sz w:val="24"/>
          <w:szCs w:val="24"/>
          <w:lang w:val="en-US"/>
        </w:rPr>
        <w:t>are set out below</w:t>
      </w:r>
      <w:r w:rsidR="00E168AC">
        <w:rPr>
          <w:rFonts w:cs="Arial"/>
          <w:color w:val="auto"/>
          <w:sz w:val="24"/>
          <w:szCs w:val="24"/>
          <w:lang w:val="en-US"/>
        </w:rPr>
        <w:t>:</w:t>
      </w:r>
    </w:p>
    <w:p w14:paraId="52B71FDE" w14:textId="77777777" w:rsidR="009B28CD" w:rsidRPr="001C0B17" w:rsidRDefault="009B28CD" w:rsidP="00E3163C">
      <w:pPr>
        <w:pStyle w:val="Style4"/>
        <w:numPr>
          <w:ilvl w:val="0"/>
          <w:numId w:val="0"/>
        </w:numPr>
        <w:spacing w:before="0" w:after="0" w:line="240" w:lineRule="auto"/>
        <w:rPr>
          <w:rFonts w:cs="Arial"/>
          <w:color w:val="auto"/>
          <w:sz w:val="24"/>
          <w:szCs w:val="24"/>
          <w:highlight w:val="yellow"/>
          <w:lang w:val="en-US"/>
        </w:rPr>
      </w:pPr>
    </w:p>
    <w:p w14:paraId="52DDF537" w14:textId="78E80ABE" w:rsidR="00D6629F" w:rsidRDefault="00E168AC" w:rsidP="00BF11B1">
      <w:pPr>
        <w:pStyle w:val="Style4"/>
        <w:numPr>
          <w:ilvl w:val="0"/>
          <w:numId w:val="0"/>
        </w:numPr>
        <w:spacing w:before="0" w:after="0" w:line="240" w:lineRule="auto"/>
        <w:ind w:left="-142"/>
        <w:rPr>
          <w:rFonts w:cs="Arial"/>
          <w:color w:val="auto"/>
          <w:sz w:val="24"/>
          <w:szCs w:val="24"/>
          <w:lang w:val="en-US"/>
        </w:rPr>
      </w:pPr>
      <w:r>
        <w:rPr>
          <w:rFonts w:cs="Arial"/>
          <w:color w:val="auto"/>
          <w:sz w:val="24"/>
          <w:szCs w:val="24"/>
          <w:lang w:val="en-US"/>
        </w:rPr>
        <w:tab/>
      </w:r>
      <w:r>
        <w:rPr>
          <w:rFonts w:cs="Arial"/>
          <w:color w:val="auto"/>
          <w:sz w:val="24"/>
          <w:szCs w:val="24"/>
          <w:lang w:val="en-US"/>
        </w:rPr>
        <w:tab/>
      </w:r>
      <w:r>
        <w:rPr>
          <w:noProof/>
        </w:rPr>
        <w:drawing>
          <wp:inline distT="0" distB="0" distL="0" distR="0" wp14:anchorId="78F11FCB" wp14:editId="2CAA4536">
            <wp:extent cx="4847770" cy="2720522"/>
            <wp:effectExtent l="0" t="0" r="0" b="3810"/>
            <wp:docPr id="541535094" name="Chart 1">
              <a:extLst xmlns:a="http://schemas.openxmlformats.org/drawingml/2006/main">
                <a:ext uri="{FF2B5EF4-FFF2-40B4-BE49-F238E27FC236}">
                  <a16:creationId xmlns:a16="http://schemas.microsoft.com/office/drawing/2014/main" id="{3FF71FD7-02F7-2945-15F0-6086AD1C6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8B35ECD" w14:textId="488B7FB8" w:rsidR="00CA25A0" w:rsidRPr="00FE3679" w:rsidRDefault="00CA25A0" w:rsidP="00CA25A0">
      <w:pPr>
        <w:pStyle w:val="Style4"/>
        <w:numPr>
          <w:ilvl w:val="0"/>
          <w:numId w:val="0"/>
        </w:numPr>
        <w:spacing w:before="0" w:after="0" w:line="240" w:lineRule="auto"/>
        <w:rPr>
          <w:rFonts w:cs="Arial"/>
          <w:color w:val="auto"/>
          <w:sz w:val="24"/>
          <w:szCs w:val="24"/>
          <w:lang w:val="en-GB"/>
        </w:rPr>
      </w:pPr>
      <w:r w:rsidRPr="00FE3679">
        <w:rPr>
          <w:rFonts w:cs="Arial"/>
          <w:color w:val="auto"/>
          <w:sz w:val="24"/>
          <w:szCs w:val="24"/>
          <w:lang w:val="en-US"/>
        </w:rPr>
        <w:t xml:space="preserve">Lincoln’s increase in CSP for the period is </w:t>
      </w:r>
      <w:r w:rsidR="00DB7FAA" w:rsidRPr="00FE3679">
        <w:rPr>
          <w:rFonts w:cs="Arial"/>
          <w:color w:val="auto"/>
          <w:sz w:val="24"/>
          <w:szCs w:val="24"/>
          <w:lang w:val="en-US"/>
        </w:rPr>
        <w:t>19.1</w:t>
      </w:r>
      <w:r w:rsidRPr="00FE3679">
        <w:rPr>
          <w:rFonts w:cs="Arial"/>
          <w:color w:val="auto"/>
          <w:sz w:val="24"/>
          <w:szCs w:val="24"/>
          <w:lang w:val="en-US"/>
        </w:rPr>
        <w:t>%, this is higher the average for all authority types at 15.</w:t>
      </w:r>
      <w:r w:rsidR="00EA64B9" w:rsidRPr="00FE3679">
        <w:rPr>
          <w:rFonts w:cs="Arial"/>
          <w:color w:val="auto"/>
          <w:sz w:val="24"/>
          <w:szCs w:val="24"/>
          <w:lang w:val="en-US"/>
        </w:rPr>
        <w:t>5</w:t>
      </w:r>
      <w:r w:rsidRPr="00FE3679">
        <w:rPr>
          <w:rFonts w:cs="Arial"/>
          <w:color w:val="auto"/>
          <w:sz w:val="24"/>
          <w:szCs w:val="24"/>
          <w:lang w:val="en-US"/>
        </w:rPr>
        <w:t xml:space="preserve">% and significantly higher than the average for Shire Districts at </w:t>
      </w:r>
      <w:r w:rsidR="007343FF">
        <w:rPr>
          <w:rFonts w:cs="Arial"/>
          <w:color w:val="auto"/>
          <w:sz w:val="24"/>
          <w:szCs w:val="24"/>
          <w:lang w:val="en-US"/>
        </w:rPr>
        <w:t>4.9</w:t>
      </w:r>
      <w:r w:rsidRPr="00FE3679">
        <w:rPr>
          <w:rFonts w:cs="Arial"/>
          <w:color w:val="auto"/>
          <w:sz w:val="24"/>
          <w:szCs w:val="24"/>
          <w:lang w:val="en-US"/>
        </w:rPr>
        <w:t>%.</w:t>
      </w:r>
      <w:r w:rsidRPr="00FE3679">
        <w:rPr>
          <w:rFonts w:cs="Arial"/>
          <w:color w:val="auto"/>
          <w:sz w:val="24"/>
          <w:szCs w:val="24"/>
          <w:lang w:val="en-GB"/>
        </w:rPr>
        <w:t xml:space="preserve"> This higher than average increase for Lincoln reflects it’s nature as an urban shire district and it’s ranking of 68</w:t>
      </w:r>
      <w:r w:rsidRPr="00FE3679">
        <w:rPr>
          <w:rFonts w:cs="Arial"/>
          <w:color w:val="auto"/>
          <w:sz w:val="24"/>
          <w:szCs w:val="24"/>
          <w:vertAlign w:val="superscript"/>
          <w:lang w:val="en-GB"/>
        </w:rPr>
        <w:t>th</w:t>
      </w:r>
      <w:r w:rsidRPr="00FE3679">
        <w:rPr>
          <w:rFonts w:cs="Arial"/>
          <w:color w:val="auto"/>
          <w:sz w:val="24"/>
          <w:szCs w:val="24"/>
          <w:lang w:val="en-GB"/>
        </w:rPr>
        <w:t xml:space="preserve"> most deprived local authority area out of 317.</w:t>
      </w:r>
    </w:p>
    <w:p w14:paraId="2A281CC5" w14:textId="77777777" w:rsidR="00F80545" w:rsidRPr="00CA69E0" w:rsidRDefault="00F80545" w:rsidP="00E3163C">
      <w:pPr>
        <w:pStyle w:val="Style4"/>
        <w:numPr>
          <w:ilvl w:val="0"/>
          <w:numId w:val="0"/>
        </w:numPr>
        <w:spacing w:before="0" w:after="0" w:line="240" w:lineRule="auto"/>
        <w:rPr>
          <w:rFonts w:cs="Arial"/>
          <w:color w:val="auto"/>
          <w:sz w:val="24"/>
          <w:szCs w:val="24"/>
          <w:highlight w:val="yellow"/>
          <w:lang w:val="en-GB"/>
        </w:rPr>
      </w:pPr>
    </w:p>
    <w:p w14:paraId="14A510B9" w14:textId="4B522A28" w:rsidR="00DE4B31" w:rsidRPr="001811F5" w:rsidRDefault="009F3EF5" w:rsidP="00E3163C">
      <w:pPr>
        <w:pStyle w:val="Style4"/>
        <w:numPr>
          <w:ilvl w:val="0"/>
          <w:numId w:val="0"/>
        </w:numPr>
        <w:spacing w:before="0" w:after="0" w:line="240" w:lineRule="auto"/>
        <w:rPr>
          <w:rFonts w:cs="Arial"/>
          <w:color w:val="auto"/>
          <w:sz w:val="24"/>
          <w:szCs w:val="24"/>
          <w:lang w:val="en-US"/>
        </w:rPr>
      </w:pPr>
      <w:r w:rsidRPr="00B61063">
        <w:rPr>
          <w:rFonts w:cs="Arial"/>
          <w:color w:val="auto"/>
          <w:sz w:val="24"/>
          <w:szCs w:val="24"/>
          <w:lang w:val="en-US"/>
        </w:rPr>
        <w:t>Lincoln</w:t>
      </w:r>
      <w:r w:rsidR="00A269B0" w:rsidRPr="00B61063">
        <w:rPr>
          <w:rFonts w:cs="Arial"/>
          <w:color w:val="auto"/>
          <w:sz w:val="24"/>
          <w:szCs w:val="24"/>
          <w:lang w:val="en-US"/>
        </w:rPr>
        <w:t xml:space="preserve">’s position </w:t>
      </w:r>
      <w:r w:rsidRPr="00B61063">
        <w:rPr>
          <w:rFonts w:cs="Arial"/>
          <w:color w:val="auto"/>
          <w:sz w:val="24"/>
          <w:szCs w:val="24"/>
          <w:lang w:val="en-US"/>
        </w:rPr>
        <w:t>is</w:t>
      </w:r>
      <w:r w:rsidR="00A269B0" w:rsidRPr="00B61063">
        <w:rPr>
          <w:rFonts w:cs="Arial"/>
          <w:color w:val="auto"/>
          <w:sz w:val="24"/>
          <w:szCs w:val="24"/>
          <w:lang w:val="en-US"/>
        </w:rPr>
        <w:t xml:space="preserve"> as set out in the table below</w:t>
      </w:r>
      <w:r w:rsidR="003B69B9" w:rsidRPr="00B61063">
        <w:rPr>
          <w:rFonts w:cs="Arial"/>
          <w:color w:val="auto"/>
          <w:sz w:val="24"/>
          <w:szCs w:val="24"/>
          <w:lang w:val="en-US"/>
        </w:rPr>
        <w:t>:</w:t>
      </w:r>
    </w:p>
    <w:p w14:paraId="1B7F4E98" w14:textId="77777777" w:rsidR="00A360BC" w:rsidRPr="001C0B17" w:rsidRDefault="00A360BC" w:rsidP="00E3163C">
      <w:pPr>
        <w:jc w:val="both"/>
        <w:rPr>
          <w:rFonts w:ascii="Arial" w:hAnsi="Arial" w:cs="Arial"/>
          <w:highlight w:val="yellow"/>
        </w:rPr>
      </w:pPr>
    </w:p>
    <w:tbl>
      <w:tblPr>
        <w:tblW w:w="8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018"/>
        <w:gridCol w:w="1018"/>
        <w:gridCol w:w="1018"/>
        <w:gridCol w:w="1018"/>
        <w:gridCol w:w="1018"/>
      </w:tblGrid>
      <w:tr w:rsidR="00C46EF4" w:rsidRPr="001C0B17" w14:paraId="76E7A05B" w14:textId="2959233F" w:rsidTr="00D44C4D">
        <w:trPr>
          <w:trHeight w:val="328"/>
        </w:trPr>
        <w:tc>
          <w:tcPr>
            <w:tcW w:w="3828" w:type="dxa"/>
            <w:noWrap/>
            <w:hideMark/>
          </w:tcPr>
          <w:p w14:paraId="7DF6D855" w14:textId="77777777" w:rsidR="00C46EF4" w:rsidRPr="001C0B17" w:rsidRDefault="00C46EF4" w:rsidP="00C46EF4">
            <w:pPr>
              <w:rPr>
                <w:rFonts w:ascii="Arial" w:hAnsi="Arial" w:cs="Arial"/>
                <w:b/>
                <w:highlight w:val="yellow"/>
              </w:rPr>
            </w:pPr>
            <w:r w:rsidRPr="00D603ED">
              <w:rPr>
                <w:rFonts w:ascii="Arial" w:hAnsi="Arial" w:cs="Arial"/>
                <w:b/>
              </w:rPr>
              <w:t> Lincoln</w:t>
            </w:r>
          </w:p>
        </w:tc>
        <w:tc>
          <w:tcPr>
            <w:tcW w:w="1018" w:type="dxa"/>
            <w:vAlign w:val="center"/>
          </w:tcPr>
          <w:p w14:paraId="0FAD95D2" w14:textId="4E004E2A" w:rsidR="00C46EF4" w:rsidRPr="001C0B17" w:rsidRDefault="00086251" w:rsidP="00C46EF4">
            <w:pPr>
              <w:jc w:val="center"/>
              <w:rPr>
                <w:rFonts w:ascii="Arial" w:hAnsi="Arial" w:cs="Arial"/>
                <w:b/>
                <w:highlight w:val="yellow"/>
              </w:rPr>
            </w:pPr>
            <w:r w:rsidRPr="00161887">
              <w:rPr>
                <w:rFonts w:ascii="Arial" w:hAnsi="Arial" w:cs="Arial"/>
                <w:b/>
                <w:sz w:val="22"/>
                <w:szCs w:val="22"/>
                <w:lang w:eastAsia="en-GB"/>
              </w:rPr>
              <w:t>2024/25</w:t>
            </w:r>
          </w:p>
        </w:tc>
        <w:tc>
          <w:tcPr>
            <w:tcW w:w="1018" w:type="dxa"/>
            <w:vAlign w:val="center"/>
          </w:tcPr>
          <w:p w14:paraId="11594E6B" w14:textId="7CC375A0" w:rsidR="00C46EF4" w:rsidRPr="001C0B17" w:rsidRDefault="00086251" w:rsidP="00C46EF4">
            <w:pPr>
              <w:jc w:val="center"/>
              <w:rPr>
                <w:rFonts w:ascii="Arial" w:hAnsi="Arial" w:cs="Arial"/>
                <w:b/>
                <w:highlight w:val="yellow"/>
              </w:rPr>
            </w:pPr>
            <w:r w:rsidRPr="00161887">
              <w:rPr>
                <w:rFonts w:ascii="Arial" w:hAnsi="Arial" w:cs="Arial"/>
                <w:b/>
                <w:sz w:val="22"/>
                <w:szCs w:val="22"/>
                <w:lang w:eastAsia="en-GB"/>
              </w:rPr>
              <w:t>2025/26</w:t>
            </w:r>
          </w:p>
        </w:tc>
        <w:tc>
          <w:tcPr>
            <w:tcW w:w="1018" w:type="dxa"/>
            <w:vAlign w:val="center"/>
          </w:tcPr>
          <w:p w14:paraId="2A220A08" w14:textId="71846931" w:rsidR="00C46EF4" w:rsidRPr="001C0B17" w:rsidRDefault="00086251" w:rsidP="00C46EF4">
            <w:pPr>
              <w:jc w:val="center"/>
              <w:rPr>
                <w:rFonts w:ascii="Arial" w:hAnsi="Arial" w:cs="Arial"/>
                <w:b/>
                <w:highlight w:val="yellow"/>
              </w:rPr>
            </w:pPr>
            <w:r w:rsidRPr="00161887">
              <w:rPr>
                <w:rFonts w:ascii="Arial" w:hAnsi="Arial" w:cs="Arial"/>
                <w:b/>
                <w:sz w:val="22"/>
                <w:szCs w:val="22"/>
                <w:lang w:eastAsia="en-GB"/>
              </w:rPr>
              <w:t>2026/27</w:t>
            </w:r>
          </w:p>
        </w:tc>
        <w:tc>
          <w:tcPr>
            <w:tcW w:w="1018" w:type="dxa"/>
            <w:vAlign w:val="center"/>
          </w:tcPr>
          <w:p w14:paraId="49A2D14A" w14:textId="7FC4768E" w:rsidR="00C46EF4" w:rsidRPr="001C0B17" w:rsidRDefault="00086251" w:rsidP="00C46EF4">
            <w:pPr>
              <w:jc w:val="center"/>
              <w:rPr>
                <w:rFonts w:ascii="Arial" w:hAnsi="Arial" w:cs="Arial"/>
                <w:b/>
                <w:highlight w:val="yellow"/>
              </w:rPr>
            </w:pPr>
            <w:r w:rsidRPr="00161887">
              <w:rPr>
                <w:rFonts w:ascii="Arial" w:hAnsi="Arial" w:cs="Arial"/>
                <w:b/>
                <w:sz w:val="22"/>
                <w:szCs w:val="22"/>
                <w:lang w:eastAsia="en-GB"/>
              </w:rPr>
              <w:t>2027/28</w:t>
            </w:r>
          </w:p>
        </w:tc>
        <w:tc>
          <w:tcPr>
            <w:tcW w:w="1018" w:type="dxa"/>
            <w:vAlign w:val="center"/>
          </w:tcPr>
          <w:p w14:paraId="389B9F4C" w14:textId="2F052C3C" w:rsidR="00C46EF4" w:rsidRPr="001C0B17" w:rsidRDefault="00086251" w:rsidP="00C46EF4">
            <w:pPr>
              <w:jc w:val="center"/>
              <w:rPr>
                <w:rFonts w:ascii="Arial" w:hAnsi="Arial" w:cs="Arial"/>
                <w:b/>
                <w:highlight w:val="yellow"/>
              </w:rPr>
            </w:pPr>
            <w:r w:rsidRPr="00161887">
              <w:rPr>
                <w:rFonts w:ascii="Arial" w:hAnsi="Arial" w:cs="Arial"/>
                <w:b/>
                <w:sz w:val="22"/>
                <w:szCs w:val="22"/>
                <w:lang w:eastAsia="en-GB"/>
              </w:rPr>
              <w:t>2028/29</w:t>
            </w:r>
          </w:p>
        </w:tc>
      </w:tr>
      <w:tr w:rsidR="00086251" w:rsidRPr="001C0B17" w14:paraId="2D7CC977" w14:textId="77777777" w:rsidTr="00D44C4D">
        <w:trPr>
          <w:trHeight w:val="315"/>
        </w:trPr>
        <w:tc>
          <w:tcPr>
            <w:tcW w:w="3828" w:type="dxa"/>
            <w:vAlign w:val="bottom"/>
          </w:tcPr>
          <w:p w14:paraId="23F45860" w14:textId="77777777" w:rsidR="00086251" w:rsidRDefault="00086251" w:rsidP="00086251">
            <w:pPr>
              <w:rPr>
                <w:rFonts w:ascii="Arial" w:hAnsi="Arial" w:cs="Arial"/>
                <w:color w:val="000000"/>
                <w:sz w:val="22"/>
                <w:szCs w:val="22"/>
              </w:rPr>
            </w:pPr>
          </w:p>
        </w:tc>
        <w:tc>
          <w:tcPr>
            <w:tcW w:w="1018" w:type="dxa"/>
          </w:tcPr>
          <w:p w14:paraId="6FEF2EF1" w14:textId="04AE2B33" w:rsidR="00086251" w:rsidRPr="00161887" w:rsidRDefault="00086251" w:rsidP="00086251">
            <w:pPr>
              <w:jc w:val="center"/>
              <w:rPr>
                <w:rFonts w:ascii="Arial" w:hAnsi="Arial" w:cs="Arial"/>
                <w:b/>
                <w:sz w:val="22"/>
                <w:szCs w:val="22"/>
                <w:lang w:eastAsia="en-GB"/>
              </w:rPr>
            </w:pPr>
            <w:r w:rsidRPr="00161887">
              <w:rPr>
                <w:rFonts w:ascii="Arial" w:hAnsi="Arial" w:cs="Arial"/>
                <w:b/>
                <w:sz w:val="22"/>
                <w:szCs w:val="22"/>
                <w:lang w:eastAsia="en-GB"/>
              </w:rPr>
              <w:t>£m</w:t>
            </w:r>
          </w:p>
        </w:tc>
        <w:tc>
          <w:tcPr>
            <w:tcW w:w="1018" w:type="dxa"/>
          </w:tcPr>
          <w:p w14:paraId="45E8CC1C" w14:textId="28BC0551" w:rsidR="00086251" w:rsidRPr="00161887" w:rsidRDefault="00086251" w:rsidP="00086251">
            <w:pPr>
              <w:jc w:val="center"/>
              <w:rPr>
                <w:rFonts w:ascii="Arial" w:hAnsi="Arial" w:cs="Arial"/>
                <w:b/>
                <w:sz w:val="22"/>
                <w:szCs w:val="22"/>
                <w:lang w:eastAsia="en-GB"/>
              </w:rPr>
            </w:pPr>
            <w:r w:rsidRPr="00161887">
              <w:rPr>
                <w:rFonts w:ascii="Arial" w:hAnsi="Arial" w:cs="Arial"/>
                <w:b/>
                <w:sz w:val="22"/>
                <w:szCs w:val="22"/>
                <w:lang w:eastAsia="en-GB"/>
              </w:rPr>
              <w:t>£m</w:t>
            </w:r>
          </w:p>
        </w:tc>
        <w:tc>
          <w:tcPr>
            <w:tcW w:w="1018" w:type="dxa"/>
          </w:tcPr>
          <w:p w14:paraId="0EEB320E" w14:textId="5024BA55" w:rsidR="00086251" w:rsidRPr="00161887" w:rsidRDefault="00086251" w:rsidP="00086251">
            <w:pPr>
              <w:jc w:val="center"/>
              <w:rPr>
                <w:rFonts w:ascii="Arial" w:hAnsi="Arial" w:cs="Arial"/>
                <w:b/>
                <w:sz w:val="22"/>
                <w:szCs w:val="22"/>
                <w:lang w:eastAsia="en-GB"/>
              </w:rPr>
            </w:pPr>
            <w:r w:rsidRPr="00161887">
              <w:rPr>
                <w:rFonts w:ascii="Arial" w:hAnsi="Arial" w:cs="Arial"/>
                <w:b/>
                <w:sz w:val="22"/>
                <w:szCs w:val="22"/>
                <w:lang w:eastAsia="en-GB"/>
              </w:rPr>
              <w:t>£m</w:t>
            </w:r>
          </w:p>
        </w:tc>
        <w:tc>
          <w:tcPr>
            <w:tcW w:w="1018" w:type="dxa"/>
          </w:tcPr>
          <w:p w14:paraId="6FEBFB6E" w14:textId="2C0D3AC7" w:rsidR="00086251" w:rsidRPr="00161887" w:rsidRDefault="00086251" w:rsidP="00086251">
            <w:pPr>
              <w:jc w:val="center"/>
              <w:rPr>
                <w:rFonts w:ascii="Arial" w:hAnsi="Arial" w:cs="Arial"/>
                <w:b/>
                <w:sz w:val="22"/>
                <w:szCs w:val="22"/>
                <w:lang w:eastAsia="en-GB"/>
              </w:rPr>
            </w:pPr>
            <w:r w:rsidRPr="00161887">
              <w:rPr>
                <w:rFonts w:ascii="Arial" w:hAnsi="Arial" w:cs="Arial"/>
                <w:b/>
                <w:sz w:val="22"/>
                <w:szCs w:val="22"/>
                <w:lang w:eastAsia="en-GB"/>
              </w:rPr>
              <w:t>£m</w:t>
            </w:r>
          </w:p>
        </w:tc>
        <w:tc>
          <w:tcPr>
            <w:tcW w:w="1018" w:type="dxa"/>
          </w:tcPr>
          <w:p w14:paraId="4B199B94" w14:textId="1294AD5A" w:rsidR="00086251" w:rsidRPr="00161887" w:rsidRDefault="00086251" w:rsidP="00086251">
            <w:pPr>
              <w:jc w:val="center"/>
              <w:rPr>
                <w:rFonts w:ascii="Arial" w:hAnsi="Arial" w:cs="Arial"/>
                <w:b/>
                <w:sz w:val="22"/>
                <w:szCs w:val="22"/>
                <w:lang w:eastAsia="en-GB"/>
              </w:rPr>
            </w:pPr>
            <w:r w:rsidRPr="00161887">
              <w:rPr>
                <w:rFonts w:ascii="Arial" w:hAnsi="Arial" w:cs="Arial"/>
                <w:b/>
                <w:sz w:val="22"/>
                <w:szCs w:val="22"/>
                <w:lang w:eastAsia="en-GB"/>
              </w:rPr>
              <w:t>£m</w:t>
            </w:r>
          </w:p>
        </w:tc>
      </w:tr>
      <w:tr w:rsidR="00C46EF4" w:rsidRPr="001C0B17" w14:paraId="21284E98" w14:textId="6850A2B8" w:rsidTr="00D44C4D">
        <w:trPr>
          <w:trHeight w:val="315"/>
        </w:trPr>
        <w:tc>
          <w:tcPr>
            <w:tcW w:w="3828" w:type="dxa"/>
            <w:vAlign w:val="bottom"/>
            <w:hideMark/>
          </w:tcPr>
          <w:p w14:paraId="2EFFBFE4" w14:textId="624027D3" w:rsidR="00C46EF4" w:rsidRPr="00CE2494" w:rsidRDefault="00314BEC" w:rsidP="00C46EF4">
            <w:pPr>
              <w:rPr>
                <w:rFonts w:ascii="Arial" w:hAnsi="Arial" w:cs="Arial"/>
                <w:b/>
                <w:sz w:val="22"/>
                <w:szCs w:val="22"/>
              </w:rPr>
            </w:pPr>
            <w:r w:rsidRPr="00CE2494">
              <w:rPr>
                <w:rFonts w:ascii="Arial" w:hAnsi="Arial" w:cs="Arial"/>
                <w:sz w:val="22"/>
                <w:szCs w:val="22"/>
              </w:rPr>
              <w:t>Legacy Funding Assessment</w:t>
            </w:r>
          </w:p>
        </w:tc>
        <w:tc>
          <w:tcPr>
            <w:tcW w:w="1018" w:type="dxa"/>
            <w:vAlign w:val="center"/>
          </w:tcPr>
          <w:p w14:paraId="556948A6" w14:textId="65350F04" w:rsidR="00C46EF4" w:rsidRPr="00CE2494" w:rsidRDefault="00590B8A" w:rsidP="00CE2494">
            <w:pPr>
              <w:jc w:val="right"/>
              <w:rPr>
                <w:rFonts w:ascii="Arial" w:hAnsi="Arial" w:cs="Arial"/>
                <w:b/>
                <w:sz w:val="22"/>
                <w:szCs w:val="22"/>
              </w:rPr>
            </w:pPr>
            <w:r>
              <w:rPr>
                <w:rFonts w:ascii="Arial" w:hAnsi="Arial" w:cs="Arial"/>
                <w:sz w:val="22"/>
                <w:szCs w:val="22"/>
              </w:rPr>
              <w:t>7.923</w:t>
            </w:r>
          </w:p>
        </w:tc>
        <w:tc>
          <w:tcPr>
            <w:tcW w:w="1018" w:type="dxa"/>
            <w:vAlign w:val="center"/>
          </w:tcPr>
          <w:p w14:paraId="4314F9AC" w14:textId="5E4C1D47" w:rsidR="00C46EF4" w:rsidRPr="00CE2494" w:rsidRDefault="000E1506" w:rsidP="00CE2494">
            <w:pPr>
              <w:jc w:val="right"/>
              <w:rPr>
                <w:rFonts w:ascii="Arial" w:hAnsi="Arial" w:cs="Arial"/>
                <w:b/>
                <w:sz w:val="22"/>
                <w:szCs w:val="22"/>
              </w:rPr>
            </w:pPr>
            <w:r>
              <w:rPr>
                <w:rFonts w:ascii="Arial" w:hAnsi="Arial" w:cs="Arial"/>
                <w:sz w:val="22"/>
                <w:szCs w:val="22"/>
              </w:rPr>
              <w:t>7.464</w:t>
            </w:r>
          </w:p>
        </w:tc>
        <w:tc>
          <w:tcPr>
            <w:tcW w:w="1018" w:type="dxa"/>
            <w:vAlign w:val="center"/>
          </w:tcPr>
          <w:p w14:paraId="16BB0E82" w14:textId="3573F412" w:rsidR="00C46EF4" w:rsidRPr="00CE2494" w:rsidRDefault="00314BEC" w:rsidP="00CE2494">
            <w:pPr>
              <w:jc w:val="right"/>
              <w:rPr>
                <w:rFonts w:ascii="Arial" w:hAnsi="Arial" w:cs="Arial"/>
                <w:sz w:val="22"/>
                <w:szCs w:val="22"/>
              </w:rPr>
            </w:pPr>
            <w:r w:rsidRPr="00CE2494">
              <w:rPr>
                <w:rFonts w:ascii="Arial" w:hAnsi="Arial" w:cs="Arial"/>
                <w:bCs/>
                <w:sz w:val="22"/>
                <w:szCs w:val="22"/>
              </w:rPr>
              <w:t>0</w:t>
            </w:r>
          </w:p>
        </w:tc>
        <w:tc>
          <w:tcPr>
            <w:tcW w:w="1018" w:type="dxa"/>
            <w:vAlign w:val="center"/>
          </w:tcPr>
          <w:p w14:paraId="32AF84DC" w14:textId="3C67224B" w:rsidR="00C46EF4" w:rsidRPr="00CE2494" w:rsidRDefault="00314BEC" w:rsidP="00CE2494">
            <w:pPr>
              <w:jc w:val="right"/>
              <w:rPr>
                <w:rFonts w:ascii="Arial" w:hAnsi="Arial" w:cs="Arial"/>
                <w:sz w:val="22"/>
                <w:szCs w:val="22"/>
              </w:rPr>
            </w:pPr>
            <w:r w:rsidRPr="00CE2494">
              <w:rPr>
                <w:rFonts w:ascii="Arial" w:hAnsi="Arial" w:cs="Arial"/>
                <w:bCs/>
                <w:sz w:val="22"/>
                <w:szCs w:val="22"/>
              </w:rPr>
              <w:t>0</w:t>
            </w:r>
          </w:p>
        </w:tc>
        <w:tc>
          <w:tcPr>
            <w:tcW w:w="1018" w:type="dxa"/>
            <w:vAlign w:val="center"/>
          </w:tcPr>
          <w:p w14:paraId="096B3577" w14:textId="5B9B6339" w:rsidR="00C46EF4" w:rsidRPr="00CE2494" w:rsidRDefault="00314BEC" w:rsidP="00CE2494">
            <w:pPr>
              <w:jc w:val="right"/>
              <w:rPr>
                <w:rFonts w:ascii="Arial" w:hAnsi="Arial" w:cs="Arial"/>
                <w:sz w:val="22"/>
                <w:szCs w:val="22"/>
              </w:rPr>
            </w:pPr>
            <w:r w:rsidRPr="00CE2494">
              <w:rPr>
                <w:rFonts w:ascii="Arial" w:hAnsi="Arial" w:cs="Arial"/>
                <w:bCs/>
                <w:sz w:val="22"/>
                <w:szCs w:val="22"/>
              </w:rPr>
              <w:t>0</w:t>
            </w:r>
          </w:p>
        </w:tc>
      </w:tr>
      <w:tr w:rsidR="00C46EF4" w:rsidRPr="001C0B17" w14:paraId="5CB8397A" w14:textId="1DCD2C94" w:rsidTr="00D44C4D">
        <w:trPr>
          <w:trHeight w:val="315"/>
        </w:trPr>
        <w:tc>
          <w:tcPr>
            <w:tcW w:w="3828" w:type="dxa"/>
          </w:tcPr>
          <w:p w14:paraId="225BEDFE" w14:textId="5244B506" w:rsidR="00C46EF4" w:rsidRPr="00CE2494" w:rsidRDefault="00314BEC" w:rsidP="00C261F8">
            <w:pPr>
              <w:rPr>
                <w:rFonts w:ascii="Arial" w:hAnsi="Arial" w:cs="Arial"/>
                <w:sz w:val="22"/>
                <w:szCs w:val="22"/>
              </w:rPr>
            </w:pPr>
            <w:r w:rsidRPr="00CE2494">
              <w:rPr>
                <w:rFonts w:ascii="Arial" w:hAnsi="Arial" w:cs="Arial"/>
                <w:sz w:val="22"/>
                <w:szCs w:val="22"/>
              </w:rPr>
              <w:t>Fair Funding Allocation</w:t>
            </w:r>
          </w:p>
        </w:tc>
        <w:tc>
          <w:tcPr>
            <w:tcW w:w="1018" w:type="dxa"/>
            <w:vAlign w:val="center"/>
          </w:tcPr>
          <w:p w14:paraId="61868605" w14:textId="0D6C2781" w:rsidR="00C46EF4" w:rsidRPr="00CE2494" w:rsidRDefault="00314BEC" w:rsidP="001723F8">
            <w:pPr>
              <w:jc w:val="right"/>
              <w:rPr>
                <w:rFonts w:ascii="Arial" w:hAnsi="Arial" w:cs="Arial"/>
                <w:sz w:val="22"/>
                <w:szCs w:val="22"/>
              </w:rPr>
            </w:pPr>
            <w:r w:rsidRPr="00CE2494">
              <w:rPr>
                <w:rFonts w:ascii="Arial" w:hAnsi="Arial" w:cs="Arial"/>
                <w:sz w:val="22"/>
                <w:szCs w:val="22"/>
              </w:rPr>
              <w:t>0.000</w:t>
            </w:r>
          </w:p>
        </w:tc>
        <w:tc>
          <w:tcPr>
            <w:tcW w:w="1018" w:type="dxa"/>
            <w:vAlign w:val="center"/>
          </w:tcPr>
          <w:p w14:paraId="00D056F2" w14:textId="09343FC8" w:rsidR="00C46EF4" w:rsidRPr="00CE2494" w:rsidRDefault="00314BEC" w:rsidP="001723F8">
            <w:pPr>
              <w:jc w:val="right"/>
              <w:rPr>
                <w:rFonts w:ascii="Arial" w:hAnsi="Arial" w:cs="Arial"/>
                <w:sz w:val="22"/>
                <w:szCs w:val="22"/>
              </w:rPr>
            </w:pPr>
            <w:r w:rsidRPr="00CE2494">
              <w:rPr>
                <w:rFonts w:ascii="Arial" w:hAnsi="Arial" w:cs="Arial"/>
                <w:sz w:val="22"/>
                <w:szCs w:val="22"/>
              </w:rPr>
              <w:t>0.000</w:t>
            </w:r>
          </w:p>
        </w:tc>
        <w:tc>
          <w:tcPr>
            <w:tcW w:w="1018" w:type="dxa"/>
            <w:vAlign w:val="center"/>
          </w:tcPr>
          <w:p w14:paraId="53A42F52" w14:textId="49B0B3FA" w:rsidR="00C46EF4" w:rsidRPr="00CE2494" w:rsidRDefault="000E1506" w:rsidP="001723F8">
            <w:pPr>
              <w:jc w:val="right"/>
              <w:rPr>
                <w:rFonts w:ascii="Arial" w:hAnsi="Arial" w:cs="Arial"/>
                <w:sz w:val="22"/>
                <w:szCs w:val="22"/>
              </w:rPr>
            </w:pPr>
            <w:r>
              <w:rPr>
                <w:rFonts w:ascii="Arial" w:hAnsi="Arial" w:cs="Arial"/>
                <w:bCs/>
                <w:sz w:val="22"/>
                <w:szCs w:val="22"/>
              </w:rPr>
              <w:t>8.802</w:t>
            </w:r>
          </w:p>
        </w:tc>
        <w:tc>
          <w:tcPr>
            <w:tcW w:w="1018" w:type="dxa"/>
            <w:vAlign w:val="center"/>
          </w:tcPr>
          <w:p w14:paraId="00DA2D30" w14:textId="300A0A6D" w:rsidR="00C46EF4" w:rsidRPr="00CE2494" w:rsidRDefault="00C638E5" w:rsidP="001723F8">
            <w:pPr>
              <w:jc w:val="right"/>
              <w:rPr>
                <w:rFonts w:ascii="Arial" w:hAnsi="Arial" w:cs="Arial"/>
                <w:sz w:val="22"/>
                <w:szCs w:val="22"/>
              </w:rPr>
            </w:pPr>
            <w:r w:rsidRPr="00CE2494">
              <w:rPr>
                <w:rFonts w:ascii="Arial" w:hAnsi="Arial" w:cs="Arial"/>
                <w:bCs/>
                <w:sz w:val="22"/>
                <w:szCs w:val="22"/>
              </w:rPr>
              <w:t>9.</w:t>
            </w:r>
            <w:r w:rsidR="000E1506">
              <w:rPr>
                <w:rFonts w:ascii="Arial" w:hAnsi="Arial" w:cs="Arial"/>
                <w:bCs/>
                <w:sz w:val="22"/>
                <w:szCs w:val="22"/>
              </w:rPr>
              <w:t>541</w:t>
            </w:r>
          </w:p>
        </w:tc>
        <w:tc>
          <w:tcPr>
            <w:tcW w:w="1018" w:type="dxa"/>
            <w:vAlign w:val="center"/>
          </w:tcPr>
          <w:p w14:paraId="145E84F2" w14:textId="436B038A" w:rsidR="00C46EF4" w:rsidRPr="00CE2494" w:rsidRDefault="00C638E5" w:rsidP="00BE62A9">
            <w:pPr>
              <w:jc w:val="right"/>
              <w:rPr>
                <w:rFonts w:ascii="Arial" w:hAnsi="Arial" w:cs="Arial"/>
                <w:sz w:val="22"/>
                <w:szCs w:val="22"/>
              </w:rPr>
            </w:pPr>
            <w:r w:rsidRPr="00CE2494">
              <w:rPr>
                <w:rFonts w:ascii="Arial" w:hAnsi="Arial" w:cs="Arial"/>
                <w:bCs/>
                <w:sz w:val="22"/>
                <w:szCs w:val="22"/>
              </w:rPr>
              <w:t>10.256</w:t>
            </w:r>
          </w:p>
        </w:tc>
      </w:tr>
      <w:tr w:rsidR="00C46EF4" w:rsidRPr="001C0B17" w14:paraId="06A0F0D9" w14:textId="38780FB1" w:rsidTr="00D44C4D">
        <w:trPr>
          <w:trHeight w:val="315"/>
        </w:trPr>
        <w:tc>
          <w:tcPr>
            <w:tcW w:w="3828" w:type="dxa"/>
          </w:tcPr>
          <w:p w14:paraId="2281D6B6" w14:textId="30E18C2F" w:rsidR="00C46EF4" w:rsidRPr="00CE2494" w:rsidRDefault="00314BEC" w:rsidP="00C261F8">
            <w:pPr>
              <w:rPr>
                <w:rFonts w:ascii="Arial" w:hAnsi="Arial" w:cs="Arial"/>
                <w:sz w:val="22"/>
                <w:szCs w:val="22"/>
              </w:rPr>
            </w:pPr>
            <w:r w:rsidRPr="00CE2494">
              <w:rPr>
                <w:rFonts w:ascii="Arial" w:hAnsi="Arial" w:cs="Arial"/>
                <w:sz w:val="22"/>
                <w:szCs w:val="22"/>
              </w:rPr>
              <w:t>Council tax requirement</w:t>
            </w:r>
          </w:p>
        </w:tc>
        <w:tc>
          <w:tcPr>
            <w:tcW w:w="1018" w:type="dxa"/>
            <w:vAlign w:val="center"/>
          </w:tcPr>
          <w:p w14:paraId="1B22DA53" w14:textId="347F8CCF" w:rsidR="00C46EF4" w:rsidRPr="00CE2494" w:rsidRDefault="00314BEC" w:rsidP="00DE4B31">
            <w:pPr>
              <w:jc w:val="right"/>
              <w:rPr>
                <w:rFonts w:ascii="Arial" w:hAnsi="Arial" w:cs="Arial"/>
                <w:sz w:val="22"/>
                <w:szCs w:val="22"/>
              </w:rPr>
            </w:pPr>
            <w:r w:rsidRPr="00CE2494">
              <w:rPr>
                <w:rFonts w:ascii="Arial" w:hAnsi="Arial" w:cs="Arial"/>
                <w:sz w:val="22"/>
                <w:szCs w:val="22"/>
              </w:rPr>
              <w:t>7.906</w:t>
            </w:r>
          </w:p>
        </w:tc>
        <w:tc>
          <w:tcPr>
            <w:tcW w:w="1018" w:type="dxa"/>
            <w:vAlign w:val="center"/>
          </w:tcPr>
          <w:p w14:paraId="231E6D3C" w14:textId="1C49C109" w:rsidR="00C46EF4" w:rsidRPr="00CE2494" w:rsidRDefault="00314BEC" w:rsidP="00DE4B31">
            <w:pPr>
              <w:jc w:val="right"/>
              <w:rPr>
                <w:rFonts w:ascii="Arial" w:hAnsi="Arial" w:cs="Arial"/>
                <w:sz w:val="22"/>
                <w:szCs w:val="22"/>
              </w:rPr>
            </w:pPr>
            <w:r w:rsidRPr="00CE2494">
              <w:rPr>
                <w:rFonts w:ascii="Arial" w:hAnsi="Arial" w:cs="Arial"/>
                <w:sz w:val="22"/>
                <w:szCs w:val="22"/>
              </w:rPr>
              <w:t>8.167</w:t>
            </w:r>
          </w:p>
        </w:tc>
        <w:tc>
          <w:tcPr>
            <w:tcW w:w="1018" w:type="dxa"/>
            <w:vAlign w:val="center"/>
          </w:tcPr>
          <w:p w14:paraId="61514A6C" w14:textId="197520A9" w:rsidR="00C46EF4" w:rsidRPr="00CE2494" w:rsidRDefault="0068018D" w:rsidP="00DE4B31">
            <w:pPr>
              <w:jc w:val="right"/>
              <w:rPr>
                <w:rFonts w:ascii="Arial" w:hAnsi="Arial" w:cs="Arial"/>
                <w:sz w:val="22"/>
                <w:szCs w:val="22"/>
              </w:rPr>
            </w:pPr>
            <w:r w:rsidRPr="00CE2494">
              <w:rPr>
                <w:rFonts w:ascii="Arial" w:hAnsi="Arial" w:cs="Arial"/>
                <w:sz w:val="22"/>
                <w:szCs w:val="22"/>
              </w:rPr>
              <w:t>8.529</w:t>
            </w:r>
          </w:p>
        </w:tc>
        <w:tc>
          <w:tcPr>
            <w:tcW w:w="1018" w:type="dxa"/>
            <w:vAlign w:val="center"/>
          </w:tcPr>
          <w:p w14:paraId="2B42EDC6" w14:textId="66BF2C2C" w:rsidR="00C46EF4" w:rsidRPr="00CE2494" w:rsidRDefault="0068018D" w:rsidP="00DE4B31">
            <w:pPr>
              <w:jc w:val="right"/>
              <w:rPr>
                <w:rFonts w:ascii="Arial" w:hAnsi="Arial" w:cs="Arial"/>
                <w:sz w:val="22"/>
                <w:szCs w:val="22"/>
              </w:rPr>
            </w:pPr>
            <w:r w:rsidRPr="00CE2494">
              <w:rPr>
                <w:rFonts w:ascii="Arial" w:hAnsi="Arial" w:cs="Arial"/>
                <w:sz w:val="22"/>
                <w:szCs w:val="22"/>
              </w:rPr>
              <w:t>8.908</w:t>
            </w:r>
          </w:p>
        </w:tc>
        <w:tc>
          <w:tcPr>
            <w:tcW w:w="1018" w:type="dxa"/>
            <w:vAlign w:val="center"/>
          </w:tcPr>
          <w:p w14:paraId="7C288E78" w14:textId="53124433" w:rsidR="00C46EF4" w:rsidRPr="00CE2494" w:rsidRDefault="0068018D" w:rsidP="00BE62A9">
            <w:pPr>
              <w:jc w:val="right"/>
              <w:rPr>
                <w:rFonts w:ascii="Arial" w:hAnsi="Arial" w:cs="Arial"/>
                <w:sz w:val="22"/>
                <w:szCs w:val="22"/>
              </w:rPr>
            </w:pPr>
            <w:r w:rsidRPr="00CE2494">
              <w:rPr>
                <w:rFonts w:ascii="Arial" w:hAnsi="Arial" w:cs="Arial"/>
                <w:sz w:val="22"/>
                <w:szCs w:val="22"/>
              </w:rPr>
              <w:t>9.303</w:t>
            </w:r>
          </w:p>
        </w:tc>
      </w:tr>
      <w:tr w:rsidR="00314BEC" w:rsidRPr="001C0B17" w14:paraId="5FA43C99" w14:textId="77777777" w:rsidTr="00D44C4D">
        <w:trPr>
          <w:trHeight w:val="315"/>
        </w:trPr>
        <w:tc>
          <w:tcPr>
            <w:tcW w:w="3828" w:type="dxa"/>
          </w:tcPr>
          <w:p w14:paraId="599AD22B" w14:textId="57CBBB38" w:rsidR="00314BEC" w:rsidRPr="00CE2494" w:rsidRDefault="00314BEC" w:rsidP="00CE2494">
            <w:pPr>
              <w:rPr>
                <w:rFonts w:ascii="Arial" w:hAnsi="Arial" w:cs="Arial"/>
                <w:sz w:val="22"/>
                <w:szCs w:val="22"/>
              </w:rPr>
            </w:pPr>
            <w:r w:rsidRPr="00CE2494">
              <w:rPr>
                <w:rFonts w:ascii="Arial" w:hAnsi="Arial" w:cs="Arial"/>
                <w:sz w:val="22"/>
                <w:szCs w:val="22"/>
              </w:rPr>
              <w:t>Homelessness, Rough Sleeping and Domestic Abuse</w:t>
            </w:r>
          </w:p>
        </w:tc>
        <w:tc>
          <w:tcPr>
            <w:tcW w:w="1018" w:type="dxa"/>
            <w:vAlign w:val="center"/>
          </w:tcPr>
          <w:p w14:paraId="237D9370" w14:textId="547F35F5" w:rsidR="00314BEC" w:rsidRPr="00CE2494" w:rsidRDefault="00314BEC" w:rsidP="00CE2494">
            <w:pPr>
              <w:jc w:val="right"/>
              <w:rPr>
                <w:rFonts w:ascii="Arial" w:hAnsi="Arial" w:cs="Arial"/>
                <w:sz w:val="22"/>
                <w:szCs w:val="22"/>
              </w:rPr>
            </w:pPr>
            <w:r w:rsidRPr="00CE2494">
              <w:rPr>
                <w:rFonts w:ascii="Arial" w:hAnsi="Arial" w:cs="Arial"/>
                <w:sz w:val="22"/>
                <w:szCs w:val="22"/>
              </w:rPr>
              <w:t>1.112</w:t>
            </w:r>
          </w:p>
        </w:tc>
        <w:tc>
          <w:tcPr>
            <w:tcW w:w="1018" w:type="dxa"/>
            <w:vAlign w:val="center"/>
          </w:tcPr>
          <w:p w14:paraId="238E0508" w14:textId="2F45E0FB" w:rsidR="00314BEC" w:rsidRPr="00CE2494" w:rsidRDefault="00314BEC" w:rsidP="00CE2494">
            <w:pPr>
              <w:jc w:val="right"/>
              <w:rPr>
                <w:rFonts w:ascii="Arial" w:hAnsi="Arial" w:cs="Arial"/>
                <w:sz w:val="22"/>
                <w:szCs w:val="22"/>
              </w:rPr>
            </w:pPr>
            <w:r w:rsidRPr="00CE2494">
              <w:rPr>
                <w:rFonts w:ascii="Arial" w:hAnsi="Arial" w:cs="Arial"/>
                <w:sz w:val="22"/>
                <w:szCs w:val="22"/>
              </w:rPr>
              <w:t>1.316</w:t>
            </w:r>
          </w:p>
        </w:tc>
        <w:tc>
          <w:tcPr>
            <w:tcW w:w="1018" w:type="dxa"/>
            <w:vAlign w:val="center"/>
          </w:tcPr>
          <w:p w14:paraId="1A63D97A" w14:textId="7EAAFF16" w:rsidR="00314BEC" w:rsidRPr="00CE2494" w:rsidRDefault="00AA38EB" w:rsidP="00CE2494">
            <w:pPr>
              <w:jc w:val="right"/>
              <w:rPr>
                <w:rFonts w:ascii="Arial" w:hAnsi="Arial" w:cs="Arial"/>
                <w:sz w:val="22"/>
                <w:szCs w:val="22"/>
              </w:rPr>
            </w:pPr>
            <w:r w:rsidRPr="00CE2494">
              <w:rPr>
                <w:rFonts w:ascii="Arial" w:hAnsi="Arial" w:cs="Arial"/>
                <w:sz w:val="22"/>
                <w:szCs w:val="22"/>
              </w:rPr>
              <w:t>1.4</w:t>
            </w:r>
            <w:r w:rsidR="00FB143A">
              <w:rPr>
                <w:rFonts w:ascii="Arial" w:hAnsi="Arial" w:cs="Arial"/>
                <w:sz w:val="22"/>
                <w:szCs w:val="22"/>
              </w:rPr>
              <w:t>77</w:t>
            </w:r>
          </w:p>
        </w:tc>
        <w:tc>
          <w:tcPr>
            <w:tcW w:w="1018" w:type="dxa"/>
            <w:vAlign w:val="center"/>
          </w:tcPr>
          <w:p w14:paraId="039AE16F" w14:textId="290C78D0" w:rsidR="00314BEC" w:rsidRPr="00CE2494" w:rsidRDefault="00AA38EB" w:rsidP="00CE2494">
            <w:pPr>
              <w:jc w:val="right"/>
              <w:rPr>
                <w:rFonts w:ascii="Arial" w:hAnsi="Arial" w:cs="Arial"/>
                <w:sz w:val="22"/>
                <w:szCs w:val="22"/>
              </w:rPr>
            </w:pPr>
            <w:r w:rsidRPr="00CE2494">
              <w:rPr>
                <w:rFonts w:ascii="Arial" w:hAnsi="Arial" w:cs="Arial"/>
                <w:sz w:val="22"/>
                <w:szCs w:val="22"/>
              </w:rPr>
              <w:t>1.3</w:t>
            </w:r>
            <w:r w:rsidR="00FB143A">
              <w:rPr>
                <w:rFonts w:ascii="Arial" w:hAnsi="Arial" w:cs="Arial"/>
                <w:sz w:val="22"/>
                <w:szCs w:val="22"/>
              </w:rPr>
              <w:t>78</w:t>
            </w:r>
          </w:p>
        </w:tc>
        <w:tc>
          <w:tcPr>
            <w:tcW w:w="1018" w:type="dxa"/>
            <w:vAlign w:val="center"/>
          </w:tcPr>
          <w:p w14:paraId="67C71712" w14:textId="79462560" w:rsidR="00314BEC" w:rsidRPr="00CE2494" w:rsidRDefault="00AA38EB" w:rsidP="00CE2494">
            <w:pPr>
              <w:jc w:val="right"/>
              <w:rPr>
                <w:rFonts w:ascii="Arial" w:hAnsi="Arial" w:cs="Arial"/>
                <w:sz w:val="22"/>
                <w:szCs w:val="22"/>
              </w:rPr>
            </w:pPr>
            <w:r w:rsidRPr="00CE2494">
              <w:rPr>
                <w:rFonts w:ascii="Arial" w:hAnsi="Arial" w:cs="Arial"/>
                <w:sz w:val="22"/>
                <w:szCs w:val="22"/>
              </w:rPr>
              <w:t>1.</w:t>
            </w:r>
            <w:r w:rsidR="00FB143A">
              <w:rPr>
                <w:rFonts w:ascii="Arial" w:hAnsi="Arial" w:cs="Arial"/>
                <w:sz w:val="22"/>
                <w:szCs w:val="22"/>
              </w:rPr>
              <w:t>318</w:t>
            </w:r>
          </w:p>
        </w:tc>
      </w:tr>
      <w:tr w:rsidR="00C46EF4" w:rsidRPr="001C0B17" w14:paraId="4D215B79" w14:textId="2C87A0A7" w:rsidTr="00D44C4D">
        <w:trPr>
          <w:trHeight w:val="315"/>
        </w:trPr>
        <w:tc>
          <w:tcPr>
            <w:tcW w:w="3828" w:type="dxa"/>
          </w:tcPr>
          <w:p w14:paraId="67445F9D" w14:textId="59AD104C" w:rsidR="00C46EF4" w:rsidRPr="00CE2494" w:rsidRDefault="00314BEC" w:rsidP="00C261F8">
            <w:pPr>
              <w:rPr>
                <w:rFonts w:ascii="Arial" w:hAnsi="Arial" w:cs="Arial"/>
                <w:sz w:val="22"/>
                <w:szCs w:val="22"/>
              </w:rPr>
            </w:pPr>
            <w:r w:rsidRPr="00CE2494">
              <w:rPr>
                <w:rFonts w:ascii="Arial" w:hAnsi="Arial" w:cs="Arial"/>
                <w:sz w:val="22"/>
                <w:szCs w:val="22"/>
              </w:rPr>
              <w:t>Grants rolled in to Revenue Support Grant</w:t>
            </w:r>
          </w:p>
        </w:tc>
        <w:tc>
          <w:tcPr>
            <w:tcW w:w="1018" w:type="dxa"/>
            <w:vAlign w:val="center"/>
          </w:tcPr>
          <w:p w14:paraId="35E835EA" w14:textId="07D93F09" w:rsidR="00C46EF4" w:rsidRPr="00CE2494" w:rsidRDefault="00314BEC" w:rsidP="001723F8">
            <w:pPr>
              <w:jc w:val="right"/>
              <w:rPr>
                <w:rFonts w:ascii="Arial" w:hAnsi="Arial" w:cs="Arial"/>
                <w:sz w:val="22"/>
                <w:szCs w:val="22"/>
              </w:rPr>
            </w:pPr>
            <w:r w:rsidRPr="00CE2494">
              <w:rPr>
                <w:rFonts w:ascii="Arial" w:hAnsi="Arial" w:cs="Arial"/>
                <w:sz w:val="22"/>
                <w:szCs w:val="22"/>
              </w:rPr>
              <w:t>0.307</w:t>
            </w:r>
          </w:p>
        </w:tc>
        <w:tc>
          <w:tcPr>
            <w:tcW w:w="1018" w:type="dxa"/>
            <w:vAlign w:val="center"/>
          </w:tcPr>
          <w:p w14:paraId="28692BB3" w14:textId="3454009B" w:rsidR="00C46EF4" w:rsidRPr="00CE2494" w:rsidRDefault="00314BEC" w:rsidP="001723F8">
            <w:pPr>
              <w:jc w:val="right"/>
              <w:rPr>
                <w:rFonts w:ascii="Arial" w:hAnsi="Arial" w:cs="Arial"/>
                <w:sz w:val="22"/>
                <w:szCs w:val="22"/>
              </w:rPr>
            </w:pPr>
            <w:r w:rsidRPr="00CE2494">
              <w:rPr>
                <w:rFonts w:ascii="Arial" w:hAnsi="Arial" w:cs="Arial"/>
                <w:sz w:val="22"/>
                <w:szCs w:val="22"/>
              </w:rPr>
              <w:t>0.513</w:t>
            </w:r>
          </w:p>
        </w:tc>
        <w:tc>
          <w:tcPr>
            <w:tcW w:w="1018" w:type="dxa"/>
            <w:vAlign w:val="center"/>
          </w:tcPr>
          <w:p w14:paraId="65BE35C3" w14:textId="50A8A0E9" w:rsidR="00C46EF4" w:rsidRPr="00CE2494" w:rsidRDefault="0090251F" w:rsidP="001723F8">
            <w:pPr>
              <w:jc w:val="right"/>
              <w:rPr>
                <w:rFonts w:ascii="Arial" w:hAnsi="Arial" w:cs="Arial"/>
                <w:sz w:val="22"/>
                <w:szCs w:val="22"/>
              </w:rPr>
            </w:pPr>
            <w:r w:rsidRPr="00CE2494">
              <w:rPr>
                <w:rFonts w:ascii="Arial" w:hAnsi="Arial" w:cs="Arial"/>
                <w:sz w:val="22"/>
                <w:szCs w:val="22"/>
              </w:rPr>
              <w:t>0</w:t>
            </w:r>
          </w:p>
        </w:tc>
        <w:tc>
          <w:tcPr>
            <w:tcW w:w="1018" w:type="dxa"/>
            <w:vAlign w:val="center"/>
          </w:tcPr>
          <w:p w14:paraId="1ACB7149" w14:textId="7031E442" w:rsidR="00C46EF4" w:rsidRPr="00CE2494" w:rsidRDefault="0090251F" w:rsidP="001723F8">
            <w:pPr>
              <w:jc w:val="right"/>
              <w:rPr>
                <w:rFonts w:ascii="Arial" w:hAnsi="Arial" w:cs="Arial"/>
                <w:sz w:val="22"/>
                <w:szCs w:val="22"/>
              </w:rPr>
            </w:pPr>
            <w:r w:rsidRPr="00CE2494">
              <w:rPr>
                <w:rFonts w:ascii="Arial" w:hAnsi="Arial" w:cs="Arial"/>
                <w:sz w:val="22"/>
                <w:szCs w:val="22"/>
              </w:rPr>
              <w:t>0</w:t>
            </w:r>
          </w:p>
        </w:tc>
        <w:tc>
          <w:tcPr>
            <w:tcW w:w="1018" w:type="dxa"/>
            <w:vAlign w:val="center"/>
          </w:tcPr>
          <w:p w14:paraId="745DFD41" w14:textId="75CCEAC4" w:rsidR="00C46EF4" w:rsidRPr="00CE2494" w:rsidRDefault="0090251F" w:rsidP="00834454">
            <w:pPr>
              <w:jc w:val="right"/>
              <w:rPr>
                <w:rFonts w:ascii="Arial" w:hAnsi="Arial" w:cs="Arial"/>
                <w:sz w:val="22"/>
                <w:szCs w:val="22"/>
              </w:rPr>
            </w:pPr>
            <w:r w:rsidRPr="00CE2494">
              <w:rPr>
                <w:rFonts w:ascii="Arial" w:hAnsi="Arial" w:cs="Arial"/>
                <w:iCs/>
                <w:sz w:val="22"/>
                <w:szCs w:val="22"/>
              </w:rPr>
              <w:t>0</w:t>
            </w:r>
          </w:p>
        </w:tc>
      </w:tr>
      <w:tr w:rsidR="00CE62D5" w:rsidRPr="001C0B17" w14:paraId="79B76097" w14:textId="77777777" w:rsidTr="00D44C4D">
        <w:trPr>
          <w:trHeight w:val="315"/>
        </w:trPr>
        <w:tc>
          <w:tcPr>
            <w:tcW w:w="3828" w:type="dxa"/>
          </w:tcPr>
          <w:p w14:paraId="0C440AFB" w14:textId="58579768" w:rsidR="00CE62D5" w:rsidRPr="00CE2494" w:rsidRDefault="00CE62D5" w:rsidP="00C261F8">
            <w:pPr>
              <w:rPr>
                <w:rFonts w:ascii="Arial" w:hAnsi="Arial" w:cs="Arial"/>
                <w:sz w:val="22"/>
                <w:szCs w:val="22"/>
              </w:rPr>
            </w:pPr>
            <w:r>
              <w:rPr>
                <w:rFonts w:ascii="Arial" w:hAnsi="Arial" w:cs="Arial"/>
                <w:sz w:val="22"/>
                <w:szCs w:val="22"/>
              </w:rPr>
              <w:t>Adjustment Support Grant</w:t>
            </w:r>
          </w:p>
        </w:tc>
        <w:tc>
          <w:tcPr>
            <w:tcW w:w="1018" w:type="dxa"/>
            <w:vAlign w:val="center"/>
          </w:tcPr>
          <w:p w14:paraId="2965E5B3" w14:textId="335867B2" w:rsidR="00CE62D5" w:rsidRPr="00CE2494" w:rsidRDefault="00CE62D5" w:rsidP="001723F8">
            <w:pPr>
              <w:jc w:val="right"/>
              <w:rPr>
                <w:rFonts w:ascii="Arial" w:hAnsi="Arial" w:cs="Arial"/>
                <w:sz w:val="22"/>
                <w:szCs w:val="22"/>
              </w:rPr>
            </w:pPr>
            <w:r>
              <w:rPr>
                <w:rFonts w:ascii="Arial" w:hAnsi="Arial" w:cs="Arial"/>
                <w:sz w:val="22"/>
                <w:szCs w:val="22"/>
              </w:rPr>
              <w:t>0</w:t>
            </w:r>
          </w:p>
        </w:tc>
        <w:tc>
          <w:tcPr>
            <w:tcW w:w="1018" w:type="dxa"/>
            <w:vAlign w:val="center"/>
          </w:tcPr>
          <w:p w14:paraId="4529C571" w14:textId="618ED541" w:rsidR="00CE62D5" w:rsidRPr="00CE2494" w:rsidRDefault="00CE62D5" w:rsidP="001723F8">
            <w:pPr>
              <w:jc w:val="right"/>
              <w:rPr>
                <w:rFonts w:ascii="Arial" w:hAnsi="Arial" w:cs="Arial"/>
                <w:sz w:val="22"/>
                <w:szCs w:val="22"/>
              </w:rPr>
            </w:pPr>
            <w:r>
              <w:rPr>
                <w:rFonts w:ascii="Arial" w:hAnsi="Arial" w:cs="Arial"/>
                <w:sz w:val="22"/>
                <w:szCs w:val="22"/>
              </w:rPr>
              <w:t>0</w:t>
            </w:r>
          </w:p>
        </w:tc>
        <w:tc>
          <w:tcPr>
            <w:tcW w:w="1018" w:type="dxa"/>
            <w:vAlign w:val="center"/>
          </w:tcPr>
          <w:p w14:paraId="6E88497A" w14:textId="7021BDB3" w:rsidR="00CE62D5" w:rsidRPr="00CE2494" w:rsidRDefault="00CE62D5" w:rsidP="001723F8">
            <w:pPr>
              <w:jc w:val="right"/>
              <w:rPr>
                <w:rFonts w:ascii="Arial" w:hAnsi="Arial" w:cs="Arial"/>
                <w:sz w:val="22"/>
                <w:szCs w:val="22"/>
              </w:rPr>
            </w:pPr>
            <w:r>
              <w:rPr>
                <w:rFonts w:ascii="Arial" w:hAnsi="Arial" w:cs="Arial"/>
                <w:sz w:val="22"/>
                <w:szCs w:val="22"/>
              </w:rPr>
              <w:t>0.379</w:t>
            </w:r>
          </w:p>
        </w:tc>
        <w:tc>
          <w:tcPr>
            <w:tcW w:w="1018" w:type="dxa"/>
            <w:vAlign w:val="center"/>
          </w:tcPr>
          <w:p w14:paraId="7D77CDD2" w14:textId="5977739D" w:rsidR="00CE62D5" w:rsidRPr="00CE2494" w:rsidRDefault="00CE62D5" w:rsidP="001723F8">
            <w:pPr>
              <w:jc w:val="right"/>
              <w:rPr>
                <w:rFonts w:ascii="Arial" w:hAnsi="Arial" w:cs="Arial"/>
                <w:sz w:val="22"/>
                <w:szCs w:val="22"/>
              </w:rPr>
            </w:pPr>
            <w:r>
              <w:rPr>
                <w:rFonts w:ascii="Arial" w:hAnsi="Arial" w:cs="Arial"/>
                <w:sz w:val="22"/>
                <w:szCs w:val="22"/>
              </w:rPr>
              <w:t>0</w:t>
            </w:r>
          </w:p>
        </w:tc>
        <w:tc>
          <w:tcPr>
            <w:tcW w:w="1018" w:type="dxa"/>
            <w:vAlign w:val="center"/>
          </w:tcPr>
          <w:p w14:paraId="781FDEE8" w14:textId="569B23FA" w:rsidR="00CE62D5" w:rsidRPr="00CE2494" w:rsidRDefault="00CE62D5" w:rsidP="00834454">
            <w:pPr>
              <w:jc w:val="right"/>
              <w:rPr>
                <w:rFonts w:ascii="Arial" w:hAnsi="Arial" w:cs="Arial"/>
                <w:iCs/>
                <w:sz w:val="22"/>
                <w:szCs w:val="22"/>
              </w:rPr>
            </w:pPr>
            <w:r>
              <w:rPr>
                <w:rFonts w:ascii="Arial" w:hAnsi="Arial" w:cs="Arial"/>
                <w:iCs/>
                <w:sz w:val="22"/>
                <w:szCs w:val="22"/>
              </w:rPr>
              <w:t>0</w:t>
            </w:r>
          </w:p>
        </w:tc>
      </w:tr>
      <w:tr w:rsidR="00314BEC" w:rsidRPr="001C0B17" w14:paraId="5FED663B" w14:textId="77777777" w:rsidTr="00D44C4D">
        <w:trPr>
          <w:trHeight w:val="315"/>
        </w:trPr>
        <w:tc>
          <w:tcPr>
            <w:tcW w:w="3828" w:type="dxa"/>
            <w:vAlign w:val="bottom"/>
          </w:tcPr>
          <w:p w14:paraId="6EA2A059" w14:textId="5F572067" w:rsidR="00314BEC" w:rsidRPr="00CE2494" w:rsidRDefault="00314BEC" w:rsidP="00CE2494">
            <w:pPr>
              <w:rPr>
                <w:rFonts w:ascii="Arial" w:hAnsi="Arial" w:cs="Arial"/>
                <w:sz w:val="22"/>
                <w:szCs w:val="22"/>
              </w:rPr>
            </w:pPr>
            <w:r w:rsidRPr="00CE2494">
              <w:rPr>
                <w:rFonts w:ascii="Arial" w:hAnsi="Arial" w:cs="Arial"/>
                <w:sz w:val="22"/>
                <w:szCs w:val="22"/>
              </w:rPr>
              <w:t xml:space="preserve">Recovery Grant </w:t>
            </w:r>
          </w:p>
        </w:tc>
        <w:tc>
          <w:tcPr>
            <w:tcW w:w="1018" w:type="dxa"/>
            <w:vAlign w:val="center"/>
          </w:tcPr>
          <w:p w14:paraId="6FEE6719" w14:textId="15A806F7" w:rsidR="00314BEC" w:rsidRPr="00CE2494" w:rsidRDefault="00314BEC" w:rsidP="00CE2494">
            <w:pPr>
              <w:jc w:val="right"/>
              <w:rPr>
                <w:rFonts w:ascii="Arial" w:hAnsi="Arial" w:cs="Arial"/>
                <w:sz w:val="22"/>
                <w:szCs w:val="22"/>
              </w:rPr>
            </w:pPr>
            <w:r w:rsidRPr="00CE2494">
              <w:rPr>
                <w:rFonts w:ascii="Arial" w:hAnsi="Arial" w:cs="Arial"/>
                <w:sz w:val="22"/>
                <w:szCs w:val="22"/>
              </w:rPr>
              <w:t>0.000</w:t>
            </w:r>
          </w:p>
        </w:tc>
        <w:tc>
          <w:tcPr>
            <w:tcW w:w="1018" w:type="dxa"/>
            <w:vAlign w:val="center"/>
          </w:tcPr>
          <w:p w14:paraId="27F61229" w14:textId="6A1FDE3C" w:rsidR="00314BEC" w:rsidRPr="00CE2494" w:rsidRDefault="00314BEC" w:rsidP="00CE2494">
            <w:pPr>
              <w:jc w:val="right"/>
              <w:rPr>
                <w:rFonts w:ascii="Arial" w:hAnsi="Arial" w:cs="Arial"/>
                <w:sz w:val="22"/>
                <w:szCs w:val="22"/>
              </w:rPr>
            </w:pPr>
            <w:r w:rsidRPr="00CE2494">
              <w:rPr>
                <w:rFonts w:ascii="Arial" w:hAnsi="Arial" w:cs="Arial"/>
                <w:sz w:val="22"/>
                <w:szCs w:val="22"/>
              </w:rPr>
              <w:t>0.414</w:t>
            </w:r>
          </w:p>
        </w:tc>
        <w:tc>
          <w:tcPr>
            <w:tcW w:w="1018" w:type="dxa"/>
            <w:vAlign w:val="center"/>
          </w:tcPr>
          <w:p w14:paraId="26236DE9" w14:textId="2FBFCAF7" w:rsidR="00314BEC" w:rsidRPr="00CE2494" w:rsidRDefault="0090251F" w:rsidP="00CE2494">
            <w:pPr>
              <w:jc w:val="right"/>
              <w:rPr>
                <w:rFonts w:ascii="Arial" w:hAnsi="Arial" w:cs="Arial"/>
                <w:sz w:val="22"/>
                <w:szCs w:val="22"/>
              </w:rPr>
            </w:pPr>
            <w:r w:rsidRPr="00CE2494">
              <w:rPr>
                <w:rFonts w:ascii="Arial" w:hAnsi="Arial" w:cs="Arial"/>
                <w:sz w:val="22"/>
                <w:szCs w:val="22"/>
              </w:rPr>
              <w:t>0.414</w:t>
            </w:r>
          </w:p>
        </w:tc>
        <w:tc>
          <w:tcPr>
            <w:tcW w:w="1018" w:type="dxa"/>
            <w:vAlign w:val="center"/>
          </w:tcPr>
          <w:p w14:paraId="383C5445" w14:textId="443A9E3D" w:rsidR="00314BEC" w:rsidRPr="00CE2494" w:rsidRDefault="0090251F" w:rsidP="00CE2494">
            <w:pPr>
              <w:jc w:val="right"/>
              <w:rPr>
                <w:rFonts w:ascii="Arial" w:hAnsi="Arial" w:cs="Arial"/>
                <w:sz w:val="22"/>
                <w:szCs w:val="22"/>
              </w:rPr>
            </w:pPr>
            <w:r w:rsidRPr="00CE2494">
              <w:rPr>
                <w:rFonts w:ascii="Arial" w:hAnsi="Arial" w:cs="Arial"/>
                <w:sz w:val="22"/>
                <w:szCs w:val="22"/>
              </w:rPr>
              <w:t>0.414</w:t>
            </w:r>
          </w:p>
        </w:tc>
        <w:tc>
          <w:tcPr>
            <w:tcW w:w="1018" w:type="dxa"/>
            <w:vAlign w:val="center"/>
          </w:tcPr>
          <w:p w14:paraId="7D799F9F" w14:textId="1E870424" w:rsidR="00314BEC" w:rsidRPr="00CE2494" w:rsidRDefault="0090251F" w:rsidP="00CE2494">
            <w:pPr>
              <w:jc w:val="right"/>
              <w:rPr>
                <w:rFonts w:ascii="Arial" w:hAnsi="Arial" w:cs="Arial"/>
                <w:iCs/>
                <w:sz w:val="22"/>
                <w:szCs w:val="22"/>
              </w:rPr>
            </w:pPr>
            <w:r w:rsidRPr="00CE2494">
              <w:rPr>
                <w:rFonts w:ascii="Arial" w:hAnsi="Arial" w:cs="Arial"/>
                <w:iCs/>
                <w:sz w:val="22"/>
                <w:szCs w:val="22"/>
              </w:rPr>
              <w:t>0.414</w:t>
            </w:r>
          </w:p>
        </w:tc>
      </w:tr>
      <w:tr w:rsidR="00C46EF4" w:rsidRPr="001C0B17" w14:paraId="1FE8EFD8" w14:textId="7EAE6B99" w:rsidTr="00D44C4D">
        <w:trPr>
          <w:trHeight w:val="330"/>
        </w:trPr>
        <w:tc>
          <w:tcPr>
            <w:tcW w:w="3828" w:type="dxa"/>
            <w:hideMark/>
          </w:tcPr>
          <w:p w14:paraId="13BEFE70" w14:textId="77777777" w:rsidR="00C46EF4" w:rsidRPr="00CE2494" w:rsidRDefault="00C46EF4" w:rsidP="00C261F8">
            <w:pPr>
              <w:rPr>
                <w:rFonts w:ascii="Arial" w:hAnsi="Arial" w:cs="Arial"/>
                <w:b/>
                <w:sz w:val="22"/>
                <w:szCs w:val="22"/>
              </w:rPr>
            </w:pPr>
            <w:r w:rsidRPr="00CE2494">
              <w:rPr>
                <w:rFonts w:ascii="Arial" w:hAnsi="Arial" w:cs="Arial"/>
                <w:b/>
                <w:sz w:val="22"/>
                <w:szCs w:val="22"/>
              </w:rPr>
              <w:t xml:space="preserve">Core Spending Power </w:t>
            </w:r>
          </w:p>
        </w:tc>
        <w:tc>
          <w:tcPr>
            <w:tcW w:w="1018" w:type="dxa"/>
            <w:vAlign w:val="center"/>
          </w:tcPr>
          <w:p w14:paraId="29DCFCAF" w14:textId="1869761F" w:rsidR="00C46EF4" w:rsidRPr="00CE2494" w:rsidRDefault="0090251F" w:rsidP="001723F8">
            <w:pPr>
              <w:jc w:val="right"/>
              <w:rPr>
                <w:rFonts w:ascii="Arial" w:hAnsi="Arial" w:cs="Arial"/>
                <w:b/>
                <w:sz w:val="22"/>
                <w:szCs w:val="22"/>
              </w:rPr>
            </w:pPr>
            <w:r w:rsidRPr="00CE2494">
              <w:rPr>
                <w:rFonts w:ascii="Arial" w:hAnsi="Arial" w:cs="Arial"/>
                <w:b/>
                <w:sz w:val="22"/>
                <w:szCs w:val="22"/>
              </w:rPr>
              <w:t>17.</w:t>
            </w:r>
            <w:r w:rsidR="00413776">
              <w:rPr>
                <w:rFonts w:ascii="Arial" w:hAnsi="Arial" w:cs="Arial"/>
                <w:b/>
                <w:sz w:val="22"/>
                <w:szCs w:val="22"/>
              </w:rPr>
              <w:t>247</w:t>
            </w:r>
          </w:p>
        </w:tc>
        <w:tc>
          <w:tcPr>
            <w:tcW w:w="1018" w:type="dxa"/>
            <w:vAlign w:val="center"/>
          </w:tcPr>
          <w:p w14:paraId="1DD68FD5" w14:textId="7D0C588D" w:rsidR="00C46EF4" w:rsidRPr="00CE2494" w:rsidRDefault="00413776" w:rsidP="001723F8">
            <w:pPr>
              <w:jc w:val="right"/>
              <w:rPr>
                <w:rFonts w:ascii="Arial" w:hAnsi="Arial" w:cs="Arial"/>
                <w:b/>
                <w:sz w:val="22"/>
                <w:szCs w:val="22"/>
              </w:rPr>
            </w:pPr>
            <w:r>
              <w:rPr>
                <w:rFonts w:ascii="Arial" w:hAnsi="Arial" w:cs="Arial"/>
                <w:b/>
                <w:sz w:val="22"/>
                <w:szCs w:val="22"/>
              </w:rPr>
              <w:t>17.874</w:t>
            </w:r>
          </w:p>
        </w:tc>
        <w:tc>
          <w:tcPr>
            <w:tcW w:w="1018" w:type="dxa"/>
            <w:vAlign w:val="center"/>
          </w:tcPr>
          <w:p w14:paraId="4B589214" w14:textId="4C3D649D" w:rsidR="00C46EF4" w:rsidRPr="00CE2494" w:rsidRDefault="0090251F" w:rsidP="001723F8">
            <w:pPr>
              <w:jc w:val="right"/>
              <w:rPr>
                <w:rFonts w:ascii="Arial" w:hAnsi="Arial" w:cs="Arial"/>
                <w:b/>
                <w:sz w:val="22"/>
                <w:szCs w:val="22"/>
              </w:rPr>
            </w:pPr>
            <w:r w:rsidRPr="00CE2494">
              <w:rPr>
                <w:rFonts w:ascii="Arial" w:hAnsi="Arial" w:cs="Arial"/>
                <w:b/>
                <w:sz w:val="22"/>
                <w:szCs w:val="22"/>
              </w:rPr>
              <w:t>19.</w:t>
            </w:r>
            <w:r w:rsidR="00413776">
              <w:rPr>
                <w:rFonts w:ascii="Arial" w:hAnsi="Arial" w:cs="Arial"/>
                <w:b/>
                <w:sz w:val="22"/>
                <w:szCs w:val="22"/>
              </w:rPr>
              <w:t>601</w:t>
            </w:r>
          </w:p>
        </w:tc>
        <w:tc>
          <w:tcPr>
            <w:tcW w:w="1018" w:type="dxa"/>
            <w:vAlign w:val="center"/>
          </w:tcPr>
          <w:p w14:paraId="6F6A239E" w14:textId="474B6190" w:rsidR="00C46EF4" w:rsidRPr="00CE2494" w:rsidRDefault="00CE2494" w:rsidP="001723F8">
            <w:pPr>
              <w:jc w:val="right"/>
              <w:rPr>
                <w:rFonts w:ascii="Arial" w:hAnsi="Arial" w:cs="Arial"/>
                <w:b/>
                <w:sz w:val="22"/>
                <w:szCs w:val="22"/>
              </w:rPr>
            </w:pPr>
            <w:r w:rsidRPr="00CE2494">
              <w:rPr>
                <w:rFonts w:ascii="Arial" w:hAnsi="Arial" w:cs="Arial"/>
                <w:b/>
                <w:sz w:val="22"/>
                <w:szCs w:val="22"/>
              </w:rPr>
              <w:t>20.</w:t>
            </w:r>
            <w:r w:rsidR="00B61063">
              <w:rPr>
                <w:rFonts w:ascii="Arial" w:hAnsi="Arial" w:cs="Arial"/>
                <w:b/>
                <w:sz w:val="22"/>
                <w:szCs w:val="22"/>
              </w:rPr>
              <w:t>2</w:t>
            </w:r>
            <w:r w:rsidR="00413776">
              <w:rPr>
                <w:rFonts w:ascii="Arial" w:hAnsi="Arial" w:cs="Arial"/>
                <w:b/>
                <w:sz w:val="22"/>
                <w:szCs w:val="22"/>
              </w:rPr>
              <w:t>41</w:t>
            </w:r>
          </w:p>
        </w:tc>
        <w:tc>
          <w:tcPr>
            <w:tcW w:w="1018" w:type="dxa"/>
            <w:vAlign w:val="center"/>
          </w:tcPr>
          <w:p w14:paraId="59445549" w14:textId="087E5F58" w:rsidR="00C46EF4" w:rsidRPr="00CE2494" w:rsidRDefault="00CE2494" w:rsidP="00BE62A9">
            <w:pPr>
              <w:jc w:val="right"/>
              <w:rPr>
                <w:rFonts w:ascii="Arial" w:hAnsi="Arial" w:cs="Arial"/>
                <w:b/>
                <w:sz w:val="22"/>
                <w:szCs w:val="22"/>
              </w:rPr>
            </w:pPr>
            <w:r w:rsidRPr="00CE2494">
              <w:rPr>
                <w:rFonts w:ascii="Arial" w:hAnsi="Arial" w:cs="Arial"/>
                <w:b/>
                <w:bCs/>
                <w:sz w:val="22"/>
                <w:szCs w:val="22"/>
              </w:rPr>
              <w:t>21.</w:t>
            </w:r>
            <w:r w:rsidR="00413776">
              <w:rPr>
                <w:rFonts w:ascii="Arial" w:hAnsi="Arial" w:cs="Arial"/>
                <w:b/>
                <w:bCs/>
                <w:sz w:val="22"/>
                <w:szCs w:val="22"/>
              </w:rPr>
              <w:t>291</w:t>
            </w:r>
          </w:p>
        </w:tc>
      </w:tr>
      <w:tr w:rsidR="00C46EF4" w:rsidRPr="001C0B17" w14:paraId="44FEF1A2" w14:textId="2712D447" w:rsidTr="00D44C4D">
        <w:trPr>
          <w:trHeight w:val="330"/>
        </w:trPr>
        <w:tc>
          <w:tcPr>
            <w:tcW w:w="3828" w:type="dxa"/>
            <w:noWrap/>
            <w:hideMark/>
          </w:tcPr>
          <w:p w14:paraId="2CB57744" w14:textId="77777777" w:rsidR="00C46EF4" w:rsidRPr="00CE2494" w:rsidRDefault="00C46EF4" w:rsidP="00C261F8">
            <w:pPr>
              <w:rPr>
                <w:rFonts w:ascii="Arial" w:hAnsi="Arial" w:cs="Arial"/>
                <w:b/>
                <w:sz w:val="22"/>
                <w:szCs w:val="22"/>
              </w:rPr>
            </w:pPr>
            <w:r w:rsidRPr="00CE2494">
              <w:rPr>
                <w:rFonts w:ascii="Arial" w:hAnsi="Arial" w:cs="Arial"/>
                <w:b/>
                <w:sz w:val="22"/>
                <w:szCs w:val="22"/>
              </w:rPr>
              <w:t>Change (%)</w:t>
            </w:r>
          </w:p>
        </w:tc>
        <w:tc>
          <w:tcPr>
            <w:tcW w:w="1018" w:type="dxa"/>
            <w:vAlign w:val="center"/>
          </w:tcPr>
          <w:p w14:paraId="60DD1D01" w14:textId="77777777" w:rsidR="00C46EF4" w:rsidRPr="00CE2494" w:rsidRDefault="00C46EF4" w:rsidP="00DE4B31">
            <w:pPr>
              <w:jc w:val="right"/>
              <w:rPr>
                <w:rFonts w:ascii="Arial" w:hAnsi="Arial" w:cs="Arial"/>
                <w:b/>
                <w:sz w:val="22"/>
                <w:szCs w:val="22"/>
              </w:rPr>
            </w:pPr>
          </w:p>
        </w:tc>
        <w:tc>
          <w:tcPr>
            <w:tcW w:w="1018" w:type="dxa"/>
            <w:vAlign w:val="center"/>
          </w:tcPr>
          <w:p w14:paraId="1DAE9904" w14:textId="539D6B6E" w:rsidR="00C46EF4" w:rsidRPr="00CE2494" w:rsidRDefault="00C46EF4" w:rsidP="00DE4B31">
            <w:pPr>
              <w:jc w:val="right"/>
              <w:rPr>
                <w:rFonts w:ascii="Arial" w:hAnsi="Arial" w:cs="Arial"/>
                <w:b/>
                <w:sz w:val="22"/>
                <w:szCs w:val="22"/>
              </w:rPr>
            </w:pPr>
          </w:p>
        </w:tc>
        <w:tc>
          <w:tcPr>
            <w:tcW w:w="1018" w:type="dxa"/>
            <w:vAlign w:val="center"/>
          </w:tcPr>
          <w:p w14:paraId="4E30E646" w14:textId="52F12201" w:rsidR="00C46EF4" w:rsidRPr="00CE2494" w:rsidRDefault="00F1236A" w:rsidP="00DE4B31">
            <w:pPr>
              <w:jc w:val="right"/>
              <w:rPr>
                <w:rFonts w:ascii="Arial" w:hAnsi="Arial" w:cs="Arial"/>
                <w:b/>
                <w:sz w:val="22"/>
                <w:szCs w:val="22"/>
              </w:rPr>
            </w:pPr>
            <w:r>
              <w:rPr>
                <w:rFonts w:ascii="Arial" w:hAnsi="Arial" w:cs="Arial"/>
                <w:b/>
                <w:sz w:val="22"/>
                <w:szCs w:val="22"/>
              </w:rPr>
              <w:t>9.7</w:t>
            </w:r>
            <w:r w:rsidR="00CE2494" w:rsidRPr="00CE2494">
              <w:rPr>
                <w:rFonts w:ascii="Arial" w:hAnsi="Arial" w:cs="Arial"/>
                <w:b/>
                <w:sz w:val="22"/>
                <w:szCs w:val="22"/>
              </w:rPr>
              <w:t>%</w:t>
            </w:r>
          </w:p>
        </w:tc>
        <w:tc>
          <w:tcPr>
            <w:tcW w:w="1018" w:type="dxa"/>
            <w:vAlign w:val="center"/>
          </w:tcPr>
          <w:p w14:paraId="1C62F5E5" w14:textId="5055EADF" w:rsidR="00C46EF4" w:rsidRPr="00CE2494" w:rsidRDefault="00F1236A" w:rsidP="00DE4B31">
            <w:pPr>
              <w:jc w:val="right"/>
              <w:rPr>
                <w:rFonts w:ascii="Arial" w:hAnsi="Arial" w:cs="Arial"/>
                <w:b/>
                <w:sz w:val="22"/>
                <w:szCs w:val="22"/>
              </w:rPr>
            </w:pPr>
            <w:r>
              <w:rPr>
                <w:rFonts w:ascii="Arial" w:hAnsi="Arial" w:cs="Arial"/>
                <w:b/>
                <w:sz w:val="22"/>
                <w:szCs w:val="22"/>
              </w:rPr>
              <w:t>3.3</w:t>
            </w:r>
            <w:r w:rsidR="00CE2494" w:rsidRPr="00CE2494">
              <w:rPr>
                <w:rFonts w:ascii="Arial" w:hAnsi="Arial" w:cs="Arial"/>
                <w:b/>
                <w:sz w:val="22"/>
                <w:szCs w:val="22"/>
              </w:rPr>
              <w:t>%</w:t>
            </w:r>
          </w:p>
        </w:tc>
        <w:tc>
          <w:tcPr>
            <w:tcW w:w="1018" w:type="dxa"/>
            <w:vAlign w:val="center"/>
          </w:tcPr>
          <w:p w14:paraId="2E27CE7C" w14:textId="1BA21A8A" w:rsidR="00C46EF4" w:rsidRPr="00CE2494" w:rsidRDefault="00F1236A" w:rsidP="00BE62A9">
            <w:pPr>
              <w:jc w:val="right"/>
              <w:rPr>
                <w:rFonts w:ascii="Arial" w:hAnsi="Arial" w:cs="Arial"/>
                <w:b/>
                <w:sz w:val="22"/>
                <w:szCs w:val="22"/>
              </w:rPr>
            </w:pPr>
            <w:r>
              <w:rPr>
                <w:rFonts w:ascii="Arial" w:hAnsi="Arial" w:cs="Arial"/>
                <w:b/>
                <w:sz w:val="22"/>
                <w:szCs w:val="22"/>
              </w:rPr>
              <w:t>5</w:t>
            </w:r>
            <w:r w:rsidR="00CE2494" w:rsidRPr="00CE2494">
              <w:rPr>
                <w:rFonts w:ascii="Arial" w:hAnsi="Arial" w:cs="Arial"/>
                <w:b/>
                <w:sz w:val="22"/>
                <w:szCs w:val="22"/>
              </w:rPr>
              <w:t>.2%</w:t>
            </w:r>
          </w:p>
        </w:tc>
      </w:tr>
    </w:tbl>
    <w:p w14:paraId="6319ED21" w14:textId="77777777" w:rsidR="00563961" w:rsidRPr="001C0B17" w:rsidRDefault="00563961" w:rsidP="00E2032B">
      <w:pPr>
        <w:jc w:val="both"/>
        <w:rPr>
          <w:rFonts w:ascii="Arial" w:hAnsi="Arial" w:cs="Arial"/>
          <w:highlight w:val="yellow"/>
        </w:rPr>
      </w:pPr>
    </w:p>
    <w:p w14:paraId="0371FAC7" w14:textId="59F747F5" w:rsidR="00051982" w:rsidRPr="00D603ED" w:rsidRDefault="0056482D" w:rsidP="00051982">
      <w:pPr>
        <w:jc w:val="both"/>
        <w:rPr>
          <w:rFonts w:ascii="Arial" w:hAnsi="Arial" w:cs="Arial"/>
          <w:i/>
        </w:rPr>
      </w:pPr>
      <w:r>
        <w:rPr>
          <w:rFonts w:ascii="Arial" w:hAnsi="Arial" w:cs="Arial"/>
          <w:i/>
        </w:rPr>
        <w:t>Fair</w:t>
      </w:r>
      <w:r w:rsidR="0009516B" w:rsidRPr="00D603ED">
        <w:rPr>
          <w:rFonts w:ascii="Arial" w:hAnsi="Arial" w:cs="Arial"/>
          <w:i/>
        </w:rPr>
        <w:t xml:space="preserve"> Funding A</w:t>
      </w:r>
      <w:r w:rsidR="00AA4838">
        <w:rPr>
          <w:rFonts w:ascii="Arial" w:hAnsi="Arial" w:cs="Arial"/>
          <w:i/>
        </w:rPr>
        <w:t>llocation</w:t>
      </w:r>
      <w:r w:rsidR="00626B26">
        <w:rPr>
          <w:rFonts w:ascii="Arial" w:hAnsi="Arial" w:cs="Arial"/>
          <w:i/>
        </w:rPr>
        <w:t xml:space="preserve"> (FFA)</w:t>
      </w:r>
    </w:p>
    <w:p w14:paraId="46AE567F" w14:textId="77777777" w:rsidR="00FF6B36" w:rsidRPr="00D603ED" w:rsidRDefault="00FF6B36" w:rsidP="00E2032B">
      <w:pPr>
        <w:autoSpaceDE w:val="0"/>
        <w:autoSpaceDN w:val="0"/>
        <w:adjustRightInd w:val="0"/>
        <w:jc w:val="both"/>
        <w:rPr>
          <w:rFonts w:ascii="Arial" w:hAnsi="Arial" w:cs="Arial"/>
        </w:rPr>
      </w:pPr>
    </w:p>
    <w:p w14:paraId="29391470" w14:textId="0053FA39" w:rsidR="00E05BAF" w:rsidRPr="00D603ED" w:rsidRDefault="00192FFA" w:rsidP="00E05BAF">
      <w:pPr>
        <w:jc w:val="both"/>
        <w:rPr>
          <w:rFonts w:ascii="Arial" w:hAnsi="Arial" w:cs="Arial"/>
        </w:rPr>
      </w:pPr>
      <w:r w:rsidRPr="00D603ED">
        <w:rPr>
          <w:rFonts w:ascii="Arial" w:hAnsi="Arial" w:cs="Arial"/>
        </w:rPr>
        <w:t>The</w:t>
      </w:r>
      <w:r w:rsidR="00E05BAF" w:rsidRPr="00D603ED">
        <w:rPr>
          <w:rFonts w:ascii="Arial" w:hAnsi="Arial" w:cs="Arial"/>
        </w:rPr>
        <w:t xml:space="preserve"> </w:t>
      </w:r>
      <w:r w:rsidR="0056482D">
        <w:rPr>
          <w:rFonts w:ascii="Arial" w:hAnsi="Arial" w:cs="Arial"/>
        </w:rPr>
        <w:t>F</w:t>
      </w:r>
      <w:r w:rsidR="00E05BAF" w:rsidRPr="00D603ED">
        <w:rPr>
          <w:rFonts w:ascii="Arial" w:hAnsi="Arial" w:cs="Arial"/>
        </w:rPr>
        <w:t xml:space="preserve">FA </w:t>
      </w:r>
      <w:r w:rsidRPr="00D603ED">
        <w:rPr>
          <w:rFonts w:ascii="Arial" w:hAnsi="Arial" w:cs="Arial"/>
        </w:rPr>
        <w:t xml:space="preserve">for each authority </w:t>
      </w:r>
      <w:r w:rsidR="00E05BAF" w:rsidRPr="00D603ED">
        <w:rPr>
          <w:rFonts w:ascii="Arial" w:hAnsi="Arial" w:cs="Arial"/>
        </w:rPr>
        <w:t>comprises of NNDR Baseline funding level and Revenue Support Grant. For the Council this is broken down as follows:</w:t>
      </w:r>
    </w:p>
    <w:p w14:paraId="0DD1DF69" w14:textId="77777777" w:rsidR="00E05BAF" w:rsidRPr="001C0B17" w:rsidRDefault="00E05BAF" w:rsidP="00E05BAF">
      <w:pPr>
        <w:jc w:val="both"/>
        <w:rPr>
          <w:rFonts w:ascii="Arial" w:hAnsi="Arial" w:cs="Arial"/>
          <w:highlight w:val="yellow"/>
        </w:rPr>
      </w:pPr>
    </w:p>
    <w:tbl>
      <w:tblPr>
        <w:tblW w:w="70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134"/>
        <w:gridCol w:w="1134"/>
        <w:gridCol w:w="1134"/>
      </w:tblGrid>
      <w:tr w:rsidR="0069551C" w:rsidRPr="001C0B17" w14:paraId="1BF82B6F" w14:textId="678DBA1C" w:rsidTr="00517186">
        <w:trPr>
          <w:trHeight w:val="379"/>
        </w:trPr>
        <w:tc>
          <w:tcPr>
            <w:tcW w:w="3686" w:type="dxa"/>
            <w:noWrap/>
            <w:hideMark/>
          </w:tcPr>
          <w:p w14:paraId="47748700" w14:textId="77777777" w:rsidR="0069551C" w:rsidRPr="007B2A76" w:rsidRDefault="0069551C" w:rsidP="0069551C">
            <w:pPr>
              <w:rPr>
                <w:rFonts w:ascii="Arial" w:hAnsi="Arial" w:cs="Arial"/>
                <w:b/>
              </w:rPr>
            </w:pPr>
            <w:r w:rsidRPr="007B2A76">
              <w:rPr>
                <w:rFonts w:ascii="Arial" w:hAnsi="Arial" w:cs="Arial"/>
                <w:b/>
              </w:rPr>
              <w:t> </w:t>
            </w:r>
          </w:p>
        </w:tc>
        <w:tc>
          <w:tcPr>
            <w:tcW w:w="1134" w:type="dxa"/>
          </w:tcPr>
          <w:p w14:paraId="38BA5562" w14:textId="28D2601D" w:rsidR="0069551C" w:rsidRPr="007B2A76" w:rsidRDefault="00517186" w:rsidP="0069551C">
            <w:pPr>
              <w:jc w:val="center"/>
              <w:rPr>
                <w:rFonts w:ascii="Arial" w:hAnsi="Arial" w:cs="Arial"/>
                <w:b/>
              </w:rPr>
            </w:pPr>
            <w:r w:rsidRPr="007B2A76">
              <w:rPr>
                <w:rFonts w:ascii="Arial" w:hAnsi="Arial" w:cs="Arial"/>
                <w:b/>
              </w:rPr>
              <w:t>2026/27</w:t>
            </w:r>
          </w:p>
        </w:tc>
        <w:tc>
          <w:tcPr>
            <w:tcW w:w="1134" w:type="dxa"/>
          </w:tcPr>
          <w:p w14:paraId="592FCF42" w14:textId="0490B2A7" w:rsidR="0069551C" w:rsidRPr="007B2A76" w:rsidRDefault="00517186" w:rsidP="0069551C">
            <w:pPr>
              <w:jc w:val="center"/>
              <w:rPr>
                <w:rFonts w:ascii="Arial" w:hAnsi="Arial" w:cs="Arial"/>
                <w:b/>
              </w:rPr>
            </w:pPr>
            <w:r w:rsidRPr="007B2A76">
              <w:rPr>
                <w:rFonts w:ascii="Arial" w:hAnsi="Arial" w:cs="Arial"/>
                <w:b/>
                <w:bCs/>
              </w:rPr>
              <w:t>2027/28</w:t>
            </w:r>
          </w:p>
        </w:tc>
        <w:tc>
          <w:tcPr>
            <w:tcW w:w="1134" w:type="dxa"/>
          </w:tcPr>
          <w:p w14:paraId="4329C32D" w14:textId="14C113C0" w:rsidR="0069551C" w:rsidRPr="007B2A76" w:rsidRDefault="00517186" w:rsidP="0069551C">
            <w:pPr>
              <w:jc w:val="center"/>
              <w:rPr>
                <w:rFonts w:ascii="Arial" w:hAnsi="Arial" w:cs="Arial"/>
                <w:b/>
              </w:rPr>
            </w:pPr>
            <w:r w:rsidRPr="007B2A76">
              <w:rPr>
                <w:rFonts w:ascii="Arial" w:hAnsi="Arial" w:cs="Arial"/>
                <w:b/>
              </w:rPr>
              <w:t>2028/29</w:t>
            </w:r>
          </w:p>
        </w:tc>
      </w:tr>
      <w:tr w:rsidR="0069551C" w:rsidRPr="001C0B17" w14:paraId="09DA9121" w14:textId="6DC40E3A" w:rsidTr="00517186">
        <w:trPr>
          <w:trHeight w:val="315"/>
        </w:trPr>
        <w:tc>
          <w:tcPr>
            <w:tcW w:w="3686" w:type="dxa"/>
            <w:hideMark/>
          </w:tcPr>
          <w:p w14:paraId="1AA6F5A0" w14:textId="77777777" w:rsidR="0069551C" w:rsidRPr="007B2A76" w:rsidRDefault="0069551C" w:rsidP="0069551C">
            <w:pPr>
              <w:rPr>
                <w:rFonts w:ascii="Arial" w:hAnsi="Arial" w:cs="Arial"/>
                <w:b/>
              </w:rPr>
            </w:pPr>
            <w:r w:rsidRPr="007B2A76">
              <w:rPr>
                <w:rFonts w:ascii="Arial" w:hAnsi="Arial" w:cs="Arial"/>
                <w:b/>
              </w:rPr>
              <w:t> </w:t>
            </w:r>
          </w:p>
        </w:tc>
        <w:tc>
          <w:tcPr>
            <w:tcW w:w="1134" w:type="dxa"/>
          </w:tcPr>
          <w:p w14:paraId="5A40479A" w14:textId="0DFA9A2A" w:rsidR="0069551C" w:rsidRPr="007B2A76" w:rsidRDefault="0069551C" w:rsidP="0069551C">
            <w:pPr>
              <w:jc w:val="center"/>
              <w:rPr>
                <w:rFonts w:ascii="Arial" w:hAnsi="Arial" w:cs="Arial"/>
                <w:b/>
              </w:rPr>
            </w:pPr>
            <w:r w:rsidRPr="007B2A76">
              <w:rPr>
                <w:rFonts w:ascii="Arial" w:hAnsi="Arial" w:cs="Arial"/>
                <w:b/>
              </w:rPr>
              <w:t>£m</w:t>
            </w:r>
          </w:p>
        </w:tc>
        <w:tc>
          <w:tcPr>
            <w:tcW w:w="1134" w:type="dxa"/>
          </w:tcPr>
          <w:p w14:paraId="48260718" w14:textId="75742292" w:rsidR="0069551C" w:rsidRPr="007B2A76" w:rsidRDefault="0069551C" w:rsidP="0069551C">
            <w:pPr>
              <w:jc w:val="center"/>
              <w:rPr>
                <w:rFonts w:ascii="Arial" w:hAnsi="Arial" w:cs="Arial"/>
                <w:b/>
              </w:rPr>
            </w:pPr>
            <w:r w:rsidRPr="007B2A76">
              <w:rPr>
                <w:rFonts w:ascii="Arial" w:hAnsi="Arial" w:cs="Arial"/>
                <w:b/>
              </w:rPr>
              <w:t>£m</w:t>
            </w:r>
          </w:p>
        </w:tc>
        <w:tc>
          <w:tcPr>
            <w:tcW w:w="1134" w:type="dxa"/>
          </w:tcPr>
          <w:p w14:paraId="1562CB2C" w14:textId="421D53D8" w:rsidR="0069551C" w:rsidRPr="007B2A76" w:rsidRDefault="0069551C" w:rsidP="0069551C">
            <w:pPr>
              <w:jc w:val="center"/>
              <w:rPr>
                <w:rFonts w:ascii="Arial" w:hAnsi="Arial" w:cs="Arial"/>
                <w:b/>
              </w:rPr>
            </w:pPr>
            <w:r w:rsidRPr="007B2A76">
              <w:rPr>
                <w:rFonts w:ascii="Arial" w:hAnsi="Arial" w:cs="Arial"/>
                <w:b/>
              </w:rPr>
              <w:t>£m</w:t>
            </w:r>
          </w:p>
        </w:tc>
      </w:tr>
      <w:tr w:rsidR="0069551C" w:rsidRPr="001C0B17" w14:paraId="7FD525FF" w14:textId="0D428468" w:rsidTr="00517186">
        <w:trPr>
          <w:trHeight w:val="315"/>
        </w:trPr>
        <w:tc>
          <w:tcPr>
            <w:tcW w:w="3686" w:type="dxa"/>
            <w:hideMark/>
          </w:tcPr>
          <w:p w14:paraId="20FE5E01" w14:textId="2DECDD41" w:rsidR="0069551C" w:rsidRPr="007B2A76" w:rsidRDefault="0069551C" w:rsidP="004D31D2">
            <w:pPr>
              <w:rPr>
                <w:rFonts w:ascii="Arial" w:hAnsi="Arial" w:cs="Arial"/>
              </w:rPr>
            </w:pPr>
            <w:r w:rsidRPr="007B2A76">
              <w:rPr>
                <w:rFonts w:ascii="Arial" w:hAnsi="Arial" w:cs="Arial"/>
              </w:rPr>
              <w:t>Revenue Support Grant</w:t>
            </w:r>
          </w:p>
        </w:tc>
        <w:tc>
          <w:tcPr>
            <w:tcW w:w="1134" w:type="dxa"/>
          </w:tcPr>
          <w:p w14:paraId="49651730" w14:textId="3A7205FC" w:rsidR="0069551C" w:rsidRPr="007B2A76" w:rsidRDefault="007B2A76" w:rsidP="004D31D2">
            <w:pPr>
              <w:jc w:val="right"/>
              <w:rPr>
                <w:rFonts w:ascii="Arial" w:hAnsi="Arial" w:cs="Arial"/>
                <w:lang w:eastAsia="en-GB"/>
              </w:rPr>
            </w:pPr>
            <w:r w:rsidRPr="007B2A76">
              <w:rPr>
                <w:rFonts w:ascii="Arial" w:hAnsi="Arial" w:cs="Arial"/>
                <w:lang w:eastAsia="en-GB"/>
              </w:rPr>
              <w:t>4.</w:t>
            </w:r>
            <w:r w:rsidR="00183143">
              <w:rPr>
                <w:rFonts w:ascii="Arial" w:hAnsi="Arial" w:cs="Arial"/>
                <w:lang w:eastAsia="en-GB"/>
              </w:rPr>
              <w:t>114</w:t>
            </w:r>
          </w:p>
        </w:tc>
        <w:tc>
          <w:tcPr>
            <w:tcW w:w="1134" w:type="dxa"/>
          </w:tcPr>
          <w:p w14:paraId="26478373" w14:textId="5A212A72" w:rsidR="0069551C" w:rsidRPr="007B2A76" w:rsidRDefault="00BB0F64" w:rsidP="0077174E">
            <w:pPr>
              <w:jc w:val="right"/>
              <w:rPr>
                <w:rFonts w:ascii="Arial" w:hAnsi="Arial" w:cs="Arial"/>
                <w:lang w:eastAsia="en-GB"/>
              </w:rPr>
            </w:pPr>
            <w:r w:rsidRPr="007B2A76">
              <w:rPr>
                <w:rFonts w:ascii="Arial" w:hAnsi="Arial" w:cs="Arial"/>
                <w:lang w:eastAsia="en-GB"/>
              </w:rPr>
              <w:t>4.</w:t>
            </w:r>
            <w:r w:rsidR="00183143">
              <w:rPr>
                <w:rFonts w:ascii="Arial" w:hAnsi="Arial" w:cs="Arial"/>
                <w:lang w:eastAsia="en-GB"/>
              </w:rPr>
              <w:t>746</w:t>
            </w:r>
          </w:p>
        </w:tc>
        <w:tc>
          <w:tcPr>
            <w:tcW w:w="1134" w:type="dxa"/>
          </w:tcPr>
          <w:p w14:paraId="4BDE3850" w14:textId="50A528B8" w:rsidR="0069551C" w:rsidRPr="007B2A76" w:rsidRDefault="00BB0F64" w:rsidP="0077174E">
            <w:pPr>
              <w:jc w:val="right"/>
              <w:rPr>
                <w:rFonts w:ascii="Arial" w:hAnsi="Arial" w:cs="Arial"/>
                <w:lang w:eastAsia="en-GB"/>
              </w:rPr>
            </w:pPr>
            <w:r w:rsidRPr="007B2A76">
              <w:rPr>
                <w:rFonts w:ascii="Arial" w:hAnsi="Arial" w:cs="Arial"/>
                <w:lang w:eastAsia="en-GB"/>
              </w:rPr>
              <w:t>5.364</w:t>
            </w:r>
          </w:p>
        </w:tc>
      </w:tr>
      <w:tr w:rsidR="0069551C" w:rsidRPr="001C0B17" w14:paraId="597E320D" w14:textId="2D195082" w:rsidTr="00517186">
        <w:trPr>
          <w:trHeight w:val="315"/>
        </w:trPr>
        <w:tc>
          <w:tcPr>
            <w:tcW w:w="3686" w:type="dxa"/>
            <w:hideMark/>
          </w:tcPr>
          <w:p w14:paraId="2F1FAC09" w14:textId="45E58FF7" w:rsidR="0069551C" w:rsidRPr="007B2A76" w:rsidRDefault="0069551C" w:rsidP="004D31D2">
            <w:pPr>
              <w:rPr>
                <w:rFonts w:ascii="Arial" w:hAnsi="Arial" w:cs="Arial"/>
              </w:rPr>
            </w:pPr>
            <w:r w:rsidRPr="007B2A76">
              <w:rPr>
                <w:rFonts w:ascii="Arial" w:hAnsi="Arial" w:cs="Arial"/>
              </w:rPr>
              <w:t xml:space="preserve">Baseline Funding Level </w:t>
            </w:r>
          </w:p>
        </w:tc>
        <w:tc>
          <w:tcPr>
            <w:tcW w:w="1134" w:type="dxa"/>
          </w:tcPr>
          <w:p w14:paraId="4EB266C9" w14:textId="552638CC" w:rsidR="0069551C" w:rsidRPr="007B2A76" w:rsidRDefault="00CF6FF6" w:rsidP="00662B72">
            <w:pPr>
              <w:jc w:val="right"/>
              <w:rPr>
                <w:rFonts w:ascii="Arial" w:hAnsi="Arial" w:cs="Arial"/>
              </w:rPr>
            </w:pPr>
            <w:r w:rsidRPr="007B2A76">
              <w:rPr>
                <w:rFonts w:ascii="Arial" w:hAnsi="Arial" w:cs="Arial"/>
              </w:rPr>
              <w:t>4.688</w:t>
            </w:r>
          </w:p>
        </w:tc>
        <w:tc>
          <w:tcPr>
            <w:tcW w:w="1134" w:type="dxa"/>
          </w:tcPr>
          <w:p w14:paraId="2EFBBE7C" w14:textId="6A79AAA7" w:rsidR="0069551C" w:rsidRPr="007B2A76" w:rsidRDefault="0069551C" w:rsidP="0077174E">
            <w:pPr>
              <w:jc w:val="right"/>
              <w:rPr>
                <w:rFonts w:ascii="Arial" w:hAnsi="Arial" w:cs="Arial"/>
              </w:rPr>
            </w:pPr>
            <w:r w:rsidRPr="007B2A76">
              <w:rPr>
                <w:rFonts w:ascii="Arial" w:hAnsi="Arial" w:cs="Arial"/>
              </w:rPr>
              <w:t>4.</w:t>
            </w:r>
            <w:r w:rsidR="00BB0F64" w:rsidRPr="007B2A76">
              <w:rPr>
                <w:rFonts w:ascii="Arial" w:hAnsi="Arial" w:cs="Arial"/>
              </w:rPr>
              <w:t>795</w:t>
            </w:r>
          </w:p>
        </w:tc>
        <w:tc>
          <w:tcPr>
            <w:tcW w:w="1134" w:type="dxa"/>
          </w:tcPr>
          <w:p w14:paraId="3F32593A" w14:textId="65323EBD" w:rsidR="0069551C" w:rsidRPr="007B2A76" w:rsidRDefault="00C9621B" w:rsidP="0077174E">
            <w:pPr>
              <w:jc w:val="right"/>
              <w:rPr>
                <w:rFonts w:ascii="Arial" w:hAnsi="Arial" w:cs="Arial"/>
              </w:rPr>
            </w:pPr>
            <w:r w:rsidRPr="007B2A76">
              <w:rPr>
                <w:rFonts w:ascii="Arial" w:hAnsi="Arial" w:cs="Arial"/>
              </w:rPr>
              <w:t>4.</w:t>
            </w:r>
            <w:r w:rsidR="00BB0F64" w:rsidRPr="007B2A76">
              <w:rPr>
                <w:rFonts w:ascii="Arial" w:hAnsi="Arial" w:cs="Arial"/>
              </w:rPr>
              <w:t>892</w:t>
            </w:r>
          </w:p>
        </w:tc>
      </w:tr>
      <w:tr w:rsidR="0069551C" w:rsidRPr="001C0B17" w14:paraId="588700D0" w14:textId="0107FCE6" w:rsidTr="00517186">
        <w:trPr>
          <w:trHeight w:val="330"/>
        </w:trPr>
        <w:tc>
          <w:tcPr>
            <w:tcW w:w="3686" w:type="dxa"/>
            <w:hideMark/>
          </w:tcPr>
          <w:p w14:paraId="59531163" w14:textId="1C991F84" w:rsidR="0069551C" w:rsidRPr="007B2A76" w:rsidRDefault="00D8547D" w:rsidP="004D31D2">
            <w:pPr>
              <w:rPr>
                <w:rFonts w:ascii="Arial" w:hAnsi="Arial" w:cs="Arial"/>
                <w:b/>
              </w:rPr>
            </w:pPr>
            <w:r>
              <w:rPr>
                <w:rFonts w:ascii="Arial" w:hAnsi="Arial" w:cs="Arial"/>
                <w:b/>
              </w:rPr>
              <w:t>FFA</w:t>
            </w:r>
          </w:p>
        </w:tc>
        <w:tc>
          <w:tcPr>
            <w:tcW w:w="1134" w:type="dxa"/>
          </w:tcPr>
          <w:p w14:paraId="4C323911" w14:textId="475D4B35" w:rsidR="0069551C" w:rsidRPr="007B2A76" w:rsidRDefault="00183143" w:rsidP="00662B72">
            <w:pPr>
              <w:jc w:val="right"/>
              <w:rPr>
                <w:rFonts w:ascii="Arial" w:hAnsi="Arial" w:cs="Arial"/>
                <w:b/>
              </w:rPr>
            </w:pPr>
            <w:r>
              <w:rPr>
                <w:rFonts w:ascii="Arial" w:hAnsi="Arial" w:cs="Arial"/>
                <w:b/>
              </w:rPr>
              <w:t>8.802</w:t>
            </w:r>
          </w:p>
        </w:tc>
        <w:tc>
          <w:tcPr>
            <w:tcW w:w="1134" w:type="dxa"/>
          </w:tcPr>
          <w:p w14:paraId="7AD7C626" w14:textId="54641F0A" w:rsidR="0069551C" w:rsidRPr="007B2A76" w:rsidRDefault="007B2A76" w:rsidP="0077174E">
            <w:pPr>
              <w:jc w:val="right"/>
              <w:rPr>
                <w:rFonts w:ascii="Arial" w:hAnsi="Arial" w:cs="Arial"/>
                <w:b/>
              </w:rPr>
            </w:pPr>
            <w:r w:rsidRPr="007B2A76">
              <w:rPr>
                <w:rFonts w:ascii="Arial" w:hAnsi="Arial" w:cs="Arial"/>
                <w:b/>
              </w:rPr>
              <w:t>9.</w:t>
            </w:r>
            <w:r w:rsidR="00183143">
              <w:rPr>
                <w:rFonts w:ascii="Arial" w:hAnsi="Arial" w:cs="Arial"/>
                <w:b/>
              </w:rPr>
              <w:t>541</w:t>
            </w:r>
          </w:p>
        </w:tc>
        <w:tc>
          <w:tcPr>
            <w:tcW w:w="1134" w:type="dxa"/>
          </w:tcPr>
          <w:p w14:paraId="2A7DBC47" w14:textId="60231A72" w:rsidR="0069551C" w:rsidRPr="007B2A76" w:rsidRDefault="007B2A76" w:rsidP="0077174E">
            <w:pPr>
              <w:jc w:val="right"/>
              <w:rPr>
                <w:rFonts w:ascii="Arial" w:hAnsi="Arial" w:cs="Arial"/>
                <w:b/>
              </w:rPr>
            </w:pPr>
            <w:r w:rsidRPr="007B2A76">
              <w:rPr>
                <w:rFonts w:ascii="Arial" w:hAnsi="Arial" w:cs="Arial"/>
                <w:b/>
              </w:rPr>
              <w:t>10.256</w:t>
            </w:r>
          </w:p>
        </w:tc>
      </w:tr>
    </w:tbl>
    <w:p w14:paraId="312FCAF7" w14:textId="77777777" w:rsidR="00B6249C" w:rsidRPr="001C0B17" w:rsidRDefault="00B6249C" w:rsidP="006B75F3">
      <w:pPr>
        <w:autoSpaceDE w:val="0"/>
        <w:autoSpaceDN w:val="0"/>
        <w:adjustRightInd w:val="0"/>
        <w:jc w:val="both"/>
        <w:rPr>
          <w:rFonts w:ascii="Arial" w:hAnsi="Arial" w:cs="Arial"/>
          <w:i/>
          <w:highlight w:val="yellow"/>
        </w:rPr>
      </w:pPr>
    </w:p>
    <w:p w14:paraId="5A60C983" w14:textId="75A40A65" w:rsidR="00CF3FA8" w:rsidRPr="0056482D" w:rsidRDefault="00CF3FA8" w:rsidP="006B75F3">
      <w:pPr>
        <w:autoSpaceDE w:val="0"/>
        <w:autoSpaceDN w:val="0"/>
        <w:adjustRightInd w:val="0"/>
        <w:jc w:val="both"/>
        <w:rPr>
          <w:rFonts w:ascii="Arial" w:hAnsi="Arial" w:cs="Arial"/>
          <w:i/>
        </w:rPr>
      </w:pPr>
      <w:r w:rsidRPr="0056482D">
        <w:rPr>
          <w:rFonts w:ascii="Arial" w:hAnsi="Arial" w:cs="Arial"/>
          <w:i/>
        </w:rPr>
        <w:t>Revenue Support Grant</w:t>
      </w:r>
    </w:p>
    <w:p w14:paraId="27694505" w14:textId="77777777" w:rsidR="006B75F3" w:rsidRDefault="006B75F3" w:rsidP="004D3AE4">
      <w:pPr>
        <w:jc w:val="both"/>
        <w:rPr>
          <w:rFonts w:ascii="Arial" w:hAnsi="Arial" w:cs="Arial"/>
          <w:shd w:val="clear" w:color="auto" w:fill="FFFFFF"/>
        </w:rPr>
      </w:pPr>
    </w:p>
    <w:p w14:paraId="517DC173" w14:textId="3A95FF20" w:rsidR="004D3AE4" w:rsidRPr="003411F3" w:rsidRDefault="004D3AE4" w:rsidP="004D3AE4">
      <w:pPr>
        <w:jc w:val="both"/>
        <w:rPr>
          <w:rFonts w:ascii="Arial" w:hAnsi="Arial" w:cs="Arial"/>
        </w:rPr>
      </w:pPr>
      <w:r w:rsidRPr="003411F3">
        <w:rPr>
          <w:rFonts w:ascii="Arial" w:hAnsi="Arial" w:cs="Arial"/>
          <w:shd w:val="clear" w:color="auto" w:fill="FFFFFF"/>
        </w:rPr>
        <w:t>The MTFS assumes an ongoing grant allocation beyond 202</w:t>
      </w:r>
      <w:r w:rsidR="003411F3" w:rsidRPr="003411F3">
        <w:rPr>
          <w:rFonts w:ascii="Arial" w:hAnsi="Arial" w:cs="Arial"/>
          <w:shd w:val="clear" w:color="auto" w:fill="FFFFFF"/>
        </w:rPr>
        <w:t>8/</w:t>
      </w:r>
      <w:r w:rsidRPr="003411F3">
        <w:rPr>
          <w:rFonts w:ascii="Arial" w:hAnsi="Arial" w:cs="Arial"/>
          <w:shd w:val="clear" w:color="auto" w:fill="FFFFFF"/>
        </w:rPr>
        <w:t>2</w:t>
      </w:r>
      <w:r w:rsidR="003411F3" w:rsidRPr="003411F3">
        <w:rPr>
          <w:rFonts w:ascii="Arial" w:hAnsi="Arial" w:cs="Arial"/>
          <w:shd w:val="clear" w:color="auto" w:fill="FFFFFF"/>
        </w:rPr>
        <w:t>9</w:t>
      </w:r>
      <w:r w:rsidRPr="003411F3">
        <w:rPr>
          <w:rFonts w:ascii="Arial" w:hAnsi="Arial" w:cs="Arial"/>
          <w:shd w:val="clear" w:color="auto" w:fill="FFFFFF"/>
        </w:rPr>
        <w:t xml:space="preserve"> of £</w:t>
      </w:r>
      <w:r w:rsidR="003411F3" w:rsidRPr="003411F3">
        <w:rPr>
          <w:rFonts w:ascii="Arial" w:hAnsi="Arial" w:cs="Arial"/>
          <w:shd w:val="clear" w:color="auto" w:fill="FFFFFF"/>
        </w:rPr>
        <w:t>5.364</w:t>
      </w:r>
      <w:r w:rsidRPr="003411F3">
        <w:rPr>
          <w:rFonts w:ascii="Arial" w:hAnsi="Arial" w:cs="Arial"/>
          <w:shd w:val="clear" w:color="auto" w:fill="FFFFFF"/>
        </w:rPr>
        <w:t xml:space="preserve">m p.a. </w:t>
      </w:r>
    </w:p>
    <w:p w14:paraId="64E224CC" w14:textId="77777777" w:rsidR="00AC17D9" w:rsidRPr="00626B26" w:rsidRDefault="00AC17D9" w:rsidP="00E2032B">
      <w:pPr>
        <w:autoSpaceDE w:val="0"/>
        <w:autoSpaceDN w:val="0"/>
        <w:adjustRightInd w:val="0"/>
        <w:jc w:val="both"/>
        <w:rPr>
          <w:rFonts w:ascii="Arial" w:hAnsi="Arial" w:cs="Arial"/>
          <w:i/>
        </w:rPr>
      </w:pPr>
    </w:p>
    <w:p w14:paraId="52AA8D96" w14:textId="77777777" w:rsidR="00E2032B" w:rsidRPr="00626B26" w:rsidRDefault="00E2032B" w:rsidP="00E2032B">
      <w:pPr>
        <w:autoSpaceDE w:val="0"/>
        <w:autoSpaceDN w:val="0"/>
        <w:adjustRightInd w:val="0"/>
        <w:jc w:val="both"/>
        <w:rPr>
          <w:rFonts w:ascii="Arial" w:hAnsi="Arial" w:cs="Arial"/>
          <w:i/>
        </w:rPr>
      </w:pPr>
      <w:r w:rsidRPr="00626B26">
        <w:rPr>
          <w:rFonts w:ascii="Arial" w:hAnsi="Arial" w:cs="Arial"/>
          <w:i/>
        </w:rPr>
        <w:t>Business Rates Retention</w:t>
      </w:r>
    </w:p>
    <w:p w14:paraId="74068769" w14:textId="77777777" w:rsidR="00267676" w:rsidRPr="001C0B17" w:rsidRDefault="00267676" w:rsidP="00241379">
      <w:pPr>
        <w:autoSpaceDE w:val="0"/>
        <w:autoSpaceDN w:val="0"/>
        <w:adjustRightInd w:val="0"/>
        <w:jc w:val="both"/>
        <w:rPr>
          <w:rFonts w:ascii="Arial" w:hAnsi="Arial" w:cs="Arial"/>
          <w:highlight w:val="yellow"/>
        </w:rPr>
      </w:pPr>
    </w:p>
    <w:p w14:paraId="688A475E" w14:textId="60C9071D" w:rsidR="00251B38" w:rsidRDefault="00860B05" w:rsidP="00251B38">
      <w:pPr>
        <w:autoSpaceDE w:val="0"/>
        <w:autoSpaceDN w:val="0"/>
        <w:adjustRightInd w:val="0"/>
        <w:jc w:val="both"/>
        <w:rPr>
          <w:rFonts w:ascii="Arial" w:hAnsi="Arial" w:cs="Arial"/>
        </w:rPr>
      </w:pPr>
      <w:r w:rsidRPr="00C4299D">
        <w:rPr>
          <w:rFonts w:ascii="Arial" w:hAnsi="Arial" w:cs="Arial"/>
        </w:rPr>
        <w:t>Although</w:t>
      </w:r>
      <w:r w:rsidR="004E62D5" w:rsidRPr="00C4299D">
        <w:rPr>
          <w:rFonts w:ascii="Arial" w:hAnsi="Arial" w:cs="Arial"/>
        </w:rPr>
        <w:t xml:space="preserve"> </w:t>
      </w:r>
      <w:r w:rsidR="00BD7E15" w:rsidRPr="00C4299D">
        <w:rPr>
          <w:rFonts w:ascii="Arial" w:hAnsi="Arial" w:cs="Arial"/>
        </w:rPr>
        <w:t>the FFA provide</w:t>
      </w:r>
      <w:r w:rsidR="000E15CC" w:rsidRPr="00C4299D">
        <w:rPr>
          <w:rFonts w:ascii="Arial" w:hAnsi="Arial" w:cs="Arial"/>
        </w:rPr>
        <w:t xml:space="preserve">s a baseline funding level for business rates, the </w:t>
      </w:r>
      <w:r w:rsidR="00251B38" w:rsidRPr="00C4299D">
        <w:rPr>
          <w:rFonts w:ascii="Arial" w:hAnsi="Arial" w:cs="Arial"/>
        </w:rPr>
        <w:t>actual level</w:t>
      </w:r>
      <w:r w:rsidR="00251B38">
        <w:rPr>
          <w:rFonts w:ascii="Arial" w:hAnsi="Arial" w:cs="Arial"/>
        </w:rPr>
        <w:t xml:space="preserve"> of income to be received by the Council will be determined by the actual level of business rates it collects in year. If the Council collects a higher level of business rates compared to its baseline funding level</w:t>
      </w:r>
      <w:r w:rsidR="00251B38" w:rsidRPr="0032123A">
        <w:rPr>
          <w:rFonts w:ascii="Arial" w:hAnsi="Arial" w:cs="Arial"/>
        </w:rPr>
        <w:t xml:space="preserve"> then</w:t>
      </w:r>
      <w:r w:rsidR="00251B38">
        <w:rPr>
          <w:rFonts w:ascii="Arial" w:hAnsi="Arial" w:cs="Arial"/>
        </w:rPr>
        <w:t xml:space="preserve"> it is reward</w:t>
      </w:r>
      <w:r w:rsidR="00251B38" w:rsidRPr="00B61353">
        <w:rPr>
          <w:rFonts w:ascii="Arial" w:hAnsi="Arial" w:cs="Arial"/>
        </w:rPr>
        <w:t>ed through the scheme as it is able to retain an element of its</w:t>
      </w:r>
      <w:r w:rsidR="00251B38">
        <w:rPr>
          <w:rFonts w:ascii="Arial" w:hAnsi="Arial" w:cs="Arial"/>
        </w:rPr>
        <w:t xml:space="preserve"> increased revenues.  However</w:t>
      </w:r>
      <w:r w:rsidR="007B2E92">
        <w:rPr>
          <w:rFonts w:ascii="Arial" w:hAnsi="Arial" w:cs="Arial"/>
        </w:rPr>
        <w:t>,</w:t>
      </w:r>
      <w:r w:rsidR="00251B38">
        <w:rPr>
          <w:rFonts w:ascii="Arial" w:hAnsi="Arial" w:cs="Arial"/>
        </w:rPr>
        <w:t xml:space="preserve"> if</w:t>
      </w:r>
      <w:r w:rsidR="00251B38" w:rsidRPr="00B61353">
        <w:rPr>
          <w:rFonts w:ascii="Arial" w:hAnsi="Arial" w:cs="Arial"/>
        </w:rPr>
        <w:t xml:space="preserve"> it collects a lower level of </w:t>
      </w:r>
      <w:r w:rsidR="007B2E92">
        <w:rPr>
          <w:rFonts w:ascii="Arial" w:hAnsi="Arial" w:cs="Arial"/>
        </w:rPr>
        <w:t>business rates</w:t>
      </w:r>
      <w:r w:rsidR="00251B38" w:rsidRPr="00B61353">
        <w:rPr>
          <w:rFonts w:ascii="Arial" w:hAnsi="Arial" w:cs="Arial"/>
        </w:rPr>
        <w:t xml:space="preserve"> income it will see a decline in its business rates taxbase and a </w:t>
      </w:r>
      <w:r w:rsidR="00251B38">
        <w:rPr>
          <w:rFonts w:ascii="Arial" w:hAnsi="Arial" w:cs="Arial"/>
        </w:rPr>
        <w:t>relative reduction</w:t>
      </w:r>
      <w:r w:rsidR="00251B38" w:rsidRPr="00B61353">
        <w:rPr>
          <w:rFonts w:ascii="Arial" w:hAnsi="Arial" w:cs="Arial"/>
        </w:rPr>
        <w:t xml:space="preserve"> in resources</w:t>
      </w:r>
      <w:r w:rsidR="003A2AFA">
        <w:rPr>
          <w:rFonts w:ascii="Arial" w:hAnsi="Arial" w:cs="Arial"/>
        </w:rPr>
        <w:t>.</w:t>
      </w:r>
    </w:p>
    <w:p w14:paraId="360CF322" w14:textId="77777777" w:rsidR="00151975" w:rsidRDefault="00151975" w:rsidP="00251B38">
      <w:pPr>
        <w:autoSpaceDE w:val="0"/>
        <w:autoSpaceDN w:val="0"/>
        <w:adjustRightInd w:val="0"/>
        <w:jc w:val="both"/>
        <w:rPr>
          <w:rFonts w:ascii="Arial" w:hAnsi="Arial" w:cs="Arial"/>
        </w:rPr>
      </w:pPr>
    </w:p>
    <w:p w14:paraId="7FEF51D0" w14:textId="5CB90CFB" w:rsidR="009145D5" w:rsidRDefault="009145D5" w:rsidP="009145D5">
      <w:pPr>
        <w:autoSpaceDE w:val="0"/>
        <w:autoSpaceDN w:val="0"/>
        <w:adjustRightInd w:val="0"/>
        <w:jc w:val="both"/>
        <w:rPr>
          <w:rFonts w:ascii="Arial" w:hAnsi="Arial" w:cs="Arial"/>
        </w:rPr>
      </w:pPr>
      <w:r w:rsidRPr="00BE2C07">
        <w:rPr>
          <w:rFonts w:ascii="Arial" w:hAnsi="Arial" w:cs="Arial"/>
        </w:rPr>
        <w:t>The Council has undertaken an assessment of the amount of business rates that it expects to collect during 202</w:t>
      </w:r>
      <w:r w:rsidR="009D03FE">
        <w:rPr>
          <w:rFonts w:ascii="Arial" w:hAnsi="Arial" w:cs="Arial"/>
        </w:rPr>
        <w:t>6</w:t>
      </w:r>
      <w:r w:rsidRPr="00BE2C07">
        <w:rPr>
          <w:rFonts w:ascii="Arial" w:hAnsi="Arial" w:cs="Arial"/>
        </w:rPr>
        <w:t>/2</w:t>
      </w:r>
      <w:r w:rsidR="009D03FE">
        <w:rPr>
          <w:rFonts w:ascii="Arial" w:hAnsi="Arial" w:cs="Arial"/>
        </w:rPr>
        <w:t>7</w:t>
      </w:r>
      <w:r>
        <w:rPr>
          <w:rFonts w:ascii="Arial" w:hAnsi="Arial" w:cs="Arial"/>
        </w:rPr>
        <w:t xml:space="preserve"> </w:t>
      </w:r>
      <w:r w:rsidRPr="00BE2C07">
        <w:rPr>
          <w:rFonts w:ascii="Arial" w:hAnsi="Arial" w:cs="Arial"/>
        </w:rPr>
        <w:t xml:space="preserve">and based on the principles of the Business Rates Retention scheme the estimated level of NDR to be retained is set out in the table below. </w:t>
      </w:r>
    </w:p>
    <w:p w14:paraId="6DCE21A2" w14:textId="77777777" w:rsidR="0058301E" w:rsidRDefault="0058301E" w:rsidP="00BF1B16">
      <w:pPr>
        <w:jc w:val="both"/>
        <w:rPr>
          <w:rFonts w:ascii="Arial" w:hAnsi="Arial" w:cs="Arial"/>
        </w:rPr>
      </w:pPr>
    </w:p>
    <w:p w14:paraId="4AA20069" w14:textId="7440E775" w:rsidR="00BF1B16" w:rsidRDefault="00C127CB" w:rsidP="006A3A25">
      <w:pPr>
        <w:jc w:val="both"/>
        <w:rPr>
          <w:rFonts w:ascii="Arial" w:hAnsi="Arial" w:cs="Arial"/>
        </w:rPr>
      </w:pPr>
      <w:r>
        <w:rPr>
          <w:rFonts w:ascii="Arial" w:hAnsi="Arial" w:cs="Arial"/>
        </w:rPr>
        <w:t xml:space="preserve">As part of the Business Rates Reset, </w:t>
      </w:r>
      <w:r w:rsidR="00BF1B16">
        <w:rPr>
          <w:rFonts w:ascii="Arial" w:hAnsi="Arial" w:cs="Arial"/>
        </w:rPr>
        <w:t xml:space="preserve">the Government have </w:t>
      </w:r>
      <w:r>
        <w:rPr>
          <w:rFonts w:ascii="Arial" w:hAnsi="Arial" w:cs="Arial"/>
        </w:rPr>
        <w:t xml:space="preserve">for 2026/27 </w:t>
      </w:r>
      <w:r w:rsidR="00BF1B16">
        <w:rPr>
          <w:rFonts w:ascii="Arial" w:hAnsi="Arial" w:cs="Arial"/>
        </w:rPr>
        <w:t>provided a 100% safety net</w:t>
      </w:r>
      <w:r>
        <w:rPr>
          <w:rFonts w:ascii="Arial" w:hAnsi="Arial" w:cs="Arial"/>
        </w:rPr>
        <w:t xml:space="preserve">, this means that </w:t>
      </w:r>
      <w:r w:rsidR="007E20BB">
        <w:rPr>
          <w:rFonts w:ascii="Arial" w:hAnsi="Arial" w:cs="Arial"/>
        </w:rPr>
        <w:t>if the actual level of business rates income for the year is lower than the business rates baseline then the Government will provide a safety net payment.</w:t>
      </w:r>
      <w:r w:rsidR="006A3A25">
        <w:rPr>
          <w:rFonts w:ascii="Arial" w:hAnsi="Arial" w:cs="Arial"/>
        </w:rPr>
        <w:t xml:space="preserve">  The business rates baseline is therefore the minimum amount the Council can </w:t>
      </w:r>
      <w:r w:rsidR="008A2B60">
        <w:rPr>
          <w:rFonts w:ascii="Arial" w:hAnsi="Arial" w:cs="Arial"/>
        </w:rPr>
        <w:t xml:space="preserve">expect to receive in 2026/27.  For future years the safety net will </w:t>
      </w:r>
      <w:r w:rsidR="00F6309A">
        <w:rPr>
          <w:rFonts w:ascii="Arial" w:hAnsi="Arial" w:cs="Arial"/>
        </w:rPr>
        <w:t xml:space="preserve">fall to 97% </w:t>
      </w:r>
      <w:r w:rsidR="00A85456">
        <w:rPr>
          <w:rFonts w:ascii="Arial" w:hAnsi="Arial" w:cs="Arial"/>
        </w:rPr>
        <w:t xml:space="preserve">in 2027/28 and to </w:t>
      </w:r>
      <w:r w:rsidR="000842C4">
        <w:rPr>
          <w:rFonts w:ascii="Arial" w:hAnsi="Arial" w:cs="Arial"/>
        </w:rPr>
        <w:t>92.5% from 2028/29 onwards.</w:t>
      </w:r>
      <w:r w:rsidR="009D03FE">
        <w:rPr>
          <w:rFonts w:ascii="Arial" w:hAnsi="Arial" w:cs="Arial"/>
        </w:rPr>
        <w:t xml:space="preserve">  The assessment</w:t>
      </w:r>
      <w:r w:rsidR="00295F17">
        <w:rPr>
          <w:rFonts w:ascii="Arial" w:hAnsi="Arial" w:cs="Arial"/>
        </w:rPr>
        <w:t xml:space="preserve"> of business rates that Council expects to collect each year is currently above the </w:t>
      </w:r>
      <w:r w:rsidR="00160499">
        <w:rPr>
          <w:rFonts w:ascii="Arial" w:hAnsi="Arial" w:cs="Arial"/>
        </w:rPr>
        <w:t xml:space="preserve">business rates baseline, indicating that the safety net is not currently required.  However, </w:t>
      </w:r>
      <w:r w:rsidR="007E1BDE">
        <w:rPr>
          <w:rFonts w:ascii="Arial" w:hAnsi="Arial" w:cs="Arial"/>
        </w:rPr>
        <w:t xml:space="preserve">this will only be determined at the end of each financial year and as such there remains a risk that the </w:t>
      </w:r>
      <w:r w:rsidR="00751799">
        <w:rPr>
          <w:rFonts w:ascii="Arial" w:hAnsi="Arial" w:cs="Arial"/>
        </w:rPr>
        <w:t xml:space="preserve">business rates </w:t>
      </w:r>
      <w:r w:rsidR="0025069E">
        <w:rPr>
          <w:rFonts w:ascii="Arial" w:hAnsi="Arial" w:cs="Arial"/>
        </w:rPr>
        <w:t>is lower than expected creating a financial shortfall in 2027/28 onwards.</w:t>
      </w:r>
    </w:p>
    <w:p w14:paraId="7444CD12" w14:textId="77777777" w:rsidR="000842C4" w:rsidRPr="000325A7" w:rsidRDefault="000842C4" w:rsidP="000325A7">
      <w:pPr>
        <w:jc w:val="both"/>
        <w:rPr>
          <w:rFonts w:ascii="Arial" w:hAnsi="Arial" w:cs="Arial"/>
        </w:rPr>
      </w:pPr>
    </w:p>
    <w:p w14:paraId="0604A65A" w14:textId="6BD9CA22" w:rsidR="000325A7" w:rsidRPr="000325A7" w:rsidRDefault="00313548" w:rsidP="000D4446">
      <w:pPr>
        <w:pStyle w:val="Style4"/>
        <w:numPr>
          <w:ilvl w:val="0"/>
          <w:numId w:val="0"/>
        </w:numPr>
        <w:spacing w:before="0" w:after="0" w:line="240" w:lineRule="auto"/>
        <w:rPr>
          <w:color w:val="auto"/>
          <w:sz w:val="24"/>
          <w:szCs w:val="24"/>
        </w:rPr>
      </w:pPr>
      <w:r w:rsidRPr="000325A7">
        <w:rPr>
          <w:rFonts w:cs="Arial"/>
          <w:color w:val="auto"/>
          <w:sz w:val="24"/>
          <w:szCs w:val="24"/>
        </w:rPr>
        <w:t>In terms of growth above the baseline funding level</w:t>
      </w:r>
      <w:r w:rsidR="000325A7">
        <w:rPr>
          <w:rFonts w:cs="Arial"/>
          <w:color w:val="auto"/>
          <w:sz w:val="24"/>
          <w:szCs w:val="24"/>
        </w:rPr>
        <w:t xml:space="preserve">, a </w:t>
      </w:r>
      <w:r w:rsidR="000325A7" w:rsidRPr="000325A7">
        <w:rPr>
          <w:color w:val="auto"/>
          <w:sz w:val="24"/>
          <w:szCs w:val="24"/>
        </w:rPr>
        <w:t xml:space="preserve">new approach to </w:t>
      </w:r>
      <w:r w:rsidR="00A1106B">
        <w:rPr>
          <w:color w:val="auto"/>
          <w:sz w:val="24"/>
          <w:szCs w:val="24"/>
        </w:rPr>
        <w:t xml:space="preserve">the </w:t>
      </w:r>
      <w:r w:rsidR="000325A7" w:rsidRPr="000325A7">
        <w:rPr>
          <w:color w:val="auto"/>
          <w:sz w:val="24"/>
          <w:szCs w:val="24"/>
        </w:rPr>
        <w:t>levy</w:t>
      </w:r>
      <w:r w:rsidR="00A1106B">
        <w:rPr>
          <w:color w:val="auto"/>
          <w:sz w:val="24"/>
          <w:szCs w:val="24"/>
        </w:rPr>
        <w:t xml:space="preserve"> that has historically be applied will be introduced.  This new levy will be</w:t>
      </w:r>
      <w:r w:rsidR="000325A7" w:rsidRPr="000325A7">
        <w:rPr>
          <w:color w:val="auto"/>
          <w:sz w:val="24"/>
          <w:szCs w:val="24"/>
        </w:rPr>
        <w:t xml:space="preserve"> on a banded basis depending on how income compares to </w:t>
      </w:r>
      <w:r w:rsidR="00A1106B">
        <w:rPr>
          <w:color w:val="auto"/>
          <w:sz w:val="24"/>
          <w:szCs w:val="24"/>
        </w:rPr>
        <w:t>the baseline funding level</w:t>
      </w:r>
      <w:r w:rsidR="000325A7" w:rsidRPr="000325A7">
        <w:rPr>
          <w:color w:val="auto"/>
          <w:sz w:val="24"/>
          <w:szCs w:val="24"/>
        </w:rPr>
        <w:t xml:space="preserve">, with a level of 10% on the first 10% growth (from 100-110% of </w:t>
      </w:r>
      <w:r w:rsidR="006F46F5">
        <w:rPr>
          <w:color w:val="auto"/>
          <w:sz w:val="24"/>
          <w:szCs w:val="24"/>
        </w:rPr>
        <w:t>baseline funding level</w:t>
      </w:r>
      <w:r w:rsidR="000325A7" w:rsidRPr="000325A7">
        <w:rPr>
          <w:color w:val="auto"/>
          <w:sz w:val="24"/>
          <w:szCs w:val="24"/>
        </w:rPr>
        <w:t xml:space="preserve">), 30% on the following 90% (i.e. 110-200% of </w:t>
      </w:r>
      <w:r w:rsidR="006F46F5">
        <w:rPr>
          <w:color w:val="auto"/>
          <w:sz w:val="24"/>
          <w:szCs w:val="24"/>
        </w:rPr>
        <w:t>baseline funding level</w:t>
      </w:r>
      <w:r w:rsidR="000325A7" w:rsidRPr="000325A7">
        <w:rPr>
          <w:color w:val="auto"/>
          <w:sz w:val="24"/>
          <w:szCs w:val="24"/>
        </w:rPr>
        <w:t xml:space="preserve">), and 45% above (amounts above 200% of </w:t>
      </w:r>
      <w:r w:rsidR="006F46F5">
        <w:rPr>
          <w:color w:val="auto"/>
          <w:sz w:val="24"/>
          <w:szCs w:val="24"/>
        </w:rPr>
        <w:t>baseline funding level</w:t>
      </w:r>
      <w:r w:rsidR="000325A7" w:rsidRPr="000325A7">
        <w:rPr>
          <w:color w:val="auto"/>
          <w:sz w:val="24"/>
          <w:szCs w:val="24"/>
        </w:rPr>
        <w:t>).</w:t>
      </w:r>
      <w:r w:rsidR="000D4446">
        <w:rPr>
          <w:color w:val="auto"/>
          <w:sz w:val="24"/>
          <w:szCs w:val="24"/>
        </w:rPr>
        <w:t xml:space="preserve">  </w:t>
      </w:r>
      <w:r w:rsidR="000325A7" w:rsidRPr="000325A7">
        <w:rPr>
          <w:color w:val="auto"/>
          <w:sz w:val="24"/>
          <w:szCs w:val="24"/>
        </w:rPr>
        <w:t>The new scheme will mean that districts have a much higher incentive to grow and ability to disproportionately grow their fundin</w:t>
      </w:r>
      <w:r w:rsidR="000D4446">
        <w:rPr>
          <w:color w:val="auto"/>
          <w:sz w:val="24"/>
          <w:szCs w:val="24"/>
        </w:rPr>
        <w:t>g.</w:t>
      </w:r>
      <w:r w:rsidR="00367D0F">
        <w:rPr>
          <w:color w:val="auto"/>
          <w:sz w:val="24"/>
          <w:szCs w:val="24"/>
        </w:rPr>
        <w:t xml:space="preserve"> As the </w:t>
      </w:r>
      <w:r w:rsidR="003C4C3E">
        <w:rPr>
          <w:color w:val="auto"/>
          <w:sz w:val="24"/>
          <w:szCs w:val="24"/>
        </w:rPr>
        <w:t>assessed level of business rates income to be collected in 2026/27 is only marginally higher than the baseline funding level and falls within the 100-110% boundary, then no levy is assumed to be paid.</w:t>
      </w:r>
    </w:p>
    <w:p w14:paraId="6D1905C3" w14:textId="77777777" w:rsidR="006E3392" w:rsidRPr="001C0B17" w:rsidRDefault="006E3392" w:rsidP="00E0767E">
      <w:pPr>
        <w:autoSpaceDE w:val="0"/>
        <w:autoSpaceDN w:val="0"/>
        <w:adjustRightInd w:val="0"/>
        <w:jc w:val="both"/>
        <w:rPr>
          <w:rFonts w:ascii="Arial" w:hAnsi="Arial" w:cs="Arial"/>
          <w:highlight w:val="yellow"/>
        </w:rPr>
      </w:pPr>
    </w:p>
    <w:p w14:paraId="431C6B58" w14:textId="37359535" w:rsidR="00754045" w:rsidRDefault="00754045" w:rsidP="00754045">
      <w:pPr>
        <w:jc w:val="both"/>
        <w:rPr>
          <w:rFonts w:ascii="Arial" w:hAnsi="Arial" w:cs="Arial"/>
        </w:rPr>
      </w:pPr>
      <w:r w:rsidRPr="0016653D">
        <w:rPr>
          <w:rFonts w:ascii="Arial" w:hAnsi="Arial" w:cs="Arial"/>
        </w:rPr>
        <w:t>The Council is currently part of a Business Rates Pool for 202</w:t>
      </w:r>
      <w:r>
        <w:rPr>
          <w:rFonts w:ascii="Arial" w:hAnsi="Arial" w:cs="Arial"/>
        </w:rPr>
        <w:t>5</w:t>
      </w:r>
      <w:r w:rsidRPr="0016653D">
        <w:rPr>
          <w:rFonts w:ascii="Arial" w:hAnsi="Arial" w:cs="Arial"/>
        </w:rPr>
        <w:t>/</w:t>
      </w:r>
      <w:r>
        <w:rPr>
          <w:rFonts w:ascii="Arial" w:hAnsi="Arial" w:cs="Arial"/>
        </w:rPr>
        <w:t>26</w:t>
      </w:r>
      <w:r w:rsidRPr="0016653D">
        <w:rPr>
          <w:rFonts w:ascii="Arial" w:hAnsi="Arial" w:cs="Arial"/>
        </w:rPr>
        <w:t xml:space="preserve"> along with the County Council and the six other Lincolnshire District Councils. The benefit of pooling is that the authorities in the pool can be better off collectively through a reduction in the amount of levy paid to the Government.  </w:t>
      </w:r>
      <w:r>
        <w:rPr>
          <w:rFonts w:ascii="Arial" w:hAnsi="Arial" w:cs="Arial"/>
        </w:rPr>
        <w:t>It had been assumed that due to the reset and the</w:t>
      </w:r>
      <w:r w:rsidRPr="008A276C">
        <w:rPr>
          <w:rFonts w:ascii="Arial" w:hAnsi="Arial" w:cs="Arial"/>
        </w:rPr>
        <w:t xml:space="preserve"> removal of prior years’ growth </w:t>
      </w:r>
      <w:r>
        <w:rPr>
          <w:rFonts w:ascii="Arial" w:hAnsi="Arial" w:cs="Arial"/>
        </w:rPr>
        <w:t xml:space="preserve">meaning that each </w:t>
      </w:r>
      <w:r w:rsidR="00641AAE">
        <w:rPr>
          <w:rFonts w:ascii="Arial" w:hAnsi="Arial" w:cs="Arial"/>
        </w:rPr>
        <w:t>authority’s</w:t>
      </w:r>
      <w:r w:rsidRPr="008A276C">
        <w:rPr>
          <w:rFonts w:ascii="Arial" w:hAnsi="Arial" w:cs="Arial"/>
        </w:rPr>
        <w:t xml:space="preserve"> new baselines </w:t>
      </w:r>
      <w:r>
        <w:rPr>
          <w:rFonts w:ascii="Arial" w:hAnsi="Arial" w:cs="Arial"/>
        </w:rPr>
        <w:t xml:space="preserve">would </w:t>
      </w:r>
      <w:r w:rsidRPr="008A276C">
        <w:rPr>
          <w:rFonts w:ascii="Arial" w:hAnsi="Arial" w:cs="Arial"/>
        </w:rPr>
        <w:t xml:space="preserve">reflect their actual rates </w:t>
      </w:r>
      <w:r>
        <w:rPr>
          <w:rFonts w:ascii="Arial" w:hAnsi="Arial" w:cs="Arial"/>
        </w:rPr>
        <w:t>and hence</w:t>
      </w:r>
      <w:r w:rsidRPr="008A276C">
        <w:rPr>
          <w:rFonts w:ascii="Arial" w:hAnsi="Arial" w:cs="Arial"/>
        </w:rPr>
        <w:t xml:space="preserve"> no levy to pay and therefore no “gain” from pooling</w:t>
      </w:r>
      <w:r>
        <w:rPr>
          <w:rFonts w:ascii="Arial" w:hAnsi="Arial" w:cs="Arial"/>
        </w:rPr>
        <w:t xml:space="preserve">, that pooling would not be in place in 2026/27. However, in early October, MHCLG invited all local authorities to form business rate pools for 2026/27.  </w:t>
      </w:r>
      <w:r w:rsidR="00283885">
        <w:rPr>
          <w:rFonts w:ascii="Arial" w:hAnsi="Arial" w:cs="Arial"/>
        </w:rPr>
        <w:t>Although all Council’s in the pool</w:t>
      </w:r>
      <w:r w:rsidR="00D65F0C">
        <w:rPr>
          <w:rFonts w:ascii="Arial" w:hAnsi="Arial" w:cs="Arial"/>
        </w:rPr>
        <w:t xml:space="preserve"> initially opted to retain the pool, deferring the final decision until </w:t>
      </w:r>
      <w:r>
        <w:rPr>
          <w:rFonts w:ascii="Arial" w:hAnsi="Arial" w:cs="Arial"/>
        </w:rPr>
        <w:t xml:space="preserve">the announcement of the Finance Settlement, </w:t>
      </w:r>
      <w:r w:rsidR="00507FC3">
        <w:rPr>
          <w:rFonts w:ascii="Arial" w:hAnsi="Arial" w:cs="Arial"/>
        </w:rPr>
        <w:t xml:space="preserve">it </w:t>
      </w:r>
      <w:r w:rsidR="005B0152">
        <w:rPr>
          <w:rFonts w:ascii="Arial" w:hAnsi="Arial" w:cs="Arial"/>
        </w:rPr>
        <w:t>light of the announcement of a 100% safety net</w:t>
      </w:r>
      <w:r w:rsidR="00977CB3">
        <w:rPr>
          <w:rFonts w:ascii="Arial" w:hAnsi="Arial" w:cs="Arial"/>
        </w:rPr>
        <w:t xml:space="preserve"> it has been determined that the Lincolnshire pool will be revoked for 2026/27. </w:t>
      </w:r>
    </w:p>
    <w:p w14:paraId="58776003" w14:textId="77777777" w:rsidR="00E0767E" w:rsidRPr="001C0B17" w:rsidRDefault="00E0767E" w:rsidP="00E0767E">
      <w:pPr>
        <w:autoSpaceDE w:val="0"/>
        <w:autoSpaceDN w:val="0"/>
        <w:adjustRightInd w:val="0"/>
        <w:jc w:val="both"/>
        <w:rPr>
          <w:rFonts w:ascii="Arial" w:hAnsi="Arial" w:cs="Arial"/>
          <w:highlight w:val="yellow"/>
        </w:rPr>
      </w:pPr>
    </w:p>
    <w:p w14:paraId="1EC55636" w14:textId="50A8DC17" w:rsidR="006F16CF" w:rsidRPr="00470886" w:rsidRDefault="006F16CF" w:rsidP="00E2032B">
      <w:pPr>
        <w:autoSpaceDE w:val="0"/>
        <w:autoSpaceDN w:val="0"/>
        <w:adjustRightInd w:val="0"/>
        <w:jc w:val="both"/>
        <w:rPr>
          <w:rFonts w:ascii="Arial" w:hAnsi="Arial" w:cs="Arial"/>
        </w:rPr>
      </w:pPr>
      <w:r w:rsidRPr="00470886">
        <w:rPr>
          <w:rFonts w:ascii="Arial" w:hAnsi="Arial" w:cs="Arial"/>
        </w:rPr>
        <w:t xml:space="preserve">Based on </w:t>
      </w:r>
      <w:r w:rsidR="004574DB">
        <w:rPr>
          <w:rFonts w:ascii="Arial" w:hAnsi="Arial" w:cs="Arial"/>
        </w:rPr>
        <w:t xml:space="preserve">the assessment of the </w:t>
      </w:r>
      <w:r w:rsidR="008B170B">
        <w:rPr>
          <w:rFonts w:ascii="Arial" w:hAnsi="Arial" w:cs="Arial"/>
        </w:rPr>
        <w:t xml:space="preserve">business rates income to be collected in 2026/27, and assuming </w:t>
      </w:r>
      <w:r w:rsidR="004C3FF3">
        <w:rPr>
          <w:rFonts w:ascii="Arial" w:hAnsi="Arial" w:cs="Arial"/>
        </w:rPr>
        <w:t>no annual</w:t>
      </w:r>
      <w:r w:rsidR="00F52B7F" w:rsidRPr="00470886">
        <w:rPr>
          <w:rFonts w:ascii="Arial" w:hAnsi="Arial" w:cs="Arial"/>
        </w:rPr>
        <w:t xml:space="preserve"> growth </w:t>
      </w:r>
      <w:r w:rsidR="004C3FF3">
        <w:rPr>
          <w:rFonts w:ascii="Arial" w:hAnsi="Arial" w:cs="Arial"/>
        </w:rPr>
        <w:t xml:space="preserve">other than annual </w:t>
      </w:r>
      <w:r w:rsidR="00A373A1">
        <w:rPr>
          <w:rFonts w:ascii="Arial" w:hAnsi="Arial" w:cs="Arial"/>
        </w:rPr>
        <w:t xml:space="preserve">CPI increases in </w:t>
      </w:r>
      <w:r w:rsidR="006B1FD2">
        <w:rPr>
          <w:rFonts w:ascii="Arial" w:hAnsi="Arial" w:cs="Arial"/>
        </w:rPr>
        <w:t xml:space="preserve">the </w:t>
      </w:r>
      <w:r w:rsidR="00795508">
        <w:rPr>
          <w:rFonts w:ascii="Arial" w:hAnsi="Arial" w:cs="Arial"/>
        </w:rPr>
        <w:t>multiplers</w:t>
      </w:r>
      <w:r w:rsidR="006B1FD2">
        <w:rPr>
          <w:rFonts w:ascii="Arial" w:hAnsi="Arial" w:cs="Arial"/>
        </w:rPr>
        <w:t xml:space="preserve">, </w:t>
      </w:r>
      <w:r w:rsidR="00F90758" w:rsidRPr="00470886">
        <w:rPr>
          <w:rFonts w:ascii="Arial" w:hAnsi="Arial" w:cs="Arial"/>
        </w:rPr>
        <w:t xml:space="preserve">the </w:t>
      </w:r>
      <w:r w:rsidRPr="00470886">
        <w:rPr>
          <w:rFonts w:ascii="Arial" w:hAnsi="Arial" w:cs="Arial"/>
        </w:rPr>
        <w:t>level of retained business rates assumed in the MTFS is as follows:</w:t>
      </w:r>
    </w:p>
    <w:p w14:paraId="13890CC4" w14:textId="77777777" w:rsidR="006F16CF" w:rsidRPr="00470886" w:rsidRDefault="006F16CF" w:rsidP="00E2032B">
      <w:pPr>
        <w:autoSpaceDE w:val="0"/>
        <w:autoSpaceDN w:val="0"/>
        <w:adjustRightInd w:val="0"/>
        <w:jc w:val="both"/>
        <w:rPr>
          <w:rFonts w:ascii="Arial" w:hAnsi="Arial" w:cs="Arial"/>
        </w:rPr>
      </w:pPr>
    </w:p>
    <w:tbl>
      <w:tblPr>
        <w:tblW w:w="5668" w:type="dxa"/>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1164"/>
        <w:gridCol w:w="1200"/>
        <w:gridCol w:w="1110"/>
        <w:gridCol w:w="1110"/>
      </w:tblGrid>
      <w:tr w:rsidR="002258FF" w:rsidRPr="001C0B17" w14:paraId="7FFC6D9A" w14:textId="77777777" w:rsidTr="007B3D36">
        <w:trPr>
          <w:trHeight w:val="315"/>
        </w:trPr>
        <w:tc>
          <w:tcPr>
            <w:tcW w:w="1084" w:type="dxa"/>
            <w:tcBorders>
              <w:bottom w:val="nil"/>
            </w:tcBorders>
            <w:noWrap/>
            <w:vAlign w:val="bottom"/>
          </w:tcPr>
          <w:p w14:paraId="3485AD5C" w14:textId="5D25350E" w:rsidR="00BE33F1" w:rsidRPr="00470886" w:rsidRDefault="00BE33F1" w:rsidP="00A761D1">
            <w:pPr>
              <w:jc w:val="center"/>
              <w:rPr>
                <w:rFonts w:ascii="Arial" w:hAnsi="Arial" w:cs="Arial"/>
                <w:b/>
              </w:rPr>
            </w:pPr>
            <w:r w:rsidRPr="00470886">
              <w:rPr>
                <w:rFonts w:ascii="Arial" w:hAnsi="Arial" w:cs="Arial"/>
                <w:b/>
                <w:bCs/>
              </w:rPr>
              <w:t>2026/27</w:t>
            </w:r>
          </w:p>
        </w:tc>
        <w:tc>
          <w:tcPr>
            <w:tcW w:w="1164" w:type="dxa"/>
            <w:tcBorders>
              <w:bottom w:val="nil"/>
            </w:tcBorders>
            <w:noWrap/>
            <w:vAlign w:val="bottom"/>
          </w:tcPr>
          <w:p w14:paraId="07588302" w14:textId="77713592" w:rsidR="00BE33F1" w:rsidRPr="00470886" w:rsidRDefault="00BE33F1" w:rsidP="00A761D1">
            <w:pPr>
              <w:jc w:val="center"/>
              <w:rPr>
                <w:rFonts w:ascii="Arial" w:hAnsi="Arial" w:cs="Arial"/>
                <w:b/>
              </w:rPr>
            </w:pPr>
            <w:r w:rsidRPr="00470886">
              <w:rPr>
                <w:rFonts w:ascii="Arial" w:hAnsi="Arial" w:cs="Arial"/>
                <w:b/>
                <w:bCs/>
              </w:rPr>
              <w:t>2027/28</w:t>
            </w:r>
          </w:p>
        </w:tc>
        <w:tc>
          <w:tcPr>
            <w:tcW w:w="1200" w:type="dxa"/>
            <w:tcBorders>
              <w:bottom w:val="nil"/>
            </w:tcBorders>
            <w:noWrap/>
            <w:vAlign w:val="bottom"/>
          </w:tcPr>
          <w:p w14:paraId="69A69C5F" w14:textId="4D2119ED" w:rsidR="00BE33F1" w:rsidRPr="00470886" w:rsidRDefault="00BE33F1" w:rsidP="00A761D1">
            <w:pPr>
              <w:jc w:val="center"/>
              <w:rPr>
                <w:rFonts w:ascii="Arial" w:hAnsi="Arial" w:cs="Arial"/>
                <w:b/>
              </w:rPr>
            </w:pPr>
            <w:r w:rsidRPr="00470886">
              <w:rPr>
                <w:rFonts w:ascii="Arial" w:hAnsi="Arial" w:cs="Arial"/>
                <w:b/>
                <w:bCs/>
              </w:rPr>
              <w:t>2028/29</w:t>
            </w:r>
          </w:p>
        </w:tc>
        <w:tc>
          <w:tcPr>
            <w:tcW w:w="1110" w:type="dxa"/>
            <w:tcBorders>
              <w:bottom w:val="nil"/>
            </w:tcBorders>
            <w:noWrap/>
            <w:vAlign w:val="bottom"/>
          </w:tcPr>
          <w:p w14:paraId="37C9CEA4" w14:textId="09EC648E" w:rsidR="00BE33F1" w:rsidRPr="00470886" w:rsidRDefault="00BE33F1" w:rsidP="00A761D1">
            <w:pPr>
              <w:jc w:val="center"/>
              <w:rPr>
                <w:rFonts w:ascii="Arial" w:hAnsi="Arial" w:cs="Arial"/>
                <w:b/>
              </w:rPr>
            </w:pPr>
            <w:r w:rsidRPr="00470886">
              <w:rPr>
                <w:rFonts w:ascii="Arial" w:hAnsi="Arial" w:cs="Arial"/>
                <w:b/>
                <w:bCs/>
              </w:rPr>
              <w:t>2029/30</w:t>
            </w:r>
          </w:p>
        </w:tc>
        <w:tc>
          <w:tcPr>
            <w:tcW w:w="1110" w:type="dxa"/>
            <w:tcBorders>
              <w:bottom w:val="nil"/>
            </w:tcBorders>
            <w:noWrap/>
            <w:vAlign w:val="bottom"/>
          </w:tcPr>
          <w:p w14:paraId="54093328" w14:textId="3C0C86B4" w:rsidR="00BE33F1" w:rsidRPr="00470886" w:rsidRDefault="00BE33F1" w:rsidP="00A761D1">
            <w:pPr>
              <w:jc w:val="center"/>
              <w:rPr>
                <w:rFonts w:ascii="Arial" w:hAnsi="Arial" w:cs="Arial"/>
                <w:b/>
              </w:rPr>
            </w:pPr>
            <w:r w:rsidRPr="00470886">
              <w:rPr>
                <w:rFonts w:ascii="Arial" w:hAnsi="Arial" w:cs="Arial"/>
                <w:b/>
              </w:rPr>
              <w:t>2030/31</w:t>
            </w:r>
          </w:p>
        </w:tc>
      </w:tr>
      <w:tr w:rsidR="002258FF" w:rsidRPr="001C0B17" w14:paraId="72FAAE78" w14:textId="77777777" w:rsidTr="007B3D36">
        <w:trPr>
          <w:trHeight w:val="255"/>
        </w:trPr>
        <w:tc>
          <w:tcPr>
            <w:tcW w:w="1084" w:type="dxa"/>
            <w:tcBorders>
              <w:top w:val="nil"/>
            </w:tcBorders>
            <w:noWrap/>
          </w:tcPr>
          <w:p w14:paraId="008828B2" w14:textId="50658176" w:rsidR="00BE33F1" w:rsidRPr="00470886" w:rsidRDefault="00BE33F1" w:rsidP="00B75613">
            <w:pPr>
              <w:jc w:val="center"/>
              <w:rPr>
                <w:rFonts w:ascii="Arial" w:hAnsi="Arial" w:cs="Arial"/>
                <w:b/>
              </w:rPr>
            </w:pPr>
            <w:r w:rsidRPr="00470886">
              <w:rPr>
                <w:rFonts w:ascii="Arial" w:hAnsi="Arial" w:cs="Arial"/>
                <w:b/>
              </w:rPr>
              <w:t>£m</w:t>
            </w:r>
          </w:p>
        </w:tc>
        <w:tc>
          <w:tcPr>
            <w:tcW w:w="1164" w:type="dxa"/>
            <w:tcBorders>
              <w:top w:val="nil"/>
            </w:tcBorders>
            <w:noWrap/>
          </w:tcPr>
          <w:p w14:paraId="028DD6FC" w14:textId="4981818C" w:rsidR="00BE33F1" w:rsidRPr="00470886" w:rsidRDefault="00BE33F1" w:rsidP="00B75613">
            <w:pPr>
              <w:jc w:val="center"/>
              <w:rPr>
                <w:rFonts w:ascii="Arial" w:hAnsi="Arial" w:cs="Arial"/>
              </w:rPr>
            </w:pPr>
            <w:r w:rsidRPr="00470886">
              <w:rPr>
                <w:rFonts w:ascii="Arial" w:hAnsi="Arial" w:cs="Arial"/>
                <w:b/>
              </w:rPr>
              <w:t>£m</w:t>
            </w:r>
          </w:p>
        </w:tc>
        <w:tc>
          <w:tcPr>
            <w:tcW w:w="1200" w:type="dxa"/>
            <w:tcBorders>
              <w:top w:val="nil"/>
            </w:tcBorders>
            <w:noWrap/>
          </w:tcPr>
          <w:p w14:paraId="167D3C5F" w14:textId="0CACDF06" w:rsidR="00BE33F1" w:rsidRPr="00470886" w:rsidRDefault="00BE33F1" w:rsidP="00B75613">
            <w:pPr>
              <w:jc w:val="center"/>
              <w:rPr>
                <w:rFonts w:ascii="Arial" w:hAnsi="Arial" w:cs="Arial"/>
              </w:rPr>
            </w:pPr>
            <w:r w:rsidRPr="00470886">
              <w:rPr>
                <w:rFonts w:ascii="Arial" w:hAnsi="Arial" w:cs="Arial"/>
                <w:b/>
              </w:rPr>
              <w:t>£m</w:t>
            </w:r>
          </w:p>
        </w:tc>
        <w:tc>
          <w:tcPr>
            <w:tcW w:w="1110" w:type="dxa"/>
            <w:tcBorders>
              <w:top w:val="nil"/>
            </w:tcBorders>
            <w:noWrap/>
          </w:tcPr>
          <w:p w14:paraId="5D81B7AD" w14:textId="69784736" w:rsidR="00BE33F1" w:rsidRPr="00470886" w:rsidRDefault="00BE33F1" w:rsidP="00B75613">
            <w:pPr>
              <w:jc w:val="center"/>
              <w:rPr>
                <w:rFonts w:ascii="Arial" w:hAnsi="Arial" w:cs="Arial"/>
              </w:rPr>
            </w:pPr>
            <w:r w:rsidRPr="00470886">
              <w:rPr>
                <w:rFonts w:ascii="Arial" w:hAnsi="Arial" w:cs="Arial"/>
                <w:b/>
              </w:rPr>
              <w:t>£m</w:t>
            </w:r>
          </w:p>
        </w:tc>
        <w:tc>
          <w:tcPr>
            <w:tcW w:w="1110" w:type="dxa"/>
            <w:tcBorders>
              <w:top w:val="nil"/>
            </w:tcBorders>
            <w:noWrap/>
          </w:tcPr>
          <w:p w14:paraId="54704B04" w14:textId="22DC005C" w:rsidR="00BE33F1" w:rsidRPr="00470886" w:rsidRDefault="00BE33F1" w:rsidP="00B75613">
            <w:pPr>
              <w:jc w:val="center"/>
              <w:rPr>
                <w:rFonts w:ascii="Arial" w:hAnsi="Arial" w:cs="Arial"/>
                <w:b/>
              </w:rPr>
            </w:pPr>
            <w:r w:rsidRPr="00470886">
              <w:rPr>
                <w:rFonts w:ascii="Arial" w:hAnsi="Arial" w:cs="Arial"/>
                <w:b/>
              </w:rPr>
              <w:t>£m</w:t>
            </w:r>
          </w:p>
        </w:tc>
      </w:tr>
      <w:tr w:rsidR="002258FF" w:rsidRPr="001C0B17" w14:paraId="47EC24B0" w14:textId="77777777">
        <w:trPr>
          <w:trHeight w:val="255"/>
        </w:trPr>
        <w:tc>
          <w:tcPr>
            <w:tcW w:w="1084" w:type="dxa"/>
            <w:noWrap/>
            <w:vAlign w:val="bottom"/>
          </w:tcPr>
          <w:p w14:paraId="67289BB7" w14:textId="2417B65A" w:rsidR="00FB0E01" w:rsidRPr="00470886" w:rsidRDefault="00FB0E01" w:rsidP="00FB0E01">
            <w:pPr>
              <w:jc w:val="right"/>
              <w:rPr>
                <w:rFonts w:ascii="Arial" w:hAnsi="Arial" w:cs="Arial"/>
              </w:rPr>
            </w:pPr>
            <w:r>
              <w:rPr>
                <w:rFonts w:ascii="Arial" w:hAnsi="Arial" w:cs="Arial"/>
              </w:rPr>
              <w:t>4.692</w:t>
            </w:r>
          </w:p>
        </w:tc>
        <w:tc>
          <w:tcPr>
            <w:tcW w:w="1164" w:type="dxa"/>
            <w:noWrap/>
            <w:vAlign w:val="bottom"/>
          </w:tcPr>
          <w:p w14:paraId="1BEA9B04" w14:textId="7C5EB55D" w:rsidR="00FB0E01" w:rsidRPr="00470886" w:rsidRDefault="00FB0E01" w:rsidP="00FB0E01">
            <w:pPr>
              <w:jc w:val="right"/>
              <w:rPr>
                <w:rFonts w:ascii="Arial" w:hAnsi="Arial" w:cs="Arial"/>
              </w:rPr>
            </w:pPr>
            <w:r>
              <w:rPr>
                <w:rFonts w:ascii="Arial" w:hAnsi="Arial" w:cs="Arial"/>
              </w:rPr>
              <w:t>4.799</w:t>
            </w:r>
          </w:p>
        </w:tc>
        <w:tc>
          <w:tcPr>
            <w:tcW w:w="1200" w:type="dxa"/>
            <w:noWrap/>
            <w:vAlign w:val="bottom"/>
          </w:tcPr>
          <w:p w14:paraId="1249B2A3" w14:textId="0FA694C4" w:rsidR="00FB0E01" w:rsidRPr="00470886" w:rsidRDefault="00FB0E01" w:rsidP="00FB0E01">
            <w:pPr>
              <w:jc w:val="right"/>
              <w:rPr>
                <w:rFonts w:ascii="Arial" w:hAnsi="Arial" w:cs="Arial"/>
              </w:rPr>
            </w:pPr>
            <w:r>
              <w:rPr>
                <w:rFonts w:ascii="Arial" w:hAnsi="Arial" w:cs="Arial"/>
              </w:rPr>
              <w:t>4.896</w:t>
            </w:r>
          </w:p>
        </w:tc>
        <w:tc>
          <w:tcPr>
            <w:tcW w:w="1110" w:type="dxa"/>
            <w:noWrap/>
            <w:vAlign w:val="bottom"/>
          </w:tcPr>
          <w:p w14:paraId="3056C3F3" w14:textId="6CB31A25" w:rsidR="00FB0E01" w:rsidRPr="00470886" w:rsidRDefault="00FB0E01" w:rsidP="00FB0E01">
            <w:pPr>
              <w:jc w:val="right"/>
              <w:rPr>
                <w:rFonts w:ascii="Arial" w:hAnsi="Arial" w:cs="Arial"/>
              </w:rPr>
            </w:pPr>
            <w:r>
              <w:rPr>
                <w:rFonts w:ascii="Arial" w:hAnsi="Arial" w:cs="Arial"/>
              </w:rPr>
              <w:t>4.994</w:t>
            </w:r>
          </w:p>
        </w:tc>
        <w:tc>
          <w:tcPr>
            <w:tcW w:w="1110" w:type="dxa"/>
            <w:noWrap/>
            <w:vAlign w:val="bottom"/>
          </w:tcPr>
          <w:p w14:paraId="0BA8059E" w14:textId="25730CDF" w:rsidR="00FB0E01" w:rsidRPr="00470886" w:rsidRDefault="00FB0E01" w:rsidP="00FB0E01">
            <w:pPr>
              <w:jc w:val="right"/>
              <w:rPr>
                <w:rFonts w:ascii="Arial" w:hAnsi="Arial" w:cs="Arial"/>
              </w:rPr>
            </w:pPr>
            <w:r>
              <w:rPr>
                <w:rFonts w:ascii="Arial" w:hAnsi="Arial" w:cs="Arial"/>
              </w:rPr>
              <w:t>5.094</w:t>
            </w:r>
          </w:p>
        </w:tc>
      </w:tr>
    </w:tbl>
    <w:p w14:paraId="17343DEA" w14:textId="77777777" w:rsidR="00D162DF" w:rsidRPr="001C0B17" w:rsidRDefault="00D162DF" w:rsidP="00D335DF">
      <w:pPr>
        <w:jc w:val="both"/>
        <w:rPr>
          <w:rFonts w:ascii="Arial" w:hAnsi="Arial" w:cs="Arial"/>
          <w:highlight w:val="yellow"/>
        </w:rPr>
      </w:pPr>
    </w:p>
    <w:p w14:paraId="51FD8E99" w14:textId="79730079" w:rsidR="00D335DF" w:rsidRPr="006B725B" w:rsidRDefault="00806E88" w:rsidP="00D335DF">
      <w:pPr>
        <w:jc w:val="both"/>
        <w:rPr>
          <w:rFonts w:ascii="Arial" w:hAnsi="Arial" w:cs="Arial"/>
          <w:b/>
        </w:rPr>
      </w:pPr>
      <w:r w:rsidRPr="006B725B">
        <w:rPr>
          <w:rFonts w:ascii="Arial" w:hAnsi="Arial" w:cs="Arial"/>
          <w:b/>
        </w:rPr>
        <w:t>Recovery</w:t>
      </w:r>
      <w:r w:rsidR="00D335DF" w:rsidRPr="006B725B">
        <w:rPr>
          <w:rFonts w:ascii="Arial" w:hAnsi="Arial" w:cs="Arial"/>
          <w:b/>
        </w:rPr>
        <w:t xml:space="preserve"> Grant</w:t>
      </w:r>
    </w:p>
    <w:p w14:paraId="020D1C38" w14:textId="77777777" w:rsidR="00B05BFC" w:rsidRPr="001C0B17" w:rsidRDefault="00B05BFC" w:rsidP="00772798">
      <w:pPr>
        <w:jc w:val="both"/>
        <w:rPr>
          <w:rFonts w:ascii="Arial" w:hAnsi="Arial" w:cs="Arial"/>
          <w:b/>
          <w:bCs/>
          <w:highlight w:val="yellow"/>
        </w:rPr>
      </w:pPr>
    </w:p>
    <w:p w14:paraId="4E00F07C" w14:textId="284B46DE" w:rsidR="00772798" w:rsidRDefault="006B725B" w:rsidP="00772798">
      <w:pPr>
        <w:jc w:val="both"/>
        <w:rPr>
          <w:rFonts w:ascii="Arial" w:hAnsi="Arial" w:cs="Arial"/>
        </w:rPr>
      </w:pPr>
      <w:r w:rsidRPr="00CB6E5C">
        <w:rPr>
          <w:rFonts w:ascii="Arial" w:hAnsi="Arial" w:cs="Arial"/>
        </w:rPr>
        <w:t>The</w:t>
      </w:r>
      <w:r w:rsidR="00772798" w:rsidRPr="00CB6E5C">
        <w:rPr>
          <w:rFonts w:ascii="Arial" w:hAnsi="Arial" w:cs="Arial"/>
        </w:rPr>
        <w:t xml:space="preserve"> ‘Recovery Grant’ worth £600 million</w:t>
      </w:r>
      <w:r w:rsidR="00F403F0" w:rsidRPr="00CB6E5C">
        <w:rPr>
          <w:rFonts w:ascii="Arial" w:hAnsi="Arial" w:cs="Arial"/>
        </w:rPr>
        <w:t xml:space="preserve"> was </w:t>
      </w:r>
      <w:r w:rsidR="004572EE" w:rsidRPr="00CB6E5C">
        <w:rPr>
          <w:rFonts w:ascii="Arial" w:hAnsi="Arial" w:cs="Arial"/>
        </w:rPr>
        <w:t>announced</w:t>
      </w:r>
      <w:r w:rsidR="00F403F0" w:rsidRPr="00CB6E5C">
        <w:rPr>
          <w:rFonts w:ascii="Arial" w:hAnsi="Arial" w:cs="Arial"/>
        </w:rPr>
        <w:t xml:space="preserve"> as part of the </w:t>
      </w:r>
      <w:r w:rsidR="00150A7B" w:rsidRPr="00CB6E5C">
        <w:rPr>
          <w:rFonts w:ascii="Arial" w:hAnsi="Arial" w:cs="Arial"/>
        </w:rPr>
        <w:t>2025/26 Settlement</w:t>
      </w:r>
      <w:r w:rsidR="00B07F4F" w:rsidRPr="00CB6E5C">
        <w:rPr>
          <w:rFonts w:ascii="Arial" w:hAnsi="Arial" w:cs="Arial"/>
        </w:rPr>
        <w:t xml:space="preserve"> as a one-off </w:t>
      </w:r>
      <w:r w:rsidR="001D34D0" w:rsidRPr="00CB6E5C">
        <w:rPr>
          <w:rFonts w:ascii="Arial" w:hAnsi="Arial" w:cs="Arial"/>
        </w:rPr>
        <w:t>grant, to be</w:t>
      </w:r>
      <w:r w:rsidR="00772798" w:rsidRPr="00CB6E5C">
        <w:rPr>
          <w:rFonts w:ascii="Arial" w:hAnsi="Arial" w:cs="Arial"/>
        </w:rPr>
        <w:t xml:space="preserve"> distributed to places with greater need and demand for services (</w:t>
      </w:r>
      <w:r w:rsidR="00150A7B" w:rsidRPr="00CB6E5C">
        <w:rPr>
          <w:rFonts w:ascii="Arial" w:hAnsi="Arial" w:cs="Arial"/>
        </w:rPr>
        <w:t>using</w:t>
      </w:r>
      <w:r w:rsidR="00772798" w:rsidRPr="00CB6E5C">
        <w:rPr>
          <w:rFonts w:ascii="Arial" w:hAnsi="Arial" w:cs="Arial"/>
        </w:rPr>
        <w:t xml:space="preserve"> deprivation as a proxy for this), and which are least able to fund their own services locally. The grant allocate</w:t>
      </w:r>
      <w:r w:rsidR="00150A7B" w:rsidRPr="00CB6E5C">
        <w:rPr>
          <w:rFonts w:ascii="Arial" w:hAnsi="Arial" w:cs="Arial"/>
        </w:rPr>
        <w:t>d</w:t>
      </w:r>
      <w:r w:rsidR="00772798" w:rsidRPr="00CB6E5C">
        <w:rPr>
          <w:rFonts w:ascii="Arial" w:hAnsi="Arial" w:cs="Arial"/>
        </w:rPr>
        <w:t xml:space="preserve"> funding where the numbers of vulnerable people who rely on council services are highest, and the ability to fund need locally is weakest. </w:t>
      </w:r>
      <w:r w:rsidR="0081655D" w:rsidRPr="00CB6E5C">
        <w:rPr>
          <w:rFonts w:ascii="Arial" w:hAnsi="Arial" w:cs="Arial"/>
        </w:rPr>
        <w:t xml:space="preserve">This is intended to </w:t>
      </w:r>
      <w:r w:rsidR="00772798" w:rsidRPr="00CB6E5C">
        <w:rPr>
          <w:rFonts w:ascii="Arial" w:hAnsi="Arial" w:cs="Arial"/>
        </w:rPr>
        <w:t>correct the inefficiency of the current system and put councils in the most deprived areas on a more stable footing</w:t>
      </w:r>
      <w:r w:rsidR="00CB6E5C" w:rsidRPr="00CB6E5C">
        <w:rPr>
          <w:rFonts w:ascii="Arial" w:hAnsi="Arial" w:cs="Arial"/>
        </w:rPr>
        <w:t xml:space="preserve"> and was a precursor to the FFR. </w:t>
      </w:r>
      <w:r w:rsidR="00772798" w:rsidRPr="00CB6E5C">
        <w:rPr>
          <w:rFonts w:ascii="Arial" w:hAnsi="Arial" w:cs="Arial"/>
        </w:rPr>
        <w:t xml:space="preserve">The grant </w:t>
      </w:r>
      <w:r w:rsidR="00CB6E5C" w:rsidRPr="00CB6E5C">
        <w:rPr>
          <w:rFonts w:ascii="Arial" w:hAnsi="Arial" w:cs="Arial"/>
        </w:rPr>
        <w:t>was</w:t>
      </w:r>
      <w:r w:rsidR="00772798" w:rsidRPr="00CB6E5C">
        <w:rPr>
          <w:rFonts w:ascii="Arial" w:hAnsi="Arial" w:cs="Arial"/>
        </w:rPr>
        <w:t xml:space="preserve"> highly targeted, meaning that not all authorities </w:t>
      </w:r>
      <w:r w:rsidR="0081655D" w:rsidRPr="00CB6E5C">
        <w:rPr>
          <w:rFonts w:ascii="Arial" w:hAnsi="Arial" w:cs="Arial"/>
        </w:rPr>
        <w:t xml:space="preserve">have </w:t>
      </w:r>
      <w:r w:rsidR="00772798" w:rsidRPr="00CB6E5C">
        <w:rPr>
          <w:rFonts w:ascii="Arial" w:hAnsi="Arial" w:cs="Arial"/>
        </w:rPr>
        <w:t>receive</w:t>
      </w:r>
      <w:r w:rsidR="0081655D" w:rsidRPr="00CB6E5C">
        <w:rPr>
          <w:rFonts w:ascii="Arial" w:hAnsi="Arial" w:cs="Arial"/>
        </w:rPr>
        <w:t>d</w:t>
      </w:r>
      <w:r w:rsidR="00772798" w:rsidRPr="00CB6E5C">
        <w:rPr>
          <w:rFonts w:ascii="Arial" w:hAnsi="Arial" w:cs="Arial"/>
        </w:rPr>
        <w:t xml:space="preserve"> an allocation</w:t>
      </w:r>
      <w:r w:rsidR="0081655D" w:rsidRPr="00CB6E5C">
        <w:rPr>
          <w:rFonts w:ascii="Arial" w:hAnsi="Arial" w:cs="Arial"/>
        </w:rPr>
        <w:t>.</w:t>
      </w:r>
    </w:p>
    <w:p w14:paraId="3F597468" w14:textId="77777777" w:rsidR="00CB6E5C" w:rsidRDefault="00CB6E5C" w:rsidP="00772798">
      <w:pPr>
        <w:jc w:val="both"/>
        <w:rPr>
          <w:rFonts w:ascii="Arial" w:hAnsi="Arial" w:cs="Arial"/>
        </w:rPr>
      </w:pPr>
    </w:p>
    <w:p w14:paraId="4B7C1AF7" w14:textId="367353E3" w:rsidR="00923CD0" w:rsidRPr="00923CD0" w:rsidRDefault="00CB6E5C" w:rsidP="00923CD0">
      <w:pPr>
        <w:jc w:val="both"/>
        <w:rPr>
          <w:rFonts w:ascii="Arial" w:hAnsi="Arial" w:cs="Arial"/>
        </w:rPr>
      </w:pPr>
      <w:r w:rsidRPr="00E77DEA">
        <w:rPr>
          <w:rFonts w:ascii="Arial" w:hAnsi="Arial" w:cs="Arial"/>
        </w:rPr>
        <w:t xml:space="preserve">As a one-off grant, it was </w:t>
      </w:r>
      <w:r w:rsidR="007B399F" w:rsidRPr="00E77DEA">
        <w:rPr>
          <w:rFonts w:ascii="Arial" w:hAnsi="Arial" w:cs="Arial"/>
        </w:rPr>
        <w:t xml:space="preserve">anticipated that the Recovery Grant would be rolled into the </w:t>
      </w:r>
      <w:r w:rsidR="009B700E" w:rsidRPr="00E77DEA">
        <w:rPr>
          <w:rFonts w:ascii="Arial" w:hAnsi="Arial" w:cs="Arial"/>
        </w:rPr>
        <w:t>Fair Funding Assessment.</w:t>
      </w:r>
      <w:r w:rsidR="007272F0" w:rsidRPr="00E77DEA">
        <w:rPr>
          <w:rFonts w:ascii="Arial" w:hAnsi="Arial" w:cs="Arial"/>
        </w:rPr>
        <w:t xml:space="preserve">  How</w:t>
      </w:r>
      <w:r w:rsidR="00B64470" w:rsidRPr="00E77DEA">
        <w:rPr>
          <w:rFonts w:ascii="Arial" w:hAnsi="Arial" w:cs="Arial"/>
        </w:rPr>
        <w:t xml:space="preserve"> as announced in the Local Government Finance Policy Statement the grant will now continue through-out the </w:t>
      </w:r>
      <w:r w:rsidR="00E77DEA" w:rsidRPr="00E77DEA">
        <w:rPr>
          <w:rFonts w:ascii="Arial" w:hAnsi="Arial" w:cs="Arial"/>
        </w:rPr>
        <w:t>three year settlement, with the introduction of a Recovery Grant Guarantee protecting upper-tier councils in receipt of the fund.</w:t>
      </w:r>
      <w:r w:rsidR="00923CD0">
        <w:rPr>
          <w:rFonts w:ascii="Arial" w:hAnsi="Arial" w:cs="Arial"/>
        </w:rPr>
        <w:t xml:space="preserve">   </w:t>
      </w:r>
      <w:r w:rsidR="00923CD0" w:rsidRPr="00405476">
        <w:rPr>
          <w:rFonts w:ascii="Arial" w:hAnsi="Arial" w:cs="Arial"/>
        </w:rPr>
        <w:t xml:space="preserve">The Grant </w:t>
      </w:r>
      <w:r w:rsidR="001A22CE" w:rsidRPr="00405476">
        <w:rPr>
          <w:rFonts w:ascii="Arial" w:hAnsi="Arial" w:cs="Arial"/>
        </w:rPr>
        <w:t>will be</w:t>
      </w:r>
      <w:r w:rsidR="00923CD0" w:rsidRPr="00405476">
        <w:rPr>
          <w:rFonts w:ascii="Arial" w:hAnsi="Arial" w:cs="Arial"/>
        </w:rPr>
        <w:t xml:space="preserve"> based on the same profile used to determine allocations for 2025</w:t>
      </w:r>
      <w:r w:rsidR="001A22CE" w:rsidRPr="00405476">
        <w:rPr>
          <w:rFonts w:ascii="Arial" w:hAnsi="Arial" w:cs="Arial"/>
        </w:rPr>
        <w:t>/</w:t>
      </w:r>
      <w:r w:rsidR="00923CD0" w:rsidRPr="00405476">
        <w:rPr>
          <w:rFonts w:ascii="Arial" w:hAnsi="Arial" w:cs="Arial"/>
        </w:rPr>
        <w:t xml:space="preserve">26 – meaning it is based on the older release of IMD from 2019, rather than 2025. </w:t>
      </w:r>
      <w:r w:rsidR="00B55438" w:rsidRPr="00405476">
        <w:rPr>
          <w:rFonts w:ascii="Arial" w:hAnsi="Arial" w:cs="Arial"/>
        </w:rPr>
        <w:t xml:space="preserve">In addition, the final Settlement saw a further increase in this grant </w:t>
      </w:r>
      <w:r w:rsidR="0063088D" w:rsidRPr="00405476">
        <w:rPr>
          <w:rFonts w:ascii="Arial" w:hAnsi="Arial" w:cs="Arial"/>
        </w:rPr>
        <w:t>of £440m over 3-years</w:t>
      </w:r>
      <w:r w:rsidR="00FF60F5" w:rsidRPr="00405476">
        <w:rPr>
          <w:rFonts w:ascii="Arial" w:hAnsi="Arial" w:cs="Arial"/>
        </w:rPr>
        <w:t xml:space="preserve">, this </w:t>
      </w:r>
      <w:r w:rsidR="00405476" w:rsidRPr="00405476">
        <w:rPr>
          <w:rFonts w:ascii="Arial" w:hAnsi="Arial" w:cs="Arial"/>
        </w:rPr>
        <w:t>uplift will be for unitary and county councils with a funding increase of less than 17% over the three-year period</w:t>
      </w:r>
      <w:r w:rsidR="00405476">
        <w:rPr>
          <w:rFonts w:ascii="Arial" w:hAnsi="Arial" w:cs="Arial"/>
        </w:rPr>
        <w:t>.</w:t>
      </w:r>
    </w:p>
    <w:p w14:paraId="55F2F96F" w14:textId="77777777" w:rsidR="0081655D" w:rsidRPr="001C0B17" w:rsidRDefault="0081655D" w:rsidP="00772798">
      <w:pPr>
        <w:jc w:val="both"/>
        <w:rPr>
          <w:rFonts w:ascii="Arial" w:hAnsi="Arial" w:cs="Arial"/>
          <w:highlight w:val="yellow"/>
        </w:rPr>
      </w:pPr>
    </w:p>
    <w:p w14:paraId="3E95FF3A" w14:textId="7F920242" w:rsidR="00B05BFC" w:rsidRDefault="00772798" w:rsidP="00D335DF">
      <w:pPr>
        <w:jc w:val="both"/>
        <w:rPr>
          <w:rFonts w:ascii="Arial" w:hAnsi="Arial" w:cs="Arial"/>
          <w:shd w:val="clear" w:color="auto" w:fill="FFFFFF"/>
        </w:rPr>
      </w:pPr>
      <w:r w:rsidRPr="006B725B">
        <w:rPr>
          <w:rFonts w:ascii="Arial" w:hAnsi="Arial" w:cs="Arial"/>
        </w:rPr>
        <w:t>The Council’s allocation for 202</w:t>
      </w:r>
      <w:r w:rsidR="006B725B" w:rsidRPr="006B725B">
        <w:rPr>
          <w:rFonts w:ascii="Arial" w:hAnsi="Arial" w:cs="Arial"/>
        </w:rPr>
        <w:t>6</w:t>
      </w:r>
      <w:r w:rsidRPr="006B725B">
        <w:rPr>
          <w:rFonts w:ascii="Arial" w:hAnsi="Arial" w:cs="Arial"/>
        </w:rPr>
        <w:t>/2</w:t>
      </w:r>
      <w:r w:rsidR="006B725B" w:rsidRPr="006B725B">
        <w:rPr>
          <w:rFonts w:ascii="Arial" w:hAnsi="Arial" w:cs="Arial"/>
        </w:rPr>
        <w:t>7</w:t>
      </w:r>
      <w:r w:rsidRPr="006B725B">
        <w:rPr>
          <w:rFonts w:ascii="Arial" w:hAnsi="Arial" w:cs="Arial"/>
        </w:rPr>
        <w:t xml:space="preserve"> is £0.</w:t>
      </w:r>
      <w:r w:rsidR="00FE3AFC" w:rsidRPr="006B725B">
        <w:rPr>
          <w:rFonts w:ascii="Arial" w:hAnsi="Arial" w:cs="Arial"/>
        </w:rPr>
        <w:t>414</w:t>
      </w:r>
      <w:r w:rsidRPr="006B725B">
        <w:rPr>
          <w:rFonts w:ascii="Arial" w:hAnsi="Arial" w:cs="Arial"/>
        </w:rPr>
        <w:t xml:space="preserve">m. </w:t>
      </w:r>
      <w:r w:rsidRPr="006B725B">
        <w:rPr>
          <w:rFonts w:ascii="Arial" w:hAnsi="Arial" w:cs="Arial"/>
          <w:shd w:val="clear" w:color="auto" w:fill="FFFFFF"/>
        </w:rPr>
        <w:t xml:space="preserve">The MTFS assumes an ongoing grant allocation </w:t>
      </w:r>
      <w:r w:rsidR="006B725B" w:rsidRPr="006B725B">
        <w:rPr>
          <w:rFonts w:ascii="Arial" w:hAnsi="Arial" w:cs="Arial"/>
          <w:shd w:val="clear" w:color="auto" w:fill="FFFFFF"/>
        </w:rPr>
        <w:t>over the SR25 period to 2028/29</w:t>
      </w:r>
      <w:r w:rsidRPr="006B725B">
        <w:rPr>
          <w:rFonts w:ascii="Arial" w:hAnsi="Arial" w:cs="Arial"/>
          <w:shd w:val="clear" w:color="auto" w:fill="FFFFFF"/>
        </w:rPr>
        <w:t xml:space="preserve"> of £0.</w:t>
      </w:r>
      <w:r w:rsidR="00FE3AFC" w:rsidRPr="006B725B">
        <w:rPr>
          <w:rFonts w:ascii="Arial" w:hAnsi="Arial" w:cs="Arial"/>
          <w:shd w:val="clear" w:color="auto" w:fill="FFFFFF"/>
        </w:rPr>
        <w:t>414m</w:t>
      </w:r>
      <w:r w:rsidR="006B725B" w:rsidRPr="006B725B">
        <w:rPr>
          <w:rFonts w:ascii="Arial" w:hAnsi="Arial" w:cs="Arial"/>
          <w:shd w:val="clear" w:color="auto" w:fill="FFFFFF"/>
        </w:rPr>
        <w:t>, with no further funding assumed beyond this</w:t>
      </w:r>
      <w:r w:rsidRPr="006B725B">
        <w:rPr>
          <w:rFonts w:ascii="Arial" w:hAnsi="Arial" w:cs="Arial"/>
          <w:shd w:val="clear" w:color="auto" w:fill="FFFFFF"/>
        </w:rPr>
        <w:t xml:space="preserve">. </w:t>
      </w:r>
    </w:p>
    <w:p w14:paraId="7215644A" w14:textId="77777777" w:rsidR="003917B6" w:rsidRDefault="003917B6" w:rsidP="00D335DF">
      <w:pPr>
        <w:jc w:val="both"/>
        <w:rPr>
          <w:rFonts w:ascii="Arial" w:hAnsi="Arial" w:cs="Arial"/>
          <w:shd w:val="clear" w:color="auto" w:fill="FFFFFF"/>
        </w:rPr>
      </w:pPr>
    </w:p>
    <w:p w14:paraId="7EA94A72" w14:textId="1DF6B0C2" w:rsidR="003917B6" w:rsidRDefault="003917B6" w:rsidP="00D335DF">
      <w:pPr>
        <w:jc w:val="both"/>
        <w:rPr>
          <w:rFonts w:ascii="Arial" w:hAnsi="Arial" w:cs="Arial"/>
          <w:b/>
          <w:bCs/>
          <w:shd w:val="clear" w:color="auto" w:fill="FFFFFF"/>
        </w:rPr>
      </w:pPr>
      <w:r w:rsidRPr="00405476">
        <w:rPr>
          <w:rFonts w:ascii="Arial" w:hAnsi="Arial" w:cs="Arial"/>
          <w:b/>
          <w:bCs/>
          <w:shd w:val="clear" w:color="auto" w:fill="FFFFFF"/>
        </w:rPr>
        <w:t>Adjustment Support Grant</w:t>
      </w:r>
    </w:p>
    <w:p w14:paraId="72CF4378" w14:textId="77777777" w:rsidR="007C2D5D" w:rsidRPr="007C2D5D" w:rsidRDefault="007C2D5D" w:rsidP="007C2D5D">
      <w:pPr>
        <w:jc w:val="both"/>
        <w:rPr>
          <w:rFonts w:ascii="Arial" w:hAnsi="Arial" w:cs="Arial"/>
          <w:b/>
          <w:bCs/>
          <w:shd w:val="clear" w:color="auto" w:fill="FFFFFF"/>
        </w:rPr>
      </w:pPr>
      <w:r w:rsidRPr="007C2D5D">
        <w:rPr>
          <w:rFonts w:ascii="Arial" w:hAnsi="Arial" w:cs="Arial"/>
          <w:b/>
          <w:bCs/>
          <w:shd w:val="clear" w:color="auto" w:fill="FFFFFF"/>
        </w:rPr>
        <w:t xml:space="preserve"> </w:t>
      </w:r>
    </w:p>
    <w:p w14:paraId="74DE6D18" w14:textId="3D023D69" w:rsidR="008B4E85" w:rsidRPr="00F20A1F" w:rsidRDefault="008B4E85" w:rsidP="00F20A1F">
      <w:pPr>
        <w:autoSpaceDE w:val="0"/>
        <w:autoSpaceDN w:val="0"/>
        <w:adjustRightInd w:val="0"/>
        <w:jc w:val="both"/>
        <w:rPr>
          <w:rFonts w:ascii="Arial" w:hAnsi="Arial" w:cs="Arial"/>
          <w:color w:val="000000"/>
          <w:lang w:eastAsia="en-GB"/>
        </w:rPr>
      </w:pPr>
      <w:r w:rsidRPr="00F20A1F">
        <w:rPr>
          <w:rFonts w:ascii="Arial" w:hAnsi="Arial" w:cs="Arial"/>
          <w:color w:val="000000"/>
          <w:lang w:eastAsia="en-GB"/>
        </w:rPr>
        <w:t xml:space="preserve">Following consultation on the provisional Settlement for 2026/27, </w:t>
      </w:r>
      <w:r w:rsidR="001C1C11" w:rsidRPr="00F20A1F">
        <w:rPr>
          <w:rFonts w:ascii="Arial" w:hAnsi="Arial" w:cs="Arial"/>
          <w:color w:val="000000"/>
          <w:lang w:eastAsia="en-GB"/>
        </w:rPr>
        <w:t xml:space="preserve">a significant change was announced in the final Settlement in relation to the treatment of Business Rates pooling gains.  Previously these had been allocated </w:t>
      </w:r>
      <w:r w:rsidR="008452C4" w:rsidRPr="00F20A1F">
        <w:rPr>
          <w:rFonts w:ascii="Arial" w:hAnsi="Arial" w:cs="Arial"/>
          <w:color w:val="000000"/>
          <w:lang w:eastAsia="en-GB"/>
        </w:rPr>
        <w:t xml:space="preserve">in full to </w:t>
      </w:r>
      <w:r w:rsidR="0053110B" w:rsidRPr="00F20A1F">
        <w:rPr>
          <w:rFonts w:ascii="Arial" w:hAnsi="Arial" w:cs="Arial"/>
          <w:color w:val="000000"/>
          <w:lang w:eastAsia="en-GB"/>
        </w:rPr>
        <w:t xml:space="preserve">lower </w:t>
      </w:r>
      <w:r w:rsidR="004B77B5" w:rsidRPr="00F20A1F">
        <w:rPr>
          <w:rFonts w:ascii="Arial" w:hAnsi="Arial" w:cs="Arial"/>
          <w:color w:val="000000"/>
          <w:lang w:eastAsia="en-GB"/>
        </w:rPr>
        <w:t xml:space="preserve">tariff authorities, </w:t>
      </w:r>
      <w:r w:rsidR="009F3D05" w:rsidRPr="00F20A1F">
        <w:rPr>
          <w:rFonts w:ascii="Arial" w:hAnsi="Arial" w:cs="Arial"/>
          <w:color w:val="000000"/>
          <w:lang w:eastAsia="en-GB"/>
        </w:rPr>
        <w:t>predominately District Councils</w:t>
      </w:r>
      <w:r w:rsidR="00B229CA" w:rsidRPr="00F20A1F">
        <w:rPr>
          <w:rFonts w:ascii="Arial" w:hAnsi="Arial" w:cs="Arial"/>
          <w:color w:val="000000"/>
          <w:lang w:eastAsia="en-GB"/>
        </w:rPr>
        <w:t>,</w:t>
      </w:r>
      <w:r w:rsidR="00CB2091" w:rsidRPr="00F20A1F">
        <w:rPr>
          <w:rFonts w:ascii="Arial" w:hAnsi="Arial" w:cs="Arial"/>
          <w:color w:val="000000"/>
          <w:lang w:eastAsia="en-GB"/>
        </w:rPr>
        <w:t xml:space="preserve"> inflating their starting positions.</w:t>
      </w:r>
      <w:r w:rsidR="00B229CA" w:rsidRPr="00F20A1F">
        <w:rPr>
          <w:rFonts w:ascii="Arial" w:hAnsi="Arial" w:cs="Arial"/>
          <w:color w:val="000000"/>
          <w:lang w:eastAsia="en-GB"/>
        </w:rPr>
        <w:t xml:space="preserve"> </w:t>
      </w:r>
      <w:r w:rsidR="00CB2091" w:rsidRPr="00F20A1F">
        <w:rPr>
          <w:rFonts w:ascii="Arial" w:hAnsi="Arial" w:cs="Arial"/>
          <w:color w:val="000000"/>
          <w:lang w:eastAsia="en-GB"/>
        </w:rPr>
        <w:t>Fo</w:t>
      </w:r>
      <w:r w:rsidR="00B229CA" w:rsidRPr="00F20A1F">
        <w:rPr>
          <w:rFonts w:ascii="Arial" w:hAnsi="Arial" w:cs="Arial"/>
          <w:color w:val="000000"/>
          <w:lang w:eastAsia="en-GB"/>
        </w:rPr>
        <w:t xml:space="preserve">llowing representations these are now </w:t>
      </w:r>
      <w:r w:rsidRPr="008B4E85">
        <w:rPr>
          <w:rFonts w:ascii="Arial" w:hAnsi="Arial" w:cs="Arial"/>
          <w:color w:val="000000"/>
          <w:lang w:eastAsia="en-GB"/>
        </w:rPr>
        <w:t>split 50/50 between tariff and top-up authorities</w:t>
      </w:r>
      <w:r w:rsidR="00B229CA" w:rsidRPr="00F20A1F">
        <w:rPr>
          <w:rFonts w:ascii="Arial" w:hAnsi="Arial" w:cs="Arial"/>
          <w:color w:val="000000"/>
          <w:lang w:eastAsia="en-GB"/>
        </w:rPr>
        <w:t>.</w:t>
      </w:r>
      <w:r w:rsidR="00DB0F1D" w:rsidRPr="00F20A1F">
        <w:rPr>
          <w:rFonts w:ascii="Arial" w:hAnsi="Arial" w:cs="Arial"/>
          <w:color w:val="000000"/>
          <w:lang w:eastAsia="en-GB"/>
        </w:rPr>
        <w:t xml:space="preserve">  This has the impact of changing the </w:t>
      </w:r>
      <w:r w:rsidR="006F62E2" w:rsidRPr="00F20A1F">
        <w:rPr>
          <w:rFonts w:ascii="Arial" w:hAnsi="Arial" w:cs="Arial"/>
          <w:color w:val="000000"/>
          <w:lang w:eastAsia="en-GB"/>
        </w:rPr>
        <w:t>assessed 2025/26 starting points</w:t>
      </w:r>
      <w:r w:rsidR="00E70878" w:rsidRPr="00F20A1F">
        <w:rPr>
          <w:rFonts w:ascii="Arial" w:hAnsi="Arial" w:cs="Arial"/>
          <w:color w:val="000000"/>
          <w:lang w:eastAsia="en-GB"/>
        </w:rPr>
        <w:t xml:space="preserve"> and</w:t>
      </w:r>
      <w:r w:rsidR="00B7167C" w:rsidRPr="00F20A1F">
        <w:rPr>
          <w:rFonts w:ascii="Arial" w:hAnsi="Arial" w:cs="Arial"/>
          <w:color w:val="000000"/>
          <w:lang w:eastAsia="en-GB"/>
        </w:rPr>
        <w:t xml:space="preserve"> levels FFA levels for 2026/27 and 2027/28.  It does not affect the 2028/29 target FFA</w:t>
      </w:r>
      <w:r w:rsidR="007958CB" w:rsidRPr="00F20A1F">
        <w:rPr>
          <w:rFonts w:ascii="Arial" w:hAnsi="Arial" w:cs="Arial"/>
          <w:color w:val="000000"/>
          <w:lang w:eastAsia="en-GB"/>
        </w:rPr>
        <w:t>.</w:t>
      </w:r>
    </w:p>
    <w:p w14:paraId="785FB541" w14:textId="77777777" w:rsidR="00B229CA" w:rsidRPr="008B4E85" w:rsidRDefault="00B229CA" w:rsidP="00F20A1F">
      <w:pPr>
        <w:autoSpaceDE w:val="0"/>
        <w:autoSpaceDN w:val="0"/>
        <w:adjustRightInd w:val="0"/>
        <w:jc w:val="both"/>
        <w:rPr>
          <w:rFonts w:ascii="Arial" w:hAnsi="Arial" w:cs="Arial"/>
          <w:color w:val="000000"/>
          <w:lang w:eastAsia="en-GB"/>
        </w:rPr>
      </w:pPr>
    </w:p>
    <w:p w14:paraId="145C3E32" w14:textId="0C65409C" w:rsidR="00F20A1F" w:rsidRDefault="007958CB" w:rsidP="00F20A1F">
      <w:pPr>
        <w:numPr>
          <w:ilvl w:val="1"/>
          <w:numId w:val="66"/>
        </w:numPr>
        <w:jc w:val="both"/>
        <w:rPr>
          <w:rFonts w:ascii="Arial" w:hAnsi="Arial" w:cs="Arial"/>
          <w:shd w:val="clear" w:color="auto" w:fill="FFFFFF"/>
        </w:rPr>
      </w:pPr>
      <w:r w:rsidRPr="00F20A1F">
        <w:rPr>
          <w:rFonts w:ascii="Arial" w:hAnsi="Arial" w:cs="Arial"/>
          <w:shd w:val="clear" w:color="auto" w:fill="FFFFFF"/>
        </w:rPr>
        <w:t xml:space="preserve">Due to the significant of this change at such a late stage, the Government introduced a new </w:t>
      </w:r>
      <w:r w:rsidR="007C2D5D" w:rsidRPr="007C2D5D">
        <w:rPr>
          <w:rFonts w:ascii="Arial" w:hAnsi="Arial" w:cs="Arial"/>
          <w:shd w:val="clear" w:color="auto" w:fill="FFFFFF"/>
        </w:rPr>
        <w:t>Adjustment Support Grant to prevent any council seeing a reduction in its spending power for 2026</w:t>
      </w:r>
      <w:r w:rsidR="007C2D5D" w:rsidRPr="00F20A1F">
        <w:rPr>
          <w:rFonts w:ascii="Arial" w:hAnsi="Arial" w:cs="Arial"/>
          <w:shd w:val="clear" w:color="auto" w:fill="FFFFFF"/>
        </w:rPr>
        <w:t>/</w:t>
      </w:r>
      <w:r w:rsidR="007C2D5D" w:rsidRPr="007C2D5D">
        <w:rPr>
          <w:rFonts w:ascii="Arial" w:hAnsi="Arial" w:cs="Arial"/>
          <w:shd w:val="clear" w:color="auto" w:fill="FFFFFF"/>
        </w:rPr>
        <w:t>27 between the provisional and final settlements. This will be on top of the funding floors and other transitional protection measures in 2026</w:t>
      </w:r>
      <w:r w:rsidR="007C2D5D" w:rsidRPr="00F20A1F">
        <w:rPr>
          <w:rFonts w:ascii="Arial" w:hAnsi="Arial" w:cs="Arial"/>
          <w:shd w:val="clear" w:color="auto" w:fill="FFFFFF"/>
        </w:rPr>
        <w:t>/</w:t>
      </w:r>
      <w:r w:rsidR="007C2D5D" w:rsidRPr="007C2D5D">
        <w:rPr>
          <w:rFonts w:ascii="Arial" w:hAnsi="Arial" w:cs="Arial"/>
          <w:shd w:val="clear" w:color="auto" w:fill="FFFFFF"/>
        </w:rPr>
        <w:t xml:space="preserve">27. </w:t>
      </w:r>
    </w:p>
    <w:p w14:paraId="5A57715A" w14:textId="77777777" w:rsidR="00F20A1F" w:rsidRDefault="00F20A1F" w:rsidP="00F20A1F">
      <w:pPr>
        <w:jc w:val="both"/>
        <w:rPr>
          <w:rFonts w:ascii="Arial" w:hAnsi="Arial" w:cs="Arial"/>
          <w:shd w:val="clear" w:color="auto" w:fill="FFFFFF"/>
        </w:rPr>
      </w:pPr>
    </w:p>
    <w:p w14:paraId="1487DC6C" w14:textId="62ACBC42" w:rsidR="00F20A1F" w:rsidRPr="007C2D5D" w:rsidRDefault="00F20A1F" w:rsidP="00F20A1F">
      <w:pPr>
        <w:jc w:val="both"/>
        <w:rPr>
          <w:rFonts w:ascii="Arial" w:hAnsi="Arial" w:cs="Arial"/>
          <w:shd w:val="clear" w:color="auto" w:fill="FFFFFF"/>
        </w:rPr>
      </w:pPr>
      <w:r>
        <w:rPr>
          <w:rFonts w:ascii="Arial" w:hAnsi="Arial" w:cs="Arial"/>
          <w:shd w:val="clear" w:color="auto" w:fill="FFFFFF"/>
        </w:rPr>
        <w:t>The Council’s allocation for</w:t>
      </w:r>
      <w:r w:rsidR="00A700FA">
        <w:rPr>
          <w:rFonts w:ascii="Arial" w:hAnsi="Arial" w:cs="Arial"/>
          <w:shd w:val="clear" w:color="auto" w:fill="FFFFFF"/>
        </w:rPr>
        <w:t xml:space="preserve"> 2026/27 is £0.379m.  No allocations for 2027/28 have yet been announced.</w:t>
      </w:r>
    </w:p>
    <w:p w14:paraId="545B2511" w14:textId="77777777" w:rsidR="00DB6272" w:rsidRPr="00405476" w:rsidRDefault="00DB6272" w:rsidP="00D335DF">
      <w:pPr>
        <w:numPr>
          <w:ilvl w:val="1"/>
          <w:numId w:val="66"/>
        </w:numPr>
        <w:jc w:val="both"/>
        <w:rPr>
          <w:rFonts w:ascii="Arial" w:hAnsi="Arial" w:cs="Arial"/>
          <w:b/>
          <w:bCs/>
          <w:shd w:val="clear" w:color="auto" w:fill="FFFFFF"/>
        </w:rPr>
      </w:pPr>
    </w:p>
    <w:p w14:paraId="22D4672F" w14:textId="77777777" w:rsidR="00BE33F1" w:rsidRPr="00BE33F1" w:rsidRDefault="00BE33F1" w:rsidP="00D335DF">
      <w:pPr>
        <w:jc w:val="both"/>
        <w:rPr>
          <w:rFonts w:ascii="Arial" w:hAnsi="Arial" w:cs="Arial"/>
          <w:b/>
          <w:bCs/>
        </w:rPr>
      </w:pPr>
      <w:r w:rsidRPr="00BE33F1">
        <w:rPr>
          <w:rFonts w:ascii="Arial" w:hAnsi="Arial" w:cs="Arial"/>
          <w:b/>
          <w:bCs/>
        </w:rPr>
        <w:t>Homelessness, Rough Sleeping and Domestic Abuse Grant</w:t>
      </w:r>
    </w:p>
    <w:p w14:paraId="6168D6DC" w14:textId="77777777" w:rsidR="00BE33F1" w:rsidRDefault="00BE33F1" w:rsidP="00D335DF">
      <w:pPr>
        <w:jc w:val="both"/>
        <w:rPr>
          <w:rFonts w:ascii="Arial" w:hAnsi="Arial" w:cs="Arial"/>
        </w:rPr>
      </w:pPr>
    </w:p>
    <w:p w14:paraId="2EAD4386" w14:textId="4C27CF22" w:rsidR="00844A4E" w:rsidRPr="00161812" w:rsidRDefault="00FD7A81" w:rsidP="00844A4E">
      <w:pPr>
        <w:tabs>
          <w:tab w:val="num" w:pos="720"/>
        </w:tabs>
        <w:jc w:val="both"/>
        <w:rPr>
          <w:rFonts w:ascii="Arial" w:hAnsi="Arial" w:cs="Arial"/>
          <w:bCs/>
        </w:rPr>
      </w:pPr>
      <w:r>
        <w:rPr>
          <w:rFonts w:ascii="Arial" w:hAnsi="Arial" w:cs="Arial"/>
          <w:bCs/>
        </w:rPr>
        <w:t xml:space="preserve">As part of the FFR and </w:t>
      </w:r>
      <w:r w:rsidR="00FD49A2">
        <w:rPr>
          <w:rFonts w:ascii="Arial" w:hAnsi="Arial" w:cs="Arial"/>
          <w:bCs/>
        </w:rPr>
        <w:t>simplification</w:t>
      </w:r>
      <w:r>
        <w:rPr>
          <w:rFonts w:ascii="Arial" w:hAnsi="Arial" w:cs="Arial"/>
          <w:bCs/>
        </w:rPr>
        <w:t xml:space="preserve">/consolidation of funding, </w:t>
      </w:r>
      <w:r w:rsidR="00844A4E" w:rsidRPr="00524FAA">
        <w:rPr>
          <w:rFonts w:ascii="Arial" w:hAnsi="Arial" w:cs="Arial"/>
          <w:bCs/>
        </w:rPr>
        <w:t xml:space="preserve">several existing grants </w:t>
      </w:r>
      <w:r w:rsidR="00FD49A2">
        <w:rPr>
          <w:rFonts w:ascii="Arial" w:hAnsi="Arial" w:cs="Arial"/>
          <w:bCs/>
        </w:rPr>
        <w:t xml:space="preserve">have been consolidated </w:t>
      </w:r>
      <w:r w:rsidR="00844A4E" w:rsidRPr="00524FAA">
        <w:rPr>
          <w:rFonts w:ascii="Arial" w:hAnsi="Arial" w:cs="Arial"/>
          <w:bCs/>
        </w:rPr>
        <w:t xml:space="preserve">into a </w:t>
      </w:r>
      <w:r w:rsidR="00844A4E" w:rsidRPr="00524FAA">
        <w:rPr>
          <w:rFonts w:ascii="Arial" w:hAnsi="Arial" w:cs="Arial"/>
        </w:rPr>
        <w:t>single Homelessness</w:t>
      </w:r>
      <w:r w:rsidR="00FD49A2">
        <w:rPr>
          <w:rFonts w:ascii="Arial" w:hAnsi="Arial" w:cs="Arial"/>
        </w:rPr>
        <w:t xml:space="preserve">, </w:t>
      </w:r>
      <w:r w:rsidR="00844A4E" w:rsidRPr="00524FAA">
        <w:rPr>
          <w:rFonts w:ascii="Arial" w:hAnsi="Arial" w:cs="Arial"/>
        </w:rPr>
        <w:t>Rough Sleeping Grant</w:t>
      </w:r>
      <w:r w:rsidR="00FD49A2">
        <w:rPr>
          <w:rFonts w:ascii="Arial" w:hAnsi="Arial" w:cs="Arial"/>
        </w:rPr>
        <w:t xml:space="preserve"> and Domestic Abuse Grant</w:t>
      </w:r>
      <w:r w:rsidR="00844A4E" w:rsidRPr="00524FAA">
        <w:rPr>
          <w:rFonts w:ascii="Arial" w:hAnsi="Arial" w:cs="Arial"/>
        </w:rPr>
        <w:t>.</w:t>
      </w:r>
      <w:r w:rsidR="00844A4E" w:rsidRPr="00E57CCE">
        <w:rPr>
          <w:rFonts w:ascii="Arial" w:hAnsi="Arial" w:cs="Arial"/>
          <w:bCs/>
        </w:rPr>
        <w:t xml:space="preserve"> At the same time the </w:t>
      </w:r>
      <w:r w:rsidR="00844A4E">
        <w:rPr>
          <w:rFonts w:ascii="Arial" w:hAnsi="Arial" w:cs="Arial"/>
          <w:bCs/>
        </w:rPr>
        <w:t>t</w:t>
      </w:r>
      <w:r w:rsidR="00844A4E" w:rsidRPr="00DE683B">
        <w:rPr>
          <w:rFonts w:ascii="Arial" w:hAnsi="Arial" w:cs="Arial"/>
          <w:bCs/>
        </w:rPr>
        <w:t xml:space="preserve">emporary accommodation funding currently provided through the Homelessness Prevention Grant will be </w:t>
      </w:r>
      <w:r w:rsidR="00844A4E" w:rsidRPr="00E57CCE">
        <w:rPr>
          <w:rFonts w:ascii="Arial" w:hAnsi="Arial" w:cs="Arial"/>
          <w:bCs/>
        </w:rPr>
        <w:t>rolled in</w:t>
      </w:r>
      <w:r w:rsidR="00844A4E" w:rsidRPr="00DE683B">
        <w:rPr>
          <w:rFonts w:ascii="Arial" w:hAnsi="Arial" w:cs="Arial"/>
          <w:bCs/>
        </w:rPr>
        <w:t xml:space="preserve">to the </w:t>
      </w:r>
      <w:r w:rsidR="00FD49A2">
        <w:rPr>
          <w:rFonts w:ascii="Arial" w:hAnsi="Arial" w:cs="Arial"/>
          <w:bCs/>
        </w:rPr>
        <w:t>FFA</w:t>
      </w:r>
      <w:r w:rsidR="00844A4E" w:rsidRPr="00E57CCE">
        <w:rPr>
          <w:rFonts w:ascii="Arial" w:hAnsi="Arial" w:cs="Arial"/>
          <w:bCs/>
        </w:rPr>
        <w:t xml:space="preserve"> </w:t>
      </w:r>
      <w:r w:rsidR="00844A4E" w:rsidRPr="00E57CCE">
        <w:rPr>
          <w:rFonts w:ascii="Arial" w:hAnsi="Arial" w:cs="Arial"/>
        </w:rPr>
        <w:t xml:space="preserve">from 2026/27, with </w:t>
      </w:r>
      <w:r w:rsidR="00844A4E" w:rsidRPr="00DE683B">
        <w:rPr>
          <w:rFonts w:ascii="Arial" w:hAnsi="Arial" w:cs="Arial"/>
          <w:bCs/>
        </w:rPr>
        <w:t xml:space="preserve">a dedicated </w:t>
      </w:r>
      <w:r w:rsidR="00844A4E">
        <w:rPr>
          <w:rFonts w:ascii="Arial" w:hAnsi="Arial" w:cs="Arial"/>
          <w:bCs/>
        </w:rPr>
        <w:t>t</w:t>
      </w:r>
      <w:r w:rsidR="00844A4E" w:rsidRPr="00DE683B">
        <w:rPr>
          <w:rFonts w:ascii="Arial" w:hAnsi="Arial" w:cs="Arial"/>
          <w:bCs/>
        </w:rPr>
        <w:t xml:space="preserve">emporary </w:t>
      </w:r>
      <w:r w:rsidR="00844A4E">
        <w:rPr>
          <w:rFonts w:ascii="Arial" w:hAnsi="Arial" w:cs="Arial"/>
          <w:bCs/>
        </w:rPr>
        <w:t>a</w:t>
      </w:r>
      <w:r w:rsidR="00844A4E" w:rsidRPr="00DE683B">
        <w:rPr>
          <w:rFonts w:ascii="Arial" w:hAnsi="Arial" w:cs="Arial"/>
          <w:bCs/>
        </w:rPr>
        <w:t xml:space="preserve">ccommodation formula. </w:t>
      </w:r>
    </w:p>
    <w:p w14:paraId="6094271C" w14:textId="77777777" w:rsidR="00844A4E" w:rsidRDefault="00844A4E" w:rsidP="00D335DF">
      <w:pPr>
        <w:jc w:val="both"/>
        <w:rPr>
          <w:rFonts w:ascii="Arial" w:hAnsi="Arial" w:cs="Arial"/>
        </w:rPr>
      </w:pPr>
    </w:p>
    <w:p w14:paraId="58FE0DE2" w14:textId="72BB5F60" w:rsidR="00DB6272" w:rsidRPr="006B725B" w:rsidRDefault="00BE33F1" w:rsidP="00D335DF">
      <w:pPr>
        <w:jc w:val="both"/>
        <w:rPr>
          <w:rFonts w:ascii="Arial" w:hAnsi="Arial" w:cs="Arial"/>
        </w:rPr>
      </w:pPr>
      <w:r>
        <w:rPr>
          <w:rFonts w:ascii="Arial" w:hAnsi="Arial" w:cs="Arial"/>
        </w:rPr>
        <w:t>The Council’s allocations over the 3-year Settlement period are as follows:</w:t>
      </w:r>
    </w:p>
    <w:p w14:paraId="07DD7273" w14:textId="353DD549" w:rsidR="00D335DF" w:rsidRDefault="00D335DF" w:rsidP="003633B9">
      <w:pPr>
        <w:jc w:val="both"/>
        <w:rPr>
          <w:rFonts w:ascii="Arial" w:hAnsi="Arial" w:cs="Arial"/>
          <w:b/>
          <w:highlight w:val="yellow"/>
        </w:rPr>
      </w:pPr>
      <w:bookmarkStart w:id="1" w:name="_Hlk121926261"/>
    </w:p>
    <w:tbl>
      <w:tblPr>
        <w:tblW w:w="3639"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164"/>
        <w:gridCol w:w="1200"/>
      </w:tblGrid>
      <w:tr w:rsidR="002258FF" w:rsidRPr="001C0B17" w14:paraId="1146D4BB" w14:textId="77777777" w:rsidTr="007B3D36">
        <w:trPr>
          <w:trHeight w:val="315"/>
        </w:trPr>
        <w:tc>
          <w:tcPr>
            <w:tcW w:w="1275" w:type="dxa"/>
            <w:tcBorders>
              <w:bottom w:val="nil"/>
            </w:tcBorders>
            <w:noWrap/>
            <w:vAlign w:val="bottom"/>
          </w:tcPr>
          <w:p w14:paraId="4291C39E" w14:textId="77777777" w:rsidR="00BE33F1" w:rsidRPr="00E15DD1" w:rsidRDefault="00BE33F1" w:rsidP="00D5019B">
            <w:pPr>
              <w:jc w:val="center"/>
              <w:rPr>
                <w:rFonts w:ascii="Arial" w:hAnsi="Arial" w:cs="Arial"/>
                <w:b/>
              </w:rPr>
            </w:pPr>
            <w:r w:rsidRPr="00E15DD1">
              <w:rPr>
                <w:rFonts w:ascii="Arial" w:hAnsi="Arial" w:cs="Arial"/>
                <w:b/>
                <w:bCs/>
              </w:rPr>
              <w:t>2026/27</w:t>
            </w:r>
          </w:p>
        </w:tc>
        <w:tc>
          <w:tcPr>
            <w:tcW w:w="1164" w:type="dxa"/>
            <w:tcBorders>
              <w:bottom w:val="nil"/>
            </w:tcBorders>
            <w:noWrap/>
            <w:vAlign w:val="bottom"/>
          </w:tcPr>
          <w:p w14:paraId="6D0A4BCD" w14:textId="77777777" w:rsidR="00BE33F1" w:rsidRPr="00E15DD1" w:rsidRDefault="00BE33F1" w:rsidP="00D5019B">
            <w:pPr>
              <w:jc w:val="center"/>
              <w:rPr>
                <w:rFonts w:ascii="Arial" w:hAnsi="Arial" w:cs="Arial"/>
                <w:b/>
              </w:rPr>
            </w:pPr>
            <w:r w:rsidRPr="00E15DD1">
              <w:rPr>
                <w:rFonts w:ascii="Arial" w:hAnsi="Arial" w:cs="Arial"/>
                <w:b/>
                <w:bCs/>
              </w:rPr>
              <w:t>2027/28</w:t>
            </w:r>
          </w:p>
        </w:tc>
        <w:tc>
          <w:tcPr>
            <w:tcW w:w="1200" w:type="dxa"/>
            <w:tcBorders>
              <w:bottom w:val="nil"/>
            </w:tcBorders>
            <w:noWrap/>
            <w:vAlign w:val="bottom"/>
          </w:tcPr>
          <w:p w14:paraId="3F0AFBA6" w14:textId="77777777" w:rsidR="00BE33F1" w:rsidRPr="00E15DD1" w:rsidRDefault="00BE33F1" w:rsidP="00D5019B">
            <w:pPr>
              <w:jc w:val="center"/>
              <w:rPr>
                <w:rFonts w:ascii="Arial" w:hAnsi="Arial" w:cs="Arial"/>
                <w:b/>
              </w:rPr>
            </w:pPr>
            <w:r w:rsidRPr="00E15DD1">
              <w:rPr>
                <w:rFonts w:ascii="Arial" w:hAnsi="Arial" w:cs="Arial"/>
                <w:b/>
                <w:bCs/>
              </w:rPr>
              <w:t>2028/29</w:t>
            </w:r>
          </w:p>
        </w:tc>
      </w:tr>
      <w:tr w:rsidR="002258FF" w:rsidRPr="001C0B17" w14:paraId="199E9441" w14:textId="77777777" w:rsidTr="007B3D36">
        <w:trPr>
          <w:trHeight w:val="255"/>
        </w:trPr>
        <w:tc>
          <w:tcPr>
            <w:tcW w:w="1275" w:type="dxa"/>
            <w:tcBorders>
              <w:top w:val="nil"/>
            </w:tcBorders>
            <w:noWrap/>
          </w:tcPr>
          <w:p w14:paraId="655BB491" w14:textId="77777777" w:rsidR="00BE33F1" w:rsidRPr="00E15DD1" w:rsidRDefault="00BE33F1" w:rsidP="00D5019B">
            <w:pPr>
              <w:jc w:val="center"/>
              <w:rPr>
                <w:rFonts w:ascii="Arial" w:hAnsi="Arial" w:cs="Arial"/>
                <w:b/>
              </w:rPr>
            </w:pPr>
            <w:r w:rsidRPr="00E15DD1">
              <w:rPr>
                <w:rFonts w:ascii="Arial" w:hAnsi="Arial" w:cs="Arial"/>
                <w:b/>
              </w:rPr>
              <w:t>£m</w:t>
            </w:r>
          </w:p>
        </w:tc>
        <w:tc>
          <w:tcPr>
            <w:tcW w:w="1164" w:type="dxa"/>
            <w:tcBorders>
              <w:top w:val="nil"/>
            </w:tcBorders>
            <w:noWrap/>
          </w:tcPr>
          <w:p w14:paraId="0A2B0615" w14:textId="77777777" w:rsidR="00BE33F1" w:rsidRPr="00E15DD1" w:rsidRDefault="00BE33F1" w:rsidP="00D5019B">
            <w:pPr>
              <w:jc w:val="center"/>
              <w:rPr>
                <w:rFonts w:ascii="Arial" w:hAnsi="Arial" w:cs="Arial"/>
              </w:rPr>
            </w:pPr>
            <w:r w:rsidRPr="00E15DD1">
              <w:rPr>
                <w:rFonts w:ascii="Arial" w:hAnsi="Arial" w:cs="Arial"/>
                <w:b/>
              </w:rPr>
              <w:t>£m</w:t>
            </w:r>
          </w:p>
        </w:tc>
        <w:tc>
          <w:tcPr>
            <w:tcW w:w="1200" w:type="dxa"/>
            <w:tcBorders>
              <w:top w:val="nil"/>
            </w:tcBorders>
            <w:noWrap/>
          </w:tcPr>
          <w:p w14:paraId="2F94FA38" w14:textId="77777777" w:rsidR="00BE33F1" w:rsidRPr="00E15DD1" w:rsidRDefault="00BE33F1" w:rsidP="00D5019B">
            <w:pPr>
              <w:jc w:val="center"/>
              <w:rPr>
                <w:rFonts w:ascii="Arial" w:hAnsi="Arial" w:cs="Arial"/>
              </w:rPr>
            </w:pPr>
            <w:r w:rsidRPr="00E15DD1">
              <w:rPr>
                <w:rFonts w:ascii="Arial" w:hAnsi="Arial" w:cs="Arial"/>
                <w:b/>
              </w:rPr>
              <w:t>£m</w:t>
            </w:r>
          </w:p>
        </w:tc>
      </w:tr>
      <w:tr w:rsidR="002258FF" w:rsidRPr="001C0B17" w14:paraId="3C2E7341" w14:textId="77777777" w:rsidTr="007B3D36">
        <w:trPr>
          <w:trHeight w:val="255"/>
        </w:trPr>
        <w:tc>
          <w:tcPr>
            <w:tcW w:w="1275" w:type="dxa"/>
            <w:noWrap/>
            <w:vAlign w:val="bottom"/>
          </w:tcPr>
          <w:p w14:paraId="0F85A0A5" w14:textId="613A52BC" w:rsidR="00BE33F1" w:rsidRPr="00E15DD1" w:rsidRDefault="00BE33F1" w:rsidP="00D5019B">
            <w:pPr>
              <w:jc w:val="right"/>
              <w:rPr>
                <w:rFonts w:ascii="Arial" w:hAnsi="Arial" w:cs="Arial"/>
              </w:rPr>
            </w:pPr>
            <w:r>
              <w:rPr>
                <w:rFonts w:ascii="Arial" w:hAnsi="Arial" w:cs="Arial"/>
              </w:rPr>
              <w:t>1.4</w:t>
            </w:r>
            <w:r w:rsidR="003917B6">
              <w:rPr>
                <w:rFonts w:ascii="Arial" w:hAnsi="Arial" w:cs="Arial"/>
              </w:rPr>
              <w:t>77</w:t>
            </w:r>
          </w:p>
        </w:tc>
        <w:tc>
          <w:tcPr>
            <w:tcW w:w="1164" w:type="dxa"/>
            <w:noWrap/>
            <w:vAlign w:val="bottom"/>
          </w:tcPr>
          <w:p w14:paraId="14708ED8" w14:textId="706E32FB" w:rsidR="00BE33F1" w:rsidRPr="00E15DD1" w:rsidRDefault="00BE33F1" w:rsidP="00D5019B">
            <w:pPr>
              <w:jc w:val="right"/>
              <w:rPr>
                <w:rFonts w:ascii="Arial" w:hAnsi="Arial" w:cs="Arial"/>
              </w:rPr>
            </w:pPr>
            <w:r>
              <w:rPr>
                <w:rFonts w:ascii="Arial" w:hAnsi="Arial" w:cs="Arial"/>
              </w:rPr>
              <w:t>1.</w:t>
            </w:r>
            <w:r w:rsidR="003917B6">
              <w:rPr>
                <w:rFonts w:ascii="Arial" w:hAnsi="Arial" w:cs="Arial"/>
              </w:rPr>
              <w:t>378</w:t>
            </w:r>
          </w:p>
        </w:tc>
        <w:tc>
          <w:tcPr>
            <w:tcW w:w="1200" w:type="dxa"/>
            <w:noWrap/>
            <w:vAlign w:val="bottom"/>
          </w:tcPr>
          <w:p w14:paraId="3D24BC96" w14:textId="123A3D20" w:rsidR="00BE33F1" w:rsidRPr="00E15DD1" w:rsidRDefault="00BE33F1" w:rsidP="00D5019B">
            <w:pPr>
              <w:jc w:val="right"/>
              <w:rPr>
                <w:rFonts w:ascii="Arial" w:hAnsi="Arial" w:cs="Arial"/>
              </w:rPr>
            </w:pPr>
            <w:r>
              <w:rPr>
                <w:rFonts w:ascii="Arial" w:hAnsi="Arial" w:cs="Arial"/>
              </w:rPr>
              <w:t>1</w:t>
            </w:r>
            <w:r w:rsidR="009B792A">
              <w:rPr>
                <w:rFonts w:ascii="Arial" w:hAnsi="Arial" w:cs="Arial"/>
              </w:rPr>
              <w:t>.</w:t>
            </w:r>
            <w:r w:rsidR="003917B6">
              <w:rPr>
                <w:rFonts w:ascii="Arial" w:hAnsi="Arial" w:cs="Arial"/>
              </w:rPr>
              <w:t>318</w:t>
            </w:r>
          </w:p>
        </w:tc>
      </w:tr>
    </w:tbl>
    <w:p w14:paraId="1EFF754F" w14:textId="77777777" w:rsidR="00BE33F1" w:rsidRPr="001C0B17" w:rsidRDefault="00BE33F1" w:rsidP="003633B9">
      <w:pPr>
        <w:jc w:val="both"/>
        <w:rPr>
          <w:rFonts w:ascii="Arial" w:hAnsi="Arial" w:cs="Arial"/>
          <w:b/>
          <w:highlight w:val="yellow"/>
        </w:rPr>
      </w:pPr>
    </w:p>
    <w:p w14:paraId="0ED0C939" w14:textId="073A4883" w:rsidR="003633B9" w:rsidRPr="006B725B" w:rsidRDefault="003633B9" w:rsidP="003633B9">
      <w:pPr>
        <w:jc w:val="both"/>
        <w:rPr>
          <w:rFonts w:ascii="Arial" w:hAnsi="Arial" w:cs="Arial"/>
          <w:b/>
        </w:rPr>
      </w:pPr>
      <w:r w:rsidRPr="006B725B">
        <w:rPr>
          <w:rFonts w:ascii="Arial" w:hAnsi="Arial" w:cs="Arial"/>
          <w:b/>
        </w:rPr>
        <w:t>Extended Producer Responsibility</w:t>
      </w:r>
      <w:r w:rsidR="00DD3E4D">
        <w:rPr>
          <w:rFonts w:ascii="Arial" w:hAnsi="Arial" w:cs="Arial"/>
          <w:b/>
        </w:rPr>
        <w:t xml:space="preserve"> Scheme</w:t>
      </w:r>
    </w:p>
    <w:p w14:paraId="4630BEB3" w14:textId="4176DAFC" w:rsidR="003633B9" w:rsidRPr="006B725B" w:rsidRDefault="003633B9" w:rsidP="003633B9">
      <w:pPr>
        <w:jc w:val="both"/>
        <w:rPr>
          <w:rFonts w:ascii="Arial" w:hAnsi="Arial" w:cs="Arial"/>
          <w:b/>
        </w:rPr>
      </w:pPr>
    </w:p>
    <w:p w14:paraId="59E4E1F6" w14:textId="799EAF6A" w:rsidR="00DF4C38" w:rsidRDefault="008B0077" w:rsidP="00150EB8">
      <w:pPr>
        <w:jc w:val="both"/>
        <w:rPr>
          <w:rFonts w:ascii="Arial" w:hAnsi="Arial" w:cs="Arial"/>
          <w:lang w:val="en-US"/>
        </w:rPr>
      </w:pPr>
      <w:r w:rsidRPr="006B725B">
        <w:rPr>
          <w:rFonts w:ascii="Arial" w:hAnsi="Arial" w:cs="Arial"/>
          <w:lang w:val="en-US"/>
        </w:rPr>
        <w:t>Extended Producer Responsibility (EPR) is a scheme</w:t>
      </w:r>
      <w:r w:rsidR="00FA7D4D" w:rsidRPr="006B725B">
        <w:rPr>
          <w:rFonts w:ascii="Arial" w:hAnsi="Arial" w:cs="Arial"/>
          <w:lang w:val="en-US"/>
        </w:rPr>
        <w:t>, introduced in 2025/26,</w:t>
      </w:r>
      <w:r w:rsidRPr="006B725B">
        <w:rPr>
          <w:rFonts w:ascii="Arial" w:hAnsi="Arial" w:cs="Arial"/>
          <w:lang w:val="en-US"/>
        </w:rPr>
        <w:t xml:space="preserve"> </w:t>
      </w:r>
      <w:r w:rsidR="00E21BAA" w:rsidRPr="006B725B">
        <w:rPr>
          <w:rFonts w:ascii="Arial" w:hAnsi="Arial" w:cs="Arial"/>
          <w:lang w:val="en-US"/>
        </w:rPr>
        <w:t>that requires</w:t>
      </w:r>
      <w:r w:rsidRPr="006B725B">
        <w:rPr>
          <w:rFonts w:ascii="Arial" w:hAnsi="Arial" w:cs="Arial"/>
          <w:lang w:val="en-US"/>
        </w:rPr>
        <w:t xml:space="preserve"> producers of packaging to pay for the cost of recycling that packaging</w:t>
      </w:r>
      <w:r w:rsidR="00E21BAA" w:rsidRPr="006B725B">
        <w:rPr>
          <w:rFonts w:ascii="Arial" w:hAnsi="Arial" w:cs="Arial"/>
          <w:lang w:val="en-US"/>
        </w:rPr>
        <w:t xml:space="preserve">. </w:t>
      </w:r>
      <w:r w:rsidR="0052135F" w:rsidRPr="006B725B">
        <w:rPr>
          <w:rFonts w:ascii="Arial" w:hAnsi="Arial" w:cs="Arial"/>
          <w:lang w:val="en-US"/>
        </w:rPr>
        <w:t>Fees</w:t>
      </w:r>
      <w:r w:rsidR="0052135F">
        <w:rPr>
          <w:rFonts w:ascii="Arial" w:hAnsi="Arial" w:cs="Arial"/>
          <w:lang w:val="en-US"/>
        </w:rPr>
        <w:t xml:space="preserve"> paid by the producers will go to local authorities as waste disposal or waste collection authorities to cover the costs of collecting, managing, recycling, and disposing of household packaging waste. </w:t>
      </w:r>
      <w:r w:rsidR="00A13091" w:rsidRPr="00397C1A">
        <w:rPr>
          <w:rFonts w:ascii="Arial" w:hAnsi="Arial" w:cs="Arial"/>
          <w:lang w:val="en-US"/>
        </w:rPr>
        <w:t xml:space="preserve">Additional income of c£1.1bn p.a. is expected to be received by authorities through </w:t>
      </w:r>
      <w:r w:rsidR="0052135F">
        <w:rPr>
          <w:rFonts w:ascii="Arial" w:hAnsi="Arial" w:cs="Arial"/>
          <w:lang w:val="en-US"/>
        </w:rPr>
        <w:t xml:space="preserve">initial </w:t>
      </w:r>
      <w:r w:rsidR="00A13091" w:rsidRPr="00397C1A">
        <w:rPr>
          <w:rFonts w:ascii="Arial" w:hAnsi="Arial" w:cs="Arial"/>
          <w:lang w:val="en-US"/>
        </w:rPr>
        <w:t xml:space="preserve">implementation of the scheme. </w:t>
      </w:r>
      <w:r w:rsidR="0052135F">
        <w:rPr>
          <w:rFonts w:ascii="Arial" w:hAnsi="Arial" w:cs="Arial"/>
          <w:lang w:val="en-US"/>
        </w:rPr>
        <w:t>On the basis that the scheme is intended to change the behaviors of the packaging producers it is by its nature intended to be a diminishing funding stream over time.</w:t>
      </w:r>
    </w:p>
    <w:p w14:paraId="4BF708CB" w14:textId="77777777" w:rsidR="0052135F" w:rsidRDefault="0052135F" w:rsidP="00AF0833">
      <w:pPr>
        <w:jc w:val="both"/>
        <w:rPr>
          <w:rFonts w:ascii="Arial" w:hAnsi="Arial" w:cs="Arial"/>
          <w:lang w:val="en-US"/>
        </w:rPr>
      </w:pPr>
    </w:p>
    <w:p w14:paraId="63754AFB" w14:textId="5D27E760" w:rsidR="0052135F" w:rsidRPr="001C0B17" w:rsidRDefault="004F4152" w:rsidP="00AF0833">
      <w:pPr>
        <w:jc w:val="both"/>
        <w:rPr>
          <w:rFonts w:ascii="Arial" w:hAnsi="Arial" w:cs="Arial"/>
          <w:highlight w:val="yellow"/>
        </w:rPr>
      </w:pPr>
      <w:r>
        <w:rPr>
          <w:rFonts w:ascii="Arial" w:hAnsi="Arial" w:cs="Arial"/>
        </w:rPr>
        <w:t xml:space="preserve">MHCLG confirmed in the Finance Settlement that </w:t>
      </w:r>
      <w:r w:rsidR="00FA7D4D" w:rsidRPr="00775AC3">
        <w:rPr>
          <w:rFonts w:ascii="Arial" w:hAnsi="Arial" w:cs="Arial"/>
        </w:rPr>
        <w:t xml:space="preserve">EPR </w:t>
      </w:r>
      <w:r>
        <w:rPr>
          <w:rFonts w:ascii="Arial" w:hAnsi="Arial" w:cs="Arial"/>
        </w:rPr>
        <w:t>funding</w:t>
      </w:r>
      <w:r w:rsidR="00FA7D4D" w:rsidRPr="00775AC3">
        <w:rPr>
          <w:rFonts w:ascii="Arial" w:hAnsi="Arial" w:cs="Arial"/>
        </w:rPr>
        <w:t xml:space="preserve"> will continue to be additional </w:t>
      </w:r>
      <w:r>
        <w:rPr>
          <w:rFonts w:ascii="Arial" w:hAnsi="Arial" w:cs="Arial"/>
        </w:rPr>
        <w:t>CSP</w:t>
      </w:r>
      <w:r w:rsidR="00FA7D4D" w:rsidRPr="00775AC3">
        <w:rPr>
          <w:rFonts w:ascii="Arial" w:hAnsi="Arial" w:cs="Arial"/>
        </w:rPr>
        <w:t xml:space="preserve"> for waste collection</w:t>
      </w:r>
      <w:r w:rsidR="00FA7D4D">
        <w:rPr>
          <w:rFonts w:ascii="Arial" w:hAnsi="Arial" w:cs="Arial"/>
        </w:rPr>
        <w:t>/disposal</w:t>
      </w:r>
      <w:r w:rsidR="00FA7D4D" w:rsidRPr="00775AC3">
        <w:rPr>
          <w:rFonts w:ascii="Arial" w:hAnsi="Arial" w:cs="Arial"/>
        </w:rPr>
        <w:t xml:space="preserve"> authorities for the whole of the SR</w:t>
      </w:r>
      <w:r>
        <w:rPr>
          <w:rFonts w:ascii="Arial" w:hAnsi="Arial" w:cs="Arial"/>
        </w:rPr>
        <w:t>25</w:t>
      </w:r>
      <w:r w:rsidR="00FA7D4D" w:rsidRPr="00775AC3">
        <w:rPr>
          <w:rFonts w:ascii="Arial" w:hAnsi="Arial" w:cs="Arial"/>
        </w:rPr>
        <w:t xml:space="preserve"> period 2026/27 to 2028/29. This will be a significant income stream for districts, providing </w:t>
      </w:r>
      <w:r w:rsidR="00FA7D4D">
        <w:rPr>
          <w:rFonts w:ascii="Arial" w:hAnsi="Arial" w:cs="Arial"/>
        </w:rPr>
        <w:t xml:space="preserve">there are no restrictions placed on the income other than it </w:t>
      </w:r>
      <w:r w:rsidR="004B7312">
        <w:rPr>
          <w:rFonts w:ascii="Arial" w:hAnsi="Arial" w:cs="Arial"/>
        </w:rPr>
        <w:t xml:space="preserve">is </w:t>
      </w:r>
      <w:r w:rsidR="00655FF3">
        <w:rPr>
          <w:rFonts w:ascii="Arial" w:hAnsi="Arial" w:cs="Arial"/>
        </w:rPr>
        <w:t xml:space="preserve">to </w:t>
      </w:r>
      <w:r w:rsidR="00FA7D4D">
        <w:rPr>
          <w:rFonts w:ascii="Arial" w:hAnsi="Arial" w:cs="Arial"/>
        </w:rPr>
        <w:t>cover the existing cost of handling packaging waste</w:t>
      </w:r>
      <w:r w:rsidR="00FA7D4D" w:rsidRPr="00775AC3">
        <w:rPr>
          <w:rFonts w:ascii="Arial" w:hAnsi="Arial" w:cs="Arial"/>
        </w:rPr>
        <w:t>.</w:t>
      </w:r>
    </w:p>
    <w:p w14:paraId="4B92E1C1" w14:textId="77777777" w:rsidR="00DF4C38" w:rsidRPr="001C0B17" w:rsidRDefault="00DF4C38" w:rsidP="00150EB8">
      <w:pPr>
        <w:jc w:val="both"/>
        <w:rPr>
          <w:rFonts w:ascii="Arial" w:hAnsi="Arial" w:cs="Arial"/>
          <w:highlight w:val="yellow"/>
        </w:rPr>
      </w:pPr>
    </w:p>
    <w:p w14:paraId="3FEA82C0" w14:textId="2D4F14D3" w:rsidR="0029594A" w:rsidRPr="00557EB7" w:rsidRDefault="0029594A" w:rsidP="00150EB8">
      <w:pPr>
        <w:jc w:val="both"/>
        <w:rPr>
          <w:rFonts w:ascii="Arial" w:hAnsi="Arial" w:cs="Arial"/>
          <w:lang w:val="en-US"/>
        </w:rPr>
      </w:pPr>
      <w:r w:rsidRPr="00557EB7">
        <w:rPr>
          <w:rFonts w:ascii="Arial" w:hAnsi="Arial" w:cs="Arial"/>
          <w:lang w:val="en-US"/>
        </w:rPr>
        <w:t>The Council’s allocation for 202</w:t>
      </w:r>
      <w:r w:rsidR="00FE22E7" w:rsidRPr="00557EB7">
        <w:rPr>
          <w:rFonts w:ascii="Arial" w:hAnsi="Arial" w:cs="Arial"/>
          <w:lang w:val="en-US"/>
        </w:rPr>
        <w:t>6</w:t>
      </w:r>
      <w:r w:rsidRPr="00557EB7">
        <w:rPr>
          <w:rFonts w:ascii="Arial" w:hAnsi="Arial" w:cs="Arial"/>
          <w:lang w:val="en-US"/>
        </w:rPr>
        <w:t>/2</w:t>
      </w:r>
      <w:r w:rsidR="00FE22E7" w:rsidRPr="00557EB7">
        <w:rPr>
          <w:rFonts w:ascii="Arial" w:hAnsi="Arial" w:cs="Arial"/>
          <w:lang w:val="en-US"/>
        </w:rPr>
        <w:t>7</w:t>
      </w:r>
      <w:r w:rsidRPr="00557EB7">
        <w:rPr>
          <w:rFonts w:ascii="Arial" w:hAnsi="Arial" w:cs="Arial"/>
          <w:lang w:val="en-US"/>
        </w:rPr>
        <w:t xml:space="preserve"> is £1.</w:t>
      </w:r>
      <w:r w:rsidR="00557EB7" w:rsidRPr="00557EB7">
        <w:rPr>
          <w:rFonts w:ascii="Arial" w:hAnsi="Arial" w:cs="Arial"/>
          <w:lang w:val="en-US"/>
        </w:rPr>
        <w:t>544</w:t>
      </w:r>
      <w:r w:rsidR="00106EAD" w:rsidRPr="00557EB7">
        <w:rPr>
          <w:rFonts w:ascii="Arial" w:hAnsi="Arial" w:cs="Arial"/>
          <w:lang w:val="en-US"/>
        </w:rPr>
        <w:t xml:space="preserve">m.  </w:t>
      </w:r>
    </w:p>
    <w:p w14:paraId="75947DF4" w14:textId="77777777" w:rsidR="00294FA0" w:rsidRDefault="00294FA0" w:rsidP="00397C1A">
      <w:pPr>
        <w:jc w:val="both"/>
        <w:rPr>
          <w:rFonts w:ascii="Arial" w:hAnsi="Arial" w:cs="Arial"/>
          <w:lang w:val="en-US"/>
        </w:rPr>
      </w:pPr>
    </w:p>
    <w:p w14:paraId="305AE292" w14:textId="3B1DB3E6" w:rsidR="00294FA0" w:rsidRDefault="00E360C3" w:rsidP="00294FA0">
      <w:pPr>
        <w:jc w:val="both"/>
        <w:rPr>
          <w:rFonts w:ascii="Arial" w:hAnsi="Arial" w:cs="Arial"/>
        </w:rPr>
      </w:pPr>
      <w:r>
        <w:rPr>
          <w:rFonts w:ascii="Arial" w:hAnsi="Arial" w:cs="Arial"/>
          <w:lang w:val="en-US"/>
        </w:rPr>
        <w:t xml:space="preserve">On the basis that EPR funding is intended to be a </w:t>
      </w:r>
      <w:r w:rsidR="00D72FED">
        <w:rPr>
          <w:rFonts w:ascii="Arial" w:hAnsi="Arial" w:cs="Arial"/>
          <w:lang w:val="en-US"/>
        </w:rPr>
        <w:t>diminishing</w:t>
      </w:r>
      <w:r>
        <w:rPr>
          <w:rFonts w:ascii="Arial" w:hAnsi="Arial" w:cs="Arial"/>
          <w:lang w:val="en-US"/>
        </w:rPr>
        <w:t xml:space="preserve"> funding stream, it would be prudent to </w:t>
      </w:r>
      <w:r w:rsidRPr="00E360C3">
        <w:rPr>
          <w:rFonts w:ascii="Arial" w:hAnsi="Arial" w:cs="Arial"/>
        </w:rPr>
        <w:t>assume a drop-off in future years</w:t>
      </w:r>
      <w:r w:rsidR="00C61E54">
        <w:rPr>
          <w:rFonts w:ascii="Arial" w:hAnsi="Arial" w:cs="Arial"/>
        </w:rPr>
        <w:t xml:space="preserve"> allocations</w:t>
      </w:r>
      <w:r w:rsidR="009E3C8B">
        <w:rPr>
          <w:rFonts w:ascii="Arial" w:hAnsi="Arial" w:cs="Arial"/>
        </w:rPr>
        <w:t xml:space="preserve">.  This drop off is assumed at </w:t>
      </w:r>
      <w:r w:rsidR="000B4816">
        <w:rPr>
          <w:rFonts w:ascii="Arial" w:hAnsi="Arial" w:cs="Arial"/>
        </w:rPr>
        <w:t>20</w:t>
      </w:r>
      <w:r w:rsidR="009E3C8B">
        <w:rPr>
          <w:rFonts w:ascii="Arial" w:hAnsi="Arial" w:cs="Arial"/>
        </w:rPr>
        <w:t>% p.a. resulting in the following levels of allocations assumed in the MTFS:</w:t>
      </w:r>
    </w:p>
    <w:p w14:paraId="1F027D62" w14:textId="77777777" w:rsidR="005E2F1F" w:rsidRDefault="005E2F1F" w:rsidP="003633B9">
      <w:pPr>
        <w:jc w:val="both"/>
        <w:rPr>
          <w:rFonts w:ascii="Arial" w:hAnsi="Arial" w:cs="Arial"/>
        </w:rPr>
      </w:pPr>
    </w:p>
    <w:tbl>
      <w:tblPr>
        <w:tblW w:w="5859" w:type="dxa"/>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164"/>
        <w:gridCol w:w="1200"/>
        <w:gridCol w:w="1110"/>
        <w:gridCol w:w="1110"/>
      </w:tblGrid>
      <w:tr w:rsidR="002258FF" w:rsidRPr="001C0B17" w14:paraId="67A89A87" w14:textId="77777777" w:rsidTr="007B3D36">
        <w:trPr>
          <w:trHeight w:val="315"/>
        </w:trPr>
        <w:tc>
          <w:tcPr>
            <w:tcW w:w="1275" w:type="dxa"/>
            <w:tcBorders>
              <w:bottom w:val="nil"/>
            </w:tcBorders>
            <w:noWrap/>
            <w:vAlign w:val="bottom"/>
          </w:tcPr>
          <w:p w14:paraId="6509E857" w14:textId="47F9ECD0" w:rsidR="00E15DD1" w:rsidRPr="00E15DD1" w:rsidRDefault="00E15DD1" w:rsidP="009E3C8B">
            <w:pPr>
              <w:jc w:val="center"/>
              <w:rPr>
                <w:rFonts w:ascii="Arial" w:hAnsi="Arial" w:cs="Arial"/>
                <w:b/>
              </w:rPr>
            </w:pPr>
            <w:r w:rsidRPr="00E15DD1">
              <w:rPr>
                <w:rFonts w:ascii="Arial" w:hAnsi="Arial" w:cs="Arial"/>
                <w:b/>
                <w:bCs/>
              </w:rPr>
              <w:t>2026/27</w:t>
            </w:r>
          </w:p>
        </w:tc>
        <w:tc>
          <w:tcPr>
            <w:tcW w:w="1164" w:type="dxa"/>
            <w:tcBorders>
              <w:bottom w:val="nil"/>
            </w:tcBorders>
            <w:noWrap/>
            <w:vAlign w:val="bottom"/>
          </w:tcPr>
          <w:p w14:paraId="482350C2" w14:textId="59FEB6E9" w:rsidR="00E15DD1" w:rsidRPr="00E15DD1" w:rsidRDefault="00E15DD1" w:rsidP="009E3C8B">
            <w:pPr>
              <w:jc w:val="center"/>
              <w:rPr>
                <w:rFonts w:ascii="Arial" w:hAnsi="Arial" w:cs="Arial"/>
                <w:b/>
              </w:rPr>
            </w:pPr>
            <w:r w:rsidRPr="00E15DD1">
              <w:rPr>
                <w:rFonts w:ascii="Arial" w:hAnsi="Arial" w:cs="Arial"/>
                <w:b/>
                <w:bCs/>
              </w:rPr>
              <w:t>2027/28</w:t>
            </w:r>
          </w:p>
        </w:tc>
        <w:tc>
          <w:tcPr>
            <w:tcW w:w="1200" w:type="dxa"/>
            <w:tcBorders>
              <w:bottom w:val="nil"/>
            </w:tcBorders>
            <w:noWrap/>
            <w:vAlign w:val="bottom"/>
          </w:tcPr>
          <w:p w14:paraId="0DDE05AF" w14:textId="1BBBF033" w:rsidR="00E15DD1" w:rsidRPr="00E15DD1" w:rsidRDefault="00E15DD1" w:rsidP="009E3C8B">
            <w:pPr>
              <w:jc w:val="center"/>
              <w:rPr>
                <w:rFonts w:ascii="Arial" w:hAnsi="Arial" w:cs="Arial"/>
                <w:b/>
              </w:rPr>
            </w:pPr>
            <w:r w:rsidRPr="00E15DD1">
              <w:rPr>
                <w:rFonts w:ascii="Arial" w:hAnsi="Arial" w:cs="Arial"/>
                <w:b/>
                <w:bCs/>
              </w:rPr>
              <w:t>2028/29</w:t>
            </w:r>
          </w:p>
        </w:tc>
        <w:tc>
          <w:tcPr>
            <w:tcW w:w="1110" w:type="dxa"/>
            <w:tcBorders>
              <w:bottom w:val="nil"/>
            </w:tcBorders>
            <w:noWrap/>
            <w:vAlign w:val="bottom"/>
          </w:tcPr>
          <w:p w14:paraId="198CD0EF" w14:textId="13FA890E" w:rsidR="00E15DD1" w:rsidRPr="00E15DD1" w:rsidRDefault="00E15DD1" w:rsidP="009E3C8B">
            <w:pPr>
              <w:jc w:val="center"/>
              <w:rPr>
                <w:rFonts w:ascii="Arial" w:hAnsi="Arial" w:cs="Arial"/>
                <w:b/>
              </w:rPr>
            </w:pPr>
            <w:r w:rsidRPr="00E15DD1">
              <w:rPr>
                <w:rFonts w:ascii="Arial" w:hAnsi="Arial" w:cs="Arial"/>
                <w:b/>
                <w:bCs/>
              </w:rPr>
              <w:t>2029/30</w:t>
            </w:r>
          </w:p>
        </w:tc>
        <w:tc>
          <w:tcPr>
            <w:tcW w:w="1110" w:type="dxa"/>
            <w:tcBorders>
              <w:bottom w:val="nil"/>
            </w:tcBorders>
            <w:noWrap/>
            <w:vAlign w:val="bottom"/>
          </w:tcPr>
          <w:p w14:paraId="4A3829CE" w14:textId="42936154" w:rsidR="00E15DD1" w:rsidRPr="00E15DD1" w:rsidRDefault="00E15DD1" w:rsidP="009E3C8B">
            <w:pPr>
              <w:jc w:val="center"/>
              <w:rPr>
                <w:rFonts w:ascii="Arial" w:hAnsi="Arial" w:cs="Arial"/>
                <w:b/>
              </w:rPr>
            </w:pPr>
            <w:r w:rsidRPr="00E15DD1">
              <w:rPr>
                <w:rFonts w:ascii="Arial" w:hAnsi="Arial" w:cs="Arial"/>
                <w:b/>
              </w:rPr>
              <w:t>2030/31</w:t>
            </w:r>
          </w:p>
        </w:tc>
      </w:tr>
      <w:tr w:rsidR="002258FF" w:rsidRPr="001C0B17" w14:paraId="1E5B20D4" w14:textId="77777777" w:rsidTr="007B3D36">
        <w:trPr>
          <w:trHeight w:val="255"/>
        </w:trPr>
        <w:tc>
          <w:tcPr>
            <w:tcW w:w="1275" w:type="dxa"/>
            <w:tcBorders>
              <w:top w:val="nil"/>
            </w:tcBorders>
            <w:noWrap/>
          </w:tcPr>
          <w:p w14:paraId="2326B34D" w14:textId="7AB7020C" w:rsidR="00E15DD1" w:rsidRPr="00E15DD1" w:rsidRDefault="00E15DD1" w:rsidP="009E3C8B">
            <w:pPr>
              <w:jc w:val="center"/>
              <w:rPr>
                <w:rFonts w:ascii="Arial" w:hAnsi="Arial" w:cs="Arial"/>
                <w:b/>
              </w:rPr>
            </w:pPr>
            <w:r w:rsidRPr="00E15DD1">
              <w:rPr>
                <w:rFonts w:ascii="Arial" w:hAnsi="Arial" w:cs="Arial"/>
                <w:b/>
              </w:rPr>
              <w:t>£m</w:t>
            </w:r>
          </w:p>
        </w:tc>
        <w:tc>
          <w:tcPr>
            <w:tcW w:w="1164" w:type="dxa"/>
            <w:tcBorders>
              <w:top w:val="nil"/>
            </w:tcBorders>
            <w:noWrap/>
          </w:tcPr>
          <w:p w14:paraId="1EB94F77" w14:textId="5A540514" w:rsidR="00E15DD1" w:rsidRPr="00E15DD1" w:rsidRDefault="00E15DD1" w:rsidP="009E3C8B">
            <w:pPr>
              <w:jc w:val="center"/>
              <w:rPr>
                <w:rFonts w:ascii="Arial" w:hAnsi="Arial" w:cs="Arial"/>
              </w:rPr>
            </w:pPr>
            <w:r w:rsidRPr="00E15DD1">
              <w:rPr>
                <w:rFonts w:ascii="Arial" w:hAnsi="Arial" w:cs="Arial"/>
                <w:b/>
              </w:rPr>
              <w:t>£m</w:t>
            </w:r>
          </w:p>
        </w:tc>
        <w:tc>
          <w:tcPr>
            <w:tcW w:w="1200" w:type="dxa"/>
            <w:tcBorders>
              <w:top w:val="nil"/>
            </w:tcBorders>
            <w:noWrap/>
          </w:tcPr>
          <w:p w14:paraId="462A4E70" w14:textId="020373BE" w:rsidR="00E15DD1" w:rsidRPr="00E15DD1" w:rsidRDefault="00E15DD1" w:rsidP="009E3C8B">
            <w:pPr>
              <w:jc w:val="center"/>
              <w:rPr>
                <w:rFonts w:ascii="Arial" w:hAnsi="Arial" w:cs="Arial"/>
              </w:rPr>
            </w:pPr>
            <w:r w:rsidRPr="00E15DD1">
              <w:rPr>
                <w:rFonts w:ascii="Arial" w:hAnsi="Arial" w:cs="Arial"/>
                <w:b/>
              </w:rPr>
              <w:t>£m</w:t>
            </w:r>
          </w:p>
        </w:tc>
        <w:tc>
          <w:tcPr>
            <w:tcW w:w="1110" w:type="dxa"/>
            <w:tcBorders>
              <w:top w:val="nil"/>
            </w:tcBorders>
            <w:noWrap/>
          </w:tcPr>
          <w:p w14:paraId="60100018" w14:textId="28561BCD" w:rsidR="00E15DD1" w:rsidRPr="00E15DD1" w:rsidRDefault="00E15DD1" w:rsidP="009E3C8B">
            <w:pPr>
              <w:jc w:val="center"/>
              <w:rPr>
                <w:rFonts w:ascii="Arial" w:hAnsi="Arial" w:cs="Arial"/>
                <w:b/>
                <w:bCs/>
              </w:rPr>
            </w:pPr>
            <w:r w:rsidRPr="00E15DD1">
              <w:rPr>
                <w:rFonts w:ascii="Arial" w:hAnsi="Arial" w:cs="Arial"/>
                <w:b/>
                <w:bCs/>
              </w:rPr>
              <w:t>£m</w:t>
            </w:r>
          </w:p>
        </w:tc>
        <w:tc>
          <w:tcPr>
            <w:tcW w:w="1110" w:type="dxa"/>
            <w:tcBorders>
              <w:top w:val="nil"/>
            </w:tcBorders>
            <w:noWrap/>
          </w:tcPr>
          <w:p w14:paraId="60E077A7" w14:textId="30FE2126" w:rsidR="00E15DD1" w:rsidRPr="00E15DD1" w:rsidRDefault="00E15DD1" w:rsidP="009E3C8B">
            <w:pPr>
              <w:jc w:val="center"/>
              <w:rPr>
                <w:rFonts w:ascii="Arial" w:hAnsi="Arial" w:cs="Arial"/>
                <w:b/>
              </w:rPr>
            </w:pPr>
            <w:r w:rsidRPr="00E15DD1">
              <w:rPr>
                <w:rFonts w:ascii="Arial" w:hAnsi="Arial" w:cs="Arial"/>
                <w:b/>
              </w:rPr>
              <w:t>£m</w:t>
            </w:r>
          </w:p>
        </w:tc>
      </w:tr>
      <w:tr w:rsidR="002258FF" w:rsidRPr="001C0B17" w14:paraId="5BEA018D" w14:textId="77777777" w:rsidTr="007B3D36">
        <w:trPr>
          <w:trHeight w:val="255"/>
        </w:trPr>
        <w:tc>
          <w:tcPr>
            <w:tcW w:w="1275" w:type="dxa"/>
            <w:noWrap/>
            <w:vAlign w:val="bottom"/>
          </w:tcPr>
          <w:p w14:paraId="4CFBA8E8" w14:textId="191924D2" w:rsidR="00E15DD1" w:rsidRPr="00E15DD1" w:rsidRDefault="00E43B03" w:rsidP="009E3C8B">
            <w:pPr>
              <w:jc w:val="right"/>
              <w:rPr>
                <w:rFonts w:ascii="Arial" w:hAnsi="Arial" w:cs="Arial"/>
              </w:rPr>
            </w:pPr>
            <w:r>
              <w:rPr>
                <w:rFonts w:ascii="Arial" w:hAnsi="Arial" w:cs="Arial"/>
              </w:rPr>
              <w:t>1.544</w:t>
            </w:r>
          </w:p>
        </w:tc>
        <w:tc>
          <w:tcPr>
            <w:tcW w:w="1164" w:type="dxa"/>
            <w:noWrap/>
            <w:vAlign w:val="bottom"/>
          </w:tcPr>
          <w:p w14:paraId="6D8BA8AA" w14:textId="103A441B" w:rsidR="00E15DD1" w:rsidRPr="00E15DD1" w:rsidRDefault="000B4816" w:rsidP="009E3C8B">
            <w:pPr>
              <w:jc w:val="right"/>
              <w:rPr>
                <w:rFonts w:ascii="Arial" w:hAnsi="Arial" w:cs="Arial"/>
              </w:rPr>
            </w:pPr>
            <w:r>
              <w:rPr>
                <w:rFonts w:ascii="Arial" w:hAnsi="Arial" w:cs="Arial"/>
              </w:rPr>
              <w:t>1.235</w:t>
            </w:r>
          </w:p>
        </w:tc>
        <w:tc>
          <w:tcPr>
            <w:tcW w:w="1200" w:type="dxa"/>
            <w:noWrap/>
            <w:vAlign w:val="bottom"/>
          </w:tcPr>
          <w:p w14:paraId="21D2808A" w14:textId="37544884" w:rsidR="00E15DD1" w:rsidRPr="00E15DD1" w:rsidRDefault="00302BB0" w:rsidP="009E3C8B">
            <w:pPr>
              <w:jc w:val="right"/>
              <w:rPr>
                <w:rFonts w:ascii="Arial" w:hAnsi="Arial" w:cs="Arial"/>
              </w:rPr>
            </w:pPr>
            <w:r>
              <w:rPr>
                <w:rFonts w:ascii="Arial" w:hAnsi="Arial" w:cs="Arial"/>
              </w:rPr>
              <w:t>0.9</w:t>
            </w:r>
            <w:r w:rsidR="001750AC">
              <w:rPr>
                <w:rFonts w:ascii="Arial" w:hAnsi="Arial" w:cs="Arial"/>
              </w:rPr>
              <w:t>89</w:t>
            </w:r>
          </w:p>
        </w:tc>
        <w:tc>
          <w:tcPr>
            <w:tcW w:w="1110" w:type="dxa"/>
            <w:noWrap/>
            <w:vAlign w:val="bottom"/>
          </w:tcPr>
          <w:p w14:paraId="2399EE80" w14:textId="6F55D4A5" w:rsidR="00E15DD1" w:rsidRPr="00E15DD1" w:rsidRDefault="00302BB0" w:rsidP="009E3C8B">
            <w:pPr>
              <w:jc w:val="right"/>
              <w:rPr>
                <w:rFonts w:ascii="Arial" w:hAnsi="Arial" w:cs="Arial"/>
              </w:rPr>
            </w:pPr>
            <w:r>
              <w:rPr>
                <w:rFonts w:ascii="Arial" w:hAnsi="Arial" w:cs="Arial"/>
              </w:rPr>
              <w:t>0.79</w:t>
            </w:r>
            <w:r w:rsidR="00E57F9C">
              <w:rPr>
                <w:rFonts w:ascii="Arial" w:hAnsi="Arial" w:cs="Arial"/>
              </w:rPr>
              <w:t>1</w:t>
            </w:r>
          </w:p>
        </w:tc>
        <w:tc>
          <w:tcPr>
            <w:tcW w:w="1110" w:type="dxa"/>
            <w:noWrap/>
            <w:vAlign w:val="bottom"/>
          </w:tcPr>
          <w:p w14:paraId="635F5919" w14:textId="77044901" w:rsidR="00E15DD1" w:rsidRPr="00E15DD1" w:rsidRDefault="001750AC" w:rsidP="009E3C8B">
            <w:pPr>
              <w:jc w:val="right"/>
              <w:rPr>
                <w:rFonts w:ascii="Arial" w:hAnsi="Arial" w:cs="Arial"/>
              </w:rPr>
            </w:pPr>
            <w:r>
              <w:rPr>
                <w:rFonts w:ascii="Arial" w:hAnsi="Arial" w:cs="Arial"/>
              </w:rPr>
              <w:t>0.633</w:t>
            </w:r>
          </w:p>
        </w:tc>
      </w:tr>
    </w:tbl>
    <w:p w14:paraId="7A9B02C6" w14:textId="77777777" w:rsidR="00B74EB0" w:rsidRPr="001C0B17" w:rsidRDefault="00B74EB0" w:rsidP="00145192">
      <w:pPr>
        <w:jc w:val="both"/>
        <w:rPr>
          <w:rFonts w:ascii="Arial" w:hAnsi="Arial" w:cs="Arial"/>
          <w:highlight w:val="yellow"/>
        </w:rPr>
      </w:pPr>
    </w:p>
    <w:p w14:paraId="7DA615A0" w14:textId="2C0A04F8" w:rsidR="00145192" w:rsidRPr="00B5533E" w:rsidRDefault="00145192" w:rsidP="00145192">
      <w:pPr>
        <w:jc w:val="both"/>
        <w:rPr>
          <w:rFonts w:ascii="Arial" w:hAnsi="Arial" w:cs="Arial"/>
          <w:b/>
          <w:bCs/>
        </w:rPr>
      </w:pPr>
      <w:r w:rsidRPr="00B5533E">
        <w:rPr>
          <w:rFonts w:ascii="Arial" w:hAnsi="Arial" w:cs="Arial"/>
          <w:b/>
          <w:bCs/>
        </w:rPr>
        <w:t>Council Tax</w:t>
      </w:r>
    </w:p>
    <w:p w14:paraId="6798A1D8" w14:textId="77777777" w:rsidR="00145192" w:rsidRPr="00A271DA" w:rsidRDefault="00145192" w:rsidP="00145192">
      <w:pPr>
        <w:jc w:val="both"/>
        <w:rPr>
          <w:rFonts w:ascii="Arial" w:hAnsi="Arial" w:cs="Arial"/>
          <w:highlight w:val="magenta"/>
        </w:rPr>
      </w:pPr>
    </w:p>
    <w:p w14:paraId="6585CC16" w14:textId="2FCB520B" w:rsidR="00E7551D" w:rsidRPr="00142692" w:rsidRDefault="00E7551D" w:rsidP="00145192">
      <w:pPr>
        <w:jc w:val="both"/>
        <w:rPr>
          <w:rFonts w:ascii="Arial" w:hAnsi="Arial" w:cs="Arial"/>
        </w:rPr>
      </w:pPr>
      <w:r w:rsidRPr="00142692">
        <w:rPr>
          <w:rFonts w:ascii="Arial" w:hAnsi="Arial" w:cs="Arial"/>
        </w:rPr>
        <w:t>The Localism Act 2011 introduced a power for residents to approve or veto excessive council tax increases.  This means that any local authority setting an excessive increase as set by the Secretary of State</w:t>
      </w:r>
      <w:r w:rsidR="00A778F2" w:rsidRPr="00142692">
        <w:rPr>
          <w:rFonts w:ascii="Arial" w:hAnsi="Arial" w:cs="Arial"/>
        </w:rPr>
        <w:t xml:space="preserve"> would trigger a referendum of all registered electors in their area.  The Government confirmed in </w:t>
      </w:r>
      <w:r w:rsidR="00E566BB" w:rsidRPr="00142692">
        <w:rPr>
          <w:rFonts w:ascii="Arial" w:hAnsi="Arial" w:cs="Arial"/>
        </w:rPr>
        <w:t>the</w:t>
      </w:r>
      <w:r w:rsidR="00103412" w:rsidRPr="00142692">
        <w:rPr>
          <w:rFonts w:ascii="Arial" w:hAnsi="Arial" w:cs="Arial"/>
        </w:rPr>
        <w:t xml:space="preserve"> </w:t>
      </w:r>
      <w:r w:rsidR="00A778F2" w:rsidRPr="00142692">
        <w:rPr>
          <w:rFonts w:ascii="Arial" w:hAnsi="Arial" w:cs="Arial"/>
        </w:rPr>
        <w:t xml:space="preserve">Local Government Finance Settlement that </w:t>
      </w:r>
      <w:r w:rsidR="006666DF" w:rsidRPr="00142692">
        <w:rPr>
          <w:rFonts w:ascii="Arial" w:hAnsi="Arial" w:cs="Arial"/>
        </w:rPr>
        <w:t xml:space="preserve">the referendum </w:t>
      </w:r>
      <w:r w:rsidR="001B2375" w:rsidRPr="00142692">
        <w:rPr>
          <w:rFonts w:ascii="Arial" w:hAnsi="Arial" w:cs="Arial"/>
        </w:rPr>
        <w:t>principles</w:t>
      </w:r>
      <w:r w:rsidR="006666DF" w:rsidRPr="00142692">
        <w:rPr>
          <w:rFonts w:ascii="Arial" w:hAnsi="Arial" w:cs="Arial"/>
        </w:rPr>
        <w:t xml:space="preserve"> for </w:t>
      </w:r>
      <w:r w:rsidR="00BB67C8" w:rsidRPr="00142692">
        <w:rPr>
          <w:rFonts w:ascii="Arial" w:hAnsi="Arial" w:cs="Arial"/>
        </w:rPr>
        <w:t>202</w:t>
      </w:r>
      <w:r w:rsidR="0065624F" w:rsidRPr="00142692">
        <w:rPr>
          <w:rFonts w:ascii="Arial" w:hAnsi="Arial" w:cs="Arial"/>
        </w:rPr>
        <w:t>6</w:t>
      </w:r>
      <w:r w:rsidR="00BB67C8" w:rsidRPr="00142692">
        <w:rPr>
          <w:rFonts w:ascii="Arial" w:hAnsi="Arial" w:cs="Arial"/>
        </w:rPr>
        <w:t>/2</w:t>
      </w:r>
      <w:r w:rsidR="0065624F" w:rsidRPr="00142692">
        <w:rPr>
          <w:rFonts w:ascii="Arial" w:hAnsi="Arial" w:cs="Arial"/>
        </w:rPr>
        <w:t>7</w:t>
      </w:r>
      <w:r w:rsidR="006666DF" w:rsidRPr="00142692">
        <w:rPr>
          <w:rFonts w:ascii="Arial" w:hAnsi="Arial" w:cs="Arial"/>
        </w:rPr>
        <w:t xml:space="preserve"> will be </w:t>
      </w:r>
      <w:r w:rsidR="00BB67C8" w:rsidRPr="00142692">
        <w:rPr>
          <w:rFonts w:ascii="Arial" w:hAnsi="Arial" w:cs="Arial"/>
        </w:rPr>
        <w:t>same as</w:t>
      </w:r>
      <w:r w:rsidR="006666DF" w:rsidRPr="00142692">
        <w:rPr>
          <w:rFonts w:ascii="Arial" w:hAnsi="Arial" w:cs="Arial"/>
        </w:rPr>
        <w:t xml:space="preserve"> the </w:t>
      </w:r>
      <w:r w:rsidR="00BB67C8" w:rsidRPr="00142692">
        <w:rPr>
          <w:rFonts w:ascii="Arial" w:hAnsi="Arial" w:cs="Arial"/>
        </w:rPr>
        <w:t xml:space="preserve">previous two years, i.e. </w:t>
      </w:r>
      <w:r w:rsidR="001B2375" w:rsidRPr="00142692">
        <w:rPr>
          <w:rFonts w:ascii="Arial" w:hAnsi="Arial" w:cs="Arial"/>
        </w:rPr>
        <w:t>for core council tax (3%), shire districts (3% or £5</w:t>
      </w:r>
      <w:r w:rsidR="00036F1E" w:rsidRPr="00142692">
        <w:rPr>
          <w:rFonts w:ascii="Arial" w:hAnsi="Arial" w:cs="Arial"/>
        </w:rPr>
        <w:t>, whichever is higher</w:t>
      </w:r>
      <w:r w:rsidR="001B2375" w:rsidRPr="00142692">
        <w:rPr>
          <w:rFonts w:ascii="Arial" w:hAnsi="Arial" w:cs="Arial"/>
        </w:rPr>
        <w:t xml:space="preserve">), and the </w:t>
      </w:r>
      <w:r w:rsidR="006666DF" w:rsidRPr="00142692">
        <w:rPr>
          <w:rFonts w:ascii="Arial" w:hAnsi="Arial" w:cs="Arial"/>
        </w:rPr>
        <w:t xml:space="preserve">adult social care precept </w:t>
      </w:r>
      <w:r w:rsidR="001B2375" w:rsidRPr="00142692">
        <w:rPr>
          <w:rFonts w:ascii="Arial" w:hAnsi="Arial" w:cs="Arial"/>
        </w:rPr>
        <w:t>(</w:t>
      </w:r>
      <w:r w:rsidR="006666DF" w:rsidRPr="00142692">
        <w:rPr>
          <w:rFonts w:ascii="Arial" w:hAnsi="Arial" w:cs="Arial"/>
        </w:rPr>
        <w:t>2</w:t>
      </w:r>
      <w:r w:rsidR="001B2375" w:rsidRPr="00142692">
        <w:rPr>
          <w:rFonts w:ascii="Arial" w:hAnsi="Arial" w:cs="Arial"/>
        </w:rPr>
        <w:t>%)</w:t>
      </w:r>
      <w:r w:rsidR="004061C4" w:rsidRPr="00142692">
        <w:rPr>
          <w:rFonts w:ascii="Arial" w:hAnsi="Arial" w:cs="Arial"/>
        </w:rPr>
        <w:t>.</w:t>
      </w:r>
      <w:r w:rsidR="006666DF" w:rsidRPr="00142692">
        <w:rPr>
          <w:rFonts w:ascii="Arial" w:hAnsi="Arial" w:cs="Arial"/>
        </w:rPr>
        <w:t xml:space="preserve"> </w:t>
      </w:r>
      <w:r w:rsidR="006666DF" w:rsidRPr="00142692">
        <w:rPr>
          <w:rFonts w:ascii="Arial" w:hAnsi="Arial" w:cs="Arial"/>
          <w:color w:val="000000"/>
          <w:shd w:val="clear" w:color="auto" w:fill="FFFFFF"/>
        </w:rPr>
        <w:t xml:space="preserve">This will </w:t>
      </w:r>
      <w:r w:rsidR="00691B01" w:rsidRPr="00142692">
        <w:rPr>
          <w:rFonts w:ascii="Arial" w:hAnsi="Arial" w:cs="Arial"/>
          <w:color w:val="000000"/>
          <w:shd w:val="clear" w:color="auto" w:fill="FFFFFF"/>
        </w:rPr>
        <w:t xml:space="preserve">strike a balance between </w:t>
      </w:r>
      <w:r w:rsidR="006666DF" w:rsidRPr="00142692">
        <w:rPr>
          <w:rFonts w:ascii="Arial" w:hAnsi="Arial" w:cs="Arial"/>
          <w:color w:val="000000"/>
          <w:shd w:val="clear" w:color="auto" w:fill="FFFFFF"/>
        </w:rPr>
        <w:t>giv</w:t>
      </w:r>
      <w:r w:rsidR="00AF4CE8" w:rsidRPr="00142692">
        <w:rPr>
          <w:rFonts w:ascii="Arial" w:hAnsi="Arial" w:cs="Arial"/>
          <w:color w:val="000000"/>
          <w:shd w:val="clear" w:color="auto" w:fill="FFFFFF"/>
        </w:rPr>
        <w:t>ing</w:t>
      </w:r>
      <w:r w:rsidR="006666DF" w:rsidRPr="00142692">
        <w:rPr>
          <w:rFonts w:ascii="Arial" w:hAnsi="Arial" w:cs="Arial"/>
          <w:color w:val="000000"/>
          <w:shd w:val="clear" w:color="auto" w:fill="FFFFFF"/>
        </w:rPr>
        <w:t xml:space="preserve"> local authorities flexibility to set Council Tax levels based on the needs, resources and priorities of their area, including adult social care</w:t>
      </w:r>
      <w:r w:rsidR="00691B01" w:rsidRPr="00142692">
        <w:rPr>
          <w:rFonts w:ascii="Arial" w:hAnsi="Arial" w:cs="Arial"/>
          <w:color w:val="000000"/>
          <w:shd w:val="clear" w:color="auto" w:fill="FFFFFF"/>
        </w:rPr>
        <w:t xml:space="preserve">, while </w:t>
      </w:r>
      <w:r w:rsidR="00AF4CE8" w:rsidRPr="00142692">
        <w:rPr>
          <w:rFonts w:ascii="Arial" w:hAnsi="Arial" w:cs="Arial"/>
          <w:color w:val="000000"/>
          <w:shd w:val="clear" w:color="auto" w:fill="FFFFFF"/>
        </w:rPr>
        <w:t>protecting local taxpayers.</w:t>
      </w:r>
    </w:p>
    <w:p w14:paraId="58F3420E" w14:textId="77777777" w:rsidR="00A778F2" w:rsidRPr="00142692" w:rsidRDefault="00A778F2" w:rsidP="00145192">
      <w:pPr>
        <w:jc w:val="both"/>
        <w:rPr>
          <w:rFonts w:ascii="Arial" w:hAnsi="Arial" w:cs="Arial"/>
        </w:rPr>
      </w:pPr>
    </w:p>
    <w:p w14:paraId="0739F9AB" w14:textId="31B1A46B" w:rsidR="00A778F2" w:rsidRPr="00142692" w:rsidRDefault="00A778F2" w:rsidP="00145192">
      <w:pPr>
        <w:jc w:val="both"/>
        <w:rPr>
          <w:rFonts w:ascii="Arial" w:hAnsi="Arial"/>
        </w:rPr>
      </w:pPr>
      <w:r w:rsidRPr="00142692">
        <w:rPr>
          <w:rFonts w:ascii="Arial" w:hAnsi="Arial"/>
        </w:rPr>
        <w:t xml:space="preserve">In light of the financial position of the Council and </w:t>
      </w:r>
      <w:r w:rsidR="00103412" w:rsidRPr="00142692">
        <w:rPr>
          <w:rFonts w:ascii="Arial" w:hAnsi="Arial"/>
        </w:rPr>
        <w:t xml:space="preserve">in accordance with the referendum </w:t>
      </w:r>
      <w:r w:rsidRPr="00142692">
        <w:rPr>
          <w:rFonts w:ascii="Arial" w:hAnsi="Arial"/>
        </w:rPr>
        <w:t xml:space="preserve">thresholds to be applied for </w:t>
      </w:r>
      <w:r w:rsidRPr="00142692">
        <w:rPr>
          <w:rFonts w:ascii="Arial" w:hAnsi="Arial" w:cs="Arial"/>
        </w:rPr>
        <w:t>202</w:t>
      </w:r>
      <w:r w:rsidR="00B5533E" w:rsidRPr="00142692">
        <w:rPr>
          <w:rFonts w:ascii="Arial" w:hAnsi="Arial" w:cs="Arial"/>
        </w:rPr>
        <w:t>6</w:t>
      </w:r>
      <w:r w:rsidR="007E2ED5" w:rsidRPr="00142692">
        <w:rPr>
          <w:rFonts w:ascii="Arial" w:hAnsi="Arial" w:cs="Arial"/>
        </w:rPr>
        <w:t>/2</w:t>
      </w:r>
      <w:r w:rsidR="00B5533E" w:rsidRPr="00142692">
        <w:rPr>
          <w:rFonts w:ascii="Arial" w:hAnsi="Arial" w:cs="Arial"/>
        </w:rPr>
        <w:t>7</w:t>
      </w:r>
      <w:r w:rsidRPr="00142692">
        <w:rPr>
          <w:rFonts w:ascii="Arial" w:hAnsi="Arial"/>
        </w:rPr>
        <w:t>, the MTFS assumes the following indicative council tax increases and subsequent overall yields:</w:t>
      </w:r>
    </w:p>
    <w:p w14:paraId="562BBBC8" w14:textId="77777777" w:rsidR="00E7551D" w:rsidRPr="00142692" w:rsidRDefault="00E7551D" w:rsidP="00145192">
      <w:pPr>
        <w:jc w:val="both"/>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1417"/>
        <w:gridCol w:w="1276"/>
        <w:gridCol w:w="1276"/>
        <w:gridCol w:w="1275"/>
      </w:tblGrid>
      <w:tr w:rsidR="00680B1D" w:rsidRPr="00142692" w14:paraId="1876571C" w14:textId="77777777" w:rsidTr="007B3D36">
        <w:trPr>
          <w:trHeight w:val="340"/>
        </w:trPr>
        <w:tc>
          <w:tcPr>
            <w:tcW w:w="2552" w:type="dxa"/>
          </w:tcPr>
          <w:p w14:paraId="66CFDD5E" w14:textId="77777777" w:rsidR="00680B1D" w:rsidRPr="00142692" w:rsidRDefault="00680B1D" w:rsidP="00680B1D">
            <w:pPr>
              <w:jc w:val="both"/>
              <w:rPr>
                <w:rFonts w:ascii="Arial" w:hAnsi="Arial" w:cs="Arial"/>
              </w:rPr>
            </w:pPr>
          </w:p>
        </w:tc>
        <w:tc>
          <w:tcPr>
            <w:tcW w:w="1276" w:type="dxa"/>
            <w:vAlign w:val="center"/>
          </w:tcPr>
          <w:p w14:paraId="3103AAF1" w14:textId="1B1D9FAA" w:rsidR="00EB3413" w:rsidRPr="00667778" w:rsidRDefault="00AF4CE8" w:rsidP="00EB3413">
            <w:pPr>
              <w:jc w:val="right"/>
              <w:rPr>
                <w:rFonts w:ascii="Arial" w:hAnsi="Arial"/>
                <w:b/>
              </w:rPr>
            </w:pPr>
            <w:r w:rsidRPr="00667778">
              <w:rPr>
                <w:rFonts w:ascii="Arial" w:hAnsi="Arial"/>
                <w:b/>
              </w:rPr>
              <w:t>202</w:t>
            </w:r>
            <w:r w:rsidR="00C5595E" w:rsidRPr="00667778">
              <w:rPr>
                <w:rFonts w:ascii="Arial" w:hAnsi="Arial"/>
                <w:b/>
              </w:rPr>
              <w:t>6</w:t>
            </w:r>
            <w:r w:rsidRPr="00667778">
              <w:rPr>
                <w:rFonts w:ascii="Arial" w:hAnsi="Arial"/>
                <w:b/>
              </w:rPr>
              <w:t>/2</w:t>
            </w:r>
            <w:r w:rsidR="00C5595E" w:rsidRPr="00667778">
              <w:rPr>
                <w:rFonts w:ascii="Arial" w:hAnsi="Arial"/>
                <w:b/>
              </w:rPr>
              <w:t>7</w:t>
            </w:r>
          </w:p>
        </w:tc>
        <w:tc>
          <w:tcPr>
            <w:tcW w:w="1417" w:type="dxa"/>
            <w:vAlign w:val="center"/>
          </w:tcPr>
          <w:p w14:paraId="07E11BEB" w14:textId="04FA7168" w:rsidR="00680B1D" w:rsidRPr="00667778" w:rsidRDefault="00C5595E" w:rsidP="00680B1D">
            <w:pPr>
              <w:jc w:val="right"/>
              <w:rPr>
                <w:rFonts w:ascii="Arial" w:hAnsi="Arial"/>
                <w:b/>
              </w:rPr>
            </w:pPr>
            <w:r w:rsidRPr="00667778">
              <w:rPr>
                <w:rFonts w:ascii="Arial" w:hAnsi="Arial" w:cs="Arial"/>
                <w:b/>
              </w:rPr>
              <w:t>2027/28</w:t>
            </w:r>
          </w:p>
        </w:tc>
        <w:tc>
          <w:tcPr>
            <w:tcW w:w="1276" w:type="dxa"/>
            <w:vAlign w:val="center"/>
          </w:tcPr>
          <w:p w14:paraId="61F8C682" w14:textId="168D9E81" w:rsidR="00680B1D" w:rsidRPr="00667778" w:rsidRDefault="00C5595E" w:rsidP="00680B1D">
            <w:pPr>
              <w:jc w:val="right"/>
              <w:rPr>
                <w:rFonts w:ascii="Arial" w:hAnsi="Arial"/>
                <w:b/>
              </w:rPr>
            </w:pPr>
            <w:r w:rsidRPr="00667778">
              <w:rPr>
                <w:rFonts w:ascii="Arial" w:hAnsi="Arial" w:cs="Arial"/>
                <w:b/>
              </w:rPr>
              <w:t>2028/29</w:t>
            </w:r>
          </w:p>
        </w:tc>
        <w:tc>
          <w:tcPr>
            <w:tcW w:w="1276" w:type="dxa"/>
            <w:vAlign w:val="center"/>
          </w:tcPr>
          <w:p w14:paraId="1FE455A6" w14:textId="2E240D96" w:rsidR="00680B1D" w:rsidRPr="00667778" w:rsidRDefault="00C5595E" w:rsidP="00680B1D">
            <w:pPr>
              <w:jc w:val="right"/>
              <w:rPr>
                <w:rFonts w:ascii="Arial" w:hAnsi="Arial"/>
                <w:b/>
              </w:rPr>
            </w:pPr>
            <w:r w:rsidRPr="00667778">
              <w:rPr>
                <w:rFonts w:ascii="Arial" w:hAnsi="Arial"/>
                <w:b/>
              </w:rPr>
              <w:t>2029/30</w:t>
            </w:r>
          </w:p>
        </w:tc>
        <w:tc>
          <w:tcPr>
            <w:tcW w:w="1275" w:type="dxa"/>
            <w:vAlign w:val="center"/>
          </w:tcPr>
          <w:p w14:paraId="15B694C7" w14:textId="27B0F30F" w:rsidR="00680B1D" w:rsidRPr="00667778" w:rsidRDefault="00AF4CE8" w:rsidP="00680B1D">
            <w:pPr>
              <w:jc w:val="right"/>
              <w:rPr>
                <w:rFonts w:ascii="Arial" w:hAnsi="Arial"/>
                <w:b/>
              </w:rPr>
            </w:pPr>
            <w:r w:rsidRPr="00667778">
              <w:rPr>
                <w:rFonts w:ascii="Arial" w:hAnsi="Arial"/>
                <w:b/>
              </w:rPr>
              <w:t>20</w:t>
            </w:r>
            <w:r w:rsidR="00C5595E" w:rsidRPr="00667778">
              <w:rPr>
                <w:rFonts w:ascii="Arial" w:hAnsi="Arial"/>
                <w:b/>
              </w:rPr>
              <w:t>30</w:t>
            </w:r>
            <w:r w:rsidRPr="00667778">
              <w:rPr>
                <w:rFonts w:ascii="Arial" w:hAnsi="Arial"/>
                <w:b/>
              </w:rPr>
              <w:t>/</w:t>
            </w:r>
            <w:r w:rsidR="00B1057E" w:rsidRPr="00667778">
              <w:rPr>
                <w:rFonts w:ascii="Arial" w:hAnsi="Arial"/>
                <w:b/>
              </w:rPr>
              <w:t>3</w:t>
            </w:r>
            <w:r w:rsidR="00C5595E" w:rsidRPr="00667778">
              <w:rPr>
                <w:rFonts w:ascii="Arial" w:hAnsi="Arial"/>
                <w:b/>
              </w:rPr>
              <w:t>1</w:t>
            </w:r>
          </w:p>
        </w:tc>
      </w:tr>
      <w:tr w:rsidR="00680B1D" w:rsidRPr="00142692" w14:paraId="0366E24A" w14:textId="77777777" w:rsidTr="007B3D36">
        <w:trPr>
          <w:trHeight w:val="340"/>
        </w:trPr>
        <w:tc>
          <w:tcPr>
            <w:tcW w:w="2552" w:type="dxa"/>
            <w:vAlign w:val="center"/>
          </w:tcPr>
          <w:p w14:paraId="0EF88539" w14:textId="77777777" w:rsidR="00680B1D" w:rsidRPr="00667778" w:rsidRDefault="00680B1D" w:rsidP="00680B1D">
            <w:pPr>
              <w:rPr>
                <w:rFonts w:ascii="Arial" w:hAnsi="Arial"/>
                <w:b/>
              </w:rPr>
            </w:pPr>
            <w:r w:rsidRPr="00667778">
              <w:rPr>
                <w:rFonts w:ascii="Arial" w:hAnsi="Arial"/>
                <w:b/>
              </w:rPr>
              <w:t>% Increase</w:t>
            </w:r>
          </w:p>
        </w:tc>
        <w:tc>
          <w:tcPr>
            <w:tcW w:w="1276" w:type="dxa"/>
            <w:vAlign w:val="center"/>
          </w:tcPr>
          <w:p w14:paraId="243A263C" w14:textId="1C225E35" w:rsidR="00EB3413" w:rsidRPr="00667778" w:rsidRDefault="0090381D" w:rsidP="00EB3413">
            <w:pPr>
              <w:jc w:val="right"/>
              <w:rPr>
                <w:rFonts w:ascii="Arial" w:hAnsi="Arial"/>
              </w:rPr>
            </w:pPr>
            <w:r>
              <w:rPr>
                <w:rFonts w:ascii="Arial" w:hAnsi="Arial"/>
              </w:rPr>
              <w:t>0</w:t>
            </w:r>
            <w:r w:rsidR="00EB3413" w:rsidRPr="00667778">
              <w:rPr>
                <w:rFonts w:ascii="Arial" w:hAnsi="Arial"/>
              </w:rPr>
              <w:t>%</w:t>
            </w:r>
          </w:p>
        </w:tc>
        <w:tc>
          <w:tcPr>
            <w:tcW w:w="1417" w:type="dxa"/>
            <w:vAlign w:val="center"/>
          </w:tcPr>
          <w:p w14:paraId="0E8D588B" w14:textId="412DF5B9" w:rsidR="00680B1D" w:rsidRPr="00667778" w:rsidRDefault="00680B1D" w:rsidP="00680B1D">
            <w:pPr>
              <w:jc w:val="right"/>
              <w:rPr>
                <w:rFonts w:ascii="Arial" w:hAnsi="Arial"/>
              </w:rPr>
            </w:pPr>
            <w:r w:rsidRPr="00667778">
              <w:rPr>
                <w:rFonts w:ascii="Arial" w:hAnsi="Arial"/>
              </w:rPr>
              <w:t>1.</w:t>
            </w:r>
            <w:r w:rsidR="00725217" w:rsidRPr="00667778">
              <w:rPr>
                <w:rFonts w:ascii="Arial" w:hAnsi="Arial" w:cs="Arial"/>
              </w:rPr>
              <w:t>9</w:t>
            </w:r>
            <w:r w:rsidRPr="00667778">
              <w:rPr>
                <w:rFonts w:ascii="Arial" w:hAnsi="Arial"/>
              </w:rPr>
              <w:t>%</w:t>
            </w:r>
          </w:p>
        </w:tc>
        <w:tc>
          <w:tcPr>
            <w:tcW w:w="1276" w:type="dxa"/>
            <w:vAlign w:val="center"/>
          </w:tcPr>
          <w:p w14:paraId="5F8A8B5C" w14:textId="6CF18CC1" w:rsidR="00680B1D" w:rsidRPr="00667778" w:rsidRDefault="00680B1D" w:rsidP="00680B1D">
            <w:pPr>
              <w:jc w:val="right"/>
              <w:rPr>
                <w:rFonts w:ascii="Arial" w:hAnsi="Arial"/>
              </w:rPr>
            </w:pPr>
            <w:r w:rsidRPr="00667778">
              <w:rPr>
                <w:rFonts w:ascii="Arial" w:hAnsi="Arial"/>
              </w:rPr>
              <w:t>1.</w:t>
            </w:r>
            <w:r w:rsidR="00725217" w:rsidRPr="00667778">
              <w:rPr>
                <w:rFonts w:ascii="Arial" w:hAnsi="Arial" w:cs="Arial"/>
              </w:rPr>
              <w:t>9</w:t>
            </w:r>
            <w:r w:rsidRPr="00667778">
              <w:rPr>
                <w:rFonts w:ascii="Arial" w:hAnsi="Arial"/>
              </w:rPr>
              <w:t>%</w:t>
            </w:r>
          </w:p>
        </w:tc>
        <w:tc>
          <w:tcPr>
            <w:tcW w:w="1276" w:type="dxa"/>
            <w:vAlign w:val="center"/>
          </w:tcPr>
          <w:p w14:paraId="61113178" w14:textId="09B1AEC5" w:rsidR="00680B1D" w:rsidRPr="00667778" w:rsidRDefault="00680B1D" w:rsidP="00680B1D">
            <w:pPr>
              <w:jc w:val="right"/>
              <w:rPr>
                <w:rFonts w:ascii="Arial" w:hAnsi="Arial"/>
              </w:rPr>
            </w:pPr>
            <w:r w:rsidRPr="00667778">
              <w:rPr>
                <w:rFonts w:ascii="Arial" w:hAnsi="Arial"/>
              </w:rPr>
              <w:t>1.</w:t>
            </w:r>
            <w:r w:rsidRPr="00667778">
              <w:rPr>
                <w:rFonts w:ascii="Arial" w:hAnsi="Arial" w:cs="Arial"/>
              </w:rPr>
              <w:t>9</w:t>
            </w:r>
            <w:r w:rsidRPr="00667778">
              <w:rPr>
                <w:rFonts w:ascii="Arial" w:hAnsi="Arial"/>
              </w:rPr>
              <w:t>%</w:t>
            </w:r>
          </w:p>
        </w:tc>
        <w:tc>
          <w:tcPr>
            <w:tcW w:w="1275" w:type="dxa"/>
            <w:vAlign w:val="center"/>
          </w:tcPr>
          <w:p w14:paraId="6BA3BBC2" w14:textId="008A695A" w:rsidR="00680B1D" w:rsidRPr="00667778" w:rsidRDefault="00680B1D" w:rsidP="00680B1D">
            <w:pPr>
              <w:jc w:val="right"/>
              <w:rPr>
                <w:rFonts w:ascii="Arial" w:hAnsi="Arial"/>
              </w:rPr>
            </w:pPr>
            <w:r w:rsidRPr="00667778">
              <w:rPr>
                <w:rFonts w:ascii="Arial" w:hAnsi="Arial"/>
              </w:rPr>
              <w:t>1.</w:t>
            </w:r>
            <w:r w:rsidRPr="00667778">
              <w:rPr>
                <w:rFonts w:ascii="Arial" w:hAnsi="Arial" w:cs="Arial"/>
              </w:rPr>
              <w:t>9</w:t>
            </w:r>
            <w:r w:rsidRPr="00667778">
              <w:rPr>
                <w:rFonts w:ascii="Arial" w:hAnsi="Arial"/>
              </w:rPr>
              <w:t>%</w:t>
            </w:r>
          </w:p>
        </w:tc>
      </w:tr>
      <w:tr w:rsidR="00680B1D" w:rsidRPr="00A271DA" w14:paraId="453FFC0D" w14:textId="77777777" w:rsidTr="007B3D36">
        <w:trPr>
          <w:trHeight w:val="340"/>
        </w:trPr>
        <w:tc>
          <w:tcPr>
            <w:tcW w:w="2552" w:type="dxa"/>
            <w:vAlign w:val="center"/>
          </w:tcPr>
          <w:p w14:paraId="1D03D813" w14:textId="77777777" w:rsidR="00680B1D" w:rsidRPr="00667778" w:rsidRDefault="00680B1D" w:rsidP="00680B1D">
            <w:pPr>
              <w:rPr>
                <w:rFonts w:ascii="Arial" w:hAnsi="Arial"/>
                <w:b/>
              </w:rPr>
            </w:pPr>
            <w:r w:rsidRPr="00667778">
              <w:rPr>
                <w:rFonts w:ascii="Arial" w:hAnsi="Arial"/>
                <w:b/>
              </w:rPr>
              <w:t>Council Tax Base</w:t>
            </w:r>
          </w:p>
        </w:tc>
        <w:tc>
          <w:tcPr>
            <w:tcW w:w="1276" w:type="dxa"/>
            <w:vAlign w:val="center"/>
          </w:tcPr>
          <w:p w14:paraId="49E62DA5" w14:textId="5D4F1A09" w:rsidR="00EB3413" w:rsidRPr="00667778" w:rsidRDefault="00FB4E60" w:rsidP="00EB3413">
            <w:pPr>
              <w:jc w:val="right"/>
              <w:rPr>
                <w:rFonts w:ascii="Arial" w:hAnsi="Arial"/>
              </w:rPr>
            </w:pPr>
            <w:r w:rsidRPr="00667778">
              <w:rPr>
                <w:rFonts w:ascii="Arial" w:hAnsi="Arial"/>
              </w:rPr>
              <w:t>26,09</w:t>
            </w:r>
            <w:r w:rsidR="00845C85" w:rsidRPr="00667778">
              <w:rPr>
                <w:rFonts w:ascii="Arial" w:hAnsi="Arial"/>
              </w:rPr>
              <w:t>0</w:t>
            </w:r>
          </w:p>
        </w:tc>
        <w:tc>
          <w:tcPr>
            <w:tcW w:w="1417" w:type="dxa"/>
            <w:vAlign w:val="center"/>
          </w:tcPr>
          <w:p w14:paraId="0502EF0B" w14:textId="44C4D179" w:rsidR="00680B1D" w:rsidRPr="00667778" w:rsidRDefault="006D27AE" w:rsidP="00680B1D">
            <w:pPr>
              <w:jc w:val="right"/>
              <w:rPr>
                <w:rFonts w:ascii="Arial" w:hAnsi="Arial"/>
              </w:rPr>
            </w:pPr>
            <w:r w:rsidRPr="00667778">
              <w:rPr>
                <w:rFonts w:ascii="Arial" w:hAnsi="Arial"/>
              </w:rPr>
              <w:t>26,</w:t>
            </w:r>
            <w:r w:rsidR="00445277" w:rsidRPr="00667778">
              <w:rPr>
                <w:rFonts w:ascii="Arial" w:hAnsi="Arial"/>
              </w:rPr>
              <w:t>53</w:t>
            </w:r>
            <w:r w:rsidR="0070383A" w:rsidRPr="00667778">
              <w:rPr>
                <w:rFonts w:ascii="Arial" w:hAnsi="Arial"/>
              </w:rPr>
              <w:t>3</w:t>
            </w:r>
          </w:p>
        </w:tc>
        <w:tc>
          <w:tcPr>
            <w:tcW w:w="1276" w:type="dxa"/>
            <w:vAlign w:val="center"/>
          </w:tcPr>
          <w:p w14:paraId="5C993024" w14:textId="2A5B95B5" w:rsidR="00680B1D" w:rsidRPr="00667778" w:rsidRDefault="00454A72" w:rsidP="00680B1D">
            <w:pPr>
              <w:jc w:val="right"/>
              <w:rPr>
                <w:rFonts w:ascii="Arial" w:hAnsi="Arial"/>
              </w:rPr>
            </w:pPr>
            <w:r w:rsidRPr="00667778">
              <w:rPr>
                <w:rFonts w:ascii="Arial" w:hAnsi="Arial"/>
              </w:rPr>
              <w:t>2</w:t>
            </w:r>
            <w:r w:rsidR="00032552" w:rsidRPr="00667778">
              <w:rPr>
                <w:rFonts w:ascii="Arial" w:hAnsi="Arial"/>
              </w:rPr>
              <w:t>7,0</w:t>
            </w:r>
            <w:r w:rsidR="000E5879" w:rsidRPr="00667778">
              <w:rPr>
                <w:rFonts w:ascii="Arial" w:hAnsi="Arial"/>
              </w:rPr>
              <w:t>58</w:t>
            </w:r>
          </w:p>
        </w:tc>
        <w:tc>
          <w:tcPr>
            <w:tcW w:w="1276" w:type="dxa"/>
            <w:vAlign w:val="center"/>
          </w:tcPr>
          <w:p w14:paraId="7BD8C94A" w14:textId="480FBACD" w:rsidR="00680B1D" w:rsidRPr="00667778" w:rsidRDefault="009A6FE7" w:rsidP="00680B1D">
            <w:pPr>
              <w:jc w:val="right"/>
              <w:rPr>
                <w:rFonts w:ascii="Arial" w:hAnsi="Arial"/>
              </w:rPr>
            </w:pPr>
            <w:r w:rsidRPr="00667778">
              <w:rPr>
                <w:rFonts w:ascii="Arial" w:hAnsi="Arial" w:cs="Arial"/>
              </w:rPr>
              <w:t>27,</w:t>
            </w:r>
            <w:r w:rsidR="00142692" w:rsidRPr="00667778">
              <w:rPr>
                <w:rFonts w:ascii="Arial" w:hAnsi="Arial" w:cs="Arial"/>
              </w:rPr>
              <w:t>52</w:t>
            </w:r>
            <w:r w:rsidR="0020516F" w:rsidRPr="00667778">
              <w:rPr>
                <w:rFonts w:ascii="Arial" w:hAnsi="Arial" w:cs="Arial"/>
              </w:rPr>
              <w:t>4</w:t>
            </w:r>
          </w:p>
        </w:tc>
        <w:tc>
          <w:tcPr>
            <w:tcW w:w="1275" w:type="dxa"/>
            <w:vAlign w:val="center"/>
          </w:tcPr>
          <w:p w14:paraId="46AF1185" w14:textId="12A412E9" w:rsidR="00680B1D" w:rsidRPr="00667778" w:rsidRDefault="001568D7" w:rsidP="00680B1D">
            <w:pPr>
              <w:jc w:val="right"/>
              <w:rPr>
                <w:rFonts w:ascii="Arial" w:hAnsi="Arial"/>
              </w:rPr>
            </w:pPr>
            <w:r w:rsidRPr="00667778">
              <w:rPr>
                <w:rFonts w:ascii="Arial" w:hAnsi="Arial" w:cs="Arial"/>
              </w:rPr>
              <w:t>2</w:t>
            </w:r>
            <w:r w:rsidR="006818A5" w:rsidRPr="00667778">
              <w:rPr>
                <w:rFonts w:ascii="Arial" w:hAnsi="Arial" w:cs="Arial"/>
              </w:rPr>
              <w:t>7,996</w:t>
            </w:r>
          </w:p>
        </w:tc>
      </w:tr>
      <w:tr w:rsidR="00680B1D" w:rsidRPr="00A271DA" w14:paraId="3A78C69D" w14:textId="77777777" w:rsidTr="007B3D36">
        <w:trPr>
          <w:trHeight w:val="340"/>
        </w:trPr>
        <w:tc>
          <w:tcPr>
            <w:tcW w:w="2552" w:type="dxa"/>
            <w:vAlign w:val="center"/>
          </w:tcPr>
          <w:p w14:paraId="42B5454E" w14:textId="77777777" w:rsidR="00680B1D" w:rsidRPr="00667778" w:rsidRDefault="00680B1D" w:rsidP="00680B1D">
            <w:pPr>
              <w:rPr>
                <w:rFonts w:ascii="Arial" w:hAnsi="Arial"/>
                <w:b/>
              </w:rPr>
            </w:pPr>
            <w:r w:rsidRPr="00667778">
              <w:rPr>
                <w:rFonts w:ascii="Arial" w:hAnsi="Arial"/>
                <w:b/>
              </w:rPr>
              <w:t>Council Tax Yield</w:t>
            </w:r>
          </w:p>
        </w:tc>
        <w:tc>
          <w:tcPr>
            <w:tcW w:w="1276" w:type="dxa"/>
            <w:vAlign w:val="center"/>
          </w:tcPr>
          <w:p w14:paraId="61C521FE" w14:textId="439ACAF0" w:rsidR="00EB3413" w:rsidRPr="00667778" w:rsidRDefault="00EB3413" w:rsidP="00EB3413">
            <w:pPr>
              <w:jc w:val="right"/>
              <w:rPr>
                <w:rFonts w:ascii="Arial" w:hAnsi="Arial"/>
              </w:rPr>
            </w:pPr>
            <w:r w:rsidRPr="00667778">
              <w:rPr>
                <w:rFonts w:ascii="Arial" w:hAnsi="Arial"/>
              </w:rPr>
              <w:t>£</w:t>
            </w:r>
            <w:r w:rsidR="00732347" w:rsidRPr="00667778">
              <w:rPr>
                <w:rFonts w:ascii="Arial" w:hAnsi="Arial"/>
              </w:rPr>
              <w:t>8.</w:t>
            </w:r>
            <w:r w:rsidR="00F8265B">
              <w:rPr>
                <w:rFonts w:ascii="Arial" w:hAnsi="Arial"/>
              </w:rPr>
              <w:t>270</w:t>
            </w:r>
            <w:r w:rsidRPr="00667778">
              <w:rPr>
                <w:rFonts w:ascii="Arial" w:hAnsi="Arial" w:cs="Arial"/>
              </w:rPr>
              <w:t>m</w:t>
            </w:r>
          </w:p>
        </w:tc>
        <w:tc>
          <w:tcPr>
            <w:tcW w:w="1417" w:type="dxa"/>
            <w:vAlign w:val="center"/>
          </w:tcPr>
          <w:p w14:paraId="47591809" w14:textId="0243188B" w:rsidR="00680B1D" w:rsidRPr="00667778" w:rsidRDefault="00EB3413" w:rsidP="00680B1D">
            <w:pPr>
              <w:jc w:val="right"/>
              <w:rPr>
                <w:rFonts w:ascii="Arial" w:hAnsi="Arial"/>
              </w:rPr>
            </w:pPr>
            <w:r w:rsidRPr="00667778">
              <w:rPr>
                <w:rFonts w:ascii="Arial" w:hAnsi="Arial"/>
              </w:rPr>
              <w:t>£</w:t>
            </w:r>
            <w:r w:rsidR="00A67D94" w:rsidRPr="00667778">
              <w:rPr>
                <w:rFonts w:ascii="Arial" w:hAnsi="Arial" w:cs="Arial"/>
              </w:rPr>
              <w:t>8.</w:t>
            </w:r>
            <w:r w:rsidR="00816CAB">
              <w:rPr>
                <w:rFonts w:ascii="Arial" w:hAnsi="Arial" w:cs="Arial"/>
              </w:rPr>
              <w:t>570</w:t>
            </w:r>
            <w:r w:rsidRPr="00667778">
              <w:rPr>
                <w:rFonts w:ascii="Arial" w:hAnsi="Arial" w:cs="Arial"/>
              </w:rPr>
              <w:t>m</w:t>
            </w:r>
          </w:p>
        </w:tc>
        <w:tc>
          <w:tcPr>
            <w:tcW w:w="1276" w:type="dxa"/>
            <w:vAlign w:val="center"/>
          </w:tcPr>
          <w:p w14:paraId="3FFBF24D" w14:textId="6B055F28" w:rsidR="00680B1D" w:rsidRPr="00667778" w:rsidRDefault="00680B1D" w:rsidP="00680B1D">
            <w:pPr>
              <w:jc w:val="right"/>
              <w:rPr>
                <w:rFonts w:ascii="Arial" w:hAnsi="Arial"/>
              </w:rPr>
            </w:pPr>
            <w:r w:rsidRPr="00667778">
              <w:rPr>
                <w:rFonts w:ascii="Arial" w:hAnsi="Arial"/>
              </w:rPr>
              <w:t>£</w:t>
            </w:r>
            <w:r w:rsidR="00816CAB">
              <w:rPr>
                <w:rFonts w:ascii="Arial" w:hAnsi="Arial"/>
              </w:rPr>
              <w:t>8.904</w:t>
            </w:r>
            <w:r w:rsidR="00EB3413" w:rsidRPr="00667778">
              <w:rPr>
                <w:rFonts w:ascii="Arial" w:hAnsi="Arial" w:cs="Arial"/>
              </w:rPr>
              <w:t>m</w:t>
            </w:r>
          </w:p>
        </w:tc>
        <w:tc>
          <w:tcPr>
            <w:tcW w:w="1276" w:type="dxa"/>
            <w:vAlign w:val="center"/>
          </w:tcPr>
          <w:p w14:paraId="3F8B566E" w14:textId="14BC030D" w:rsidR="00680B1D" w:rsidRPr="00667778" w:rsidRDefault="00680B1D" w:rsidP="00680B1D">
            <w:pPr>
              <w:jc w:val="right"/>
              <w:rPr>
                <w:rFonts w:ascii="Arial" w:hAnsi="Arial"/>
              </w:rPr>
            </w:pPr>
            <w:r w:rsidRPr="00667778">
              <w:rPr>
                <w:rFonts w:ascii="Arial" w:hAnsi="Arial"/>
              </w:rPr>
              <w:t>£</w:t>
            </w:r>
            <w:r w:rsidR="00F75E7C" w:rsidRPr="00667778">
              <w:rPr>
                <w:rFonts w:ascii="Arial" w:hAnsi="Arial"/>
              </w:rPr>
              <w:t>9.</w:t>
            </w:r>
            <w:r w:rsidR="00816CAB">
              <w:rPr>
                <w:rFonts w:ascii="Arial" w:hAnsi="Arial"/>
              </w:rPr>
              <w:t>230</w:t>
            </w:r>
            <w:r w:rsidR="00EB3413" w:rsidRPr="00667778">
              <w:rPr>
                <w:rFonts w:ascii="Arial" w:hAnsi="Arial" w:cs="Arial"/>
              </w:rPr>
              <w:t>m</w:t>
            </w:r>
          </w:p>
        </w:tc>
        <w:tc>
          <w:tcPr>
            <w:tcW w:w="1275" w:type="dxa"/>
            <w:vAlign w:val="center"/>
          </w:tcPr>
          <w:p w14:paraId="5F7F875C" w14:textId="051465CD" w:rsidR="00680B1D" w:rsidRPr="00667778" w:rsidRDefault="00680B1D" w:rsidP="00680B1D">
            <w:pPr>
              <w:jc w:val="right"/>
              <w:rPr>
                <w:rFonts w:ascii="Arial" w:hAnsi="Arial"/>
              </w:rPr>
            </w:pPr>
            <w:r w:rsidRPr="00667778">
              <w:rPr>
                <w:rFonts w:ascii="Arial" w:hAnsi="Arial"/>
              </w:rPr>
              <w:t>£</w:t>
            </w:r>
            <w:r w:rsidR="00014B9B" w:rsidRPr="00667778">
              <w:rPr>
                <w:rFonts w:ascii="Arial" w:hAnsi="Arial"/>
              </w:rPr>
              <w:t>9.</w:t>
            </w:r>
            <w:r w:rsidR="00CD6DF6">
              <w:rPr>
                <w:rFonts w:ascii="Arial" w:hAnsi="Arial"/>
              </w:rPr>
              <w:t>567</w:t>
            </w:r>
            <w:r w:rsidRPr="00667778">
              <w:rPr>
                <w:rFonts w:ascii="Arial" w:hAnsi="Arial" w:cs="Arial"/>
              </w:rPr>
              <w:t>m</w:t>
            </w:r>
          </w:p>
        </w:tc>
      </w:tr>
      <w:tr w:rsidR="00680B1D" w:rsidRPr="00A271DA" w14:paraId="0B03AE10" w14:textId="77777777" w:rsidTr="007B3D36">
        <w:trPr>
          <w:trHeight w:val="340"/>
        </w:trPr>
        <w:tc>
          <w:tcPr>
            <w:tcW w:w="2552" w:type="dxa"/>
            <w:vAlign w:val="center"/>
          </w:tcPr>
          <w:p w14:paraId="466847FB" w14:textId="77777777" w:rsidR="00680B1D" w:rsidRPr="00667778" w:rsidRDefault="00680B1D" w:rsidP="00680B1D">
            <w:pPr>
              <w:rPr>
                <w:rFonts w:ascii="Arial" w:hAnsi="Arial"/>
                <w:b/>
              </w:rPr>
            </w:pPr>
            <w:r w:rsidRPr="00667778">
              <w:rPr>
                <w:rFonts w:ascii="Arial" w:hAnsi="Arial"/>
                <w:b/>
              </w:rPr>
              <w:t>Band D</w:t>
            </w:r>
          </w:p>
        </w:tc>
        <w:tc>
          <w:tcPr>
            <w:tcW w:w="1276" w:type="dxa"/>
            <w:vAlign w:val="center"/>
          </w:tcPr>
          <w:p w14:paraId="4F4FEF6D" w14:textId="225381F4" w:rsidR="00EB3413" w:rsidRPr="00667778" w:rsidRDefault="00EB3413" w:rsidP="00EB3413">
            <w:pPr>
              <w:jc w:val="right"/>
              <w:rPr>
                <w:rFonts w:ascii="Arial" w:hAnsi="Arial"/>
              </w:rPr>
            </w:pPr>
            <w:r w:rsidRPr="00667778">
              <w:rPr>
                <w:rFonts w:ascii="Arial" w:hAnsi="Arial"/>
              </w:rPr>
              <w:t>£</w:t>
            </w:r>
            <w:r w:rsidR="00AE1959">
              <w:rPr>
                <w:rFonts w:ascii="Arial" w:hAnsi="Arial" w:cs="Arial"/>
              </w:rPr>
              <w:t>316.98</w:t>
            </w:r>
          </w:p>
        </w:tc>
        <w:tc>
          <w:tcPr>
            <w:tcW w:w="1417" w:type="dxa"/>
            <w:vAlign w:val="center"/>
          </w:tcPr>
          <w:p w14:paraId="37C7CCCF" w14:textId="4C219790" w:rsidR="00680B1D" w:rsidRPr="00667778" w:rsidRDefault="00EB3413" w:rsidP="00680B1D">
            <w:pPr>
              <w:jc w:val="right"/>
              <w:rPr>
                <w:rFonts w:ascii="Arial" w:hAnsi="Arial"/>
              </w:rPr>
            </w:pPr>
            <w:r w:rsidRPr="00667778">
              <w:rPr>
                <w:rFonts w:ascii="Arial" w:hAnsi="Arial"/>
              </w:rPr>
              <w:t>£</w:t>
            </w:r>
            <w:r w:rsidR="004E3A87" w:rsidRPr="00667778">
              <w:rPr>
                <w:rFonts w:ascii="Arial" w:hAnsi="Arial" w:cs="Arial"/>
              </w:rPr>
              <w:t>3</w:t>
            </w:r>
            <w:r w:rsidR="00AE1959">
              <w:rPr>
                <w:rFonts w:ascii="Arial" w:hAnsi="Arial" w:cs="Arial"/>
              </w:rPr>
              <w:t>22.98</w:t>
            </w:r>
          </w:p>
        </w:tc>
        <w:tc>
          <w:tcPr>
            <w:tcW w:w="1276" w:type="dxa"/>
            <w:vAlign w:val="center"/>
          </w:tcPr>
          <w:p w14:paraId="0708F353" w14:textId="1989FA18" w:rsidR="00680B1D" w:rsidRPr="00667778" w:rsidRDefault="00EB3413" w:rsidP="00680B1D">
            <w:pPr>
              <w:jc w:val="right"/>
              <w:rPr>
                <w:rFonts w:ascii="Arial" w:hAnsi="Arial"/>
              </w:rPr>
            </w:pPr>
            <w:r w:rsidRPr="00667778">
              <w:rPr>
                <w:rFonts w:ascii="Arial" w:hAnsi="Arial"/>
              </w:rPr>
              <w:t>£</w:t>
            </w:r>
            <w:r w:rsidR="00AE1959">
              <w:rPr>
                <w:rFonts w:ascii="Arial" w:hAnsi="Arial" w:cs="Arial"/>
              </w:rPr>
              <w:t>329.08</w:t>
            </w:r>
          </w:p>
        </w:tc>
        <w:tc>
          <w:tcPr>
            <w:tcW w:w="1276" w:type="dxa"/>
            <w:vAlign w:val="center"/>
          </w:tcPr>
          <w:p w14:paraId="7D6B6D9F" w14:textId="30CA5659" w:rsidR="00680B1D" w:rsidRPr="00667778" w:rsidRDefault="00EB3413" w:rsidP="00680B1D">
            <w:pPr>
              <w:jc w:val="right"/>
              <w:rPr>
                <w:rFonts w:ascii="Arial" w:hAnsi="Arial"/>
              </w:rPr>
            </w:pPr>
            <w:r w:rsidRPr="00667778">
              <w:rPr>
                <w:rFonts w:ascii="Arial" w:hAnsi="Arial"/>
              </w:rPr>
              <w:t>£</w:t>
            </w:r>
            <w:r w:rsidR="00AE0196">
              <w:rPr>
                <w:rFonts w:ascii="Arial" w:hAnsi="Arial" w:cs="Arial"/>
              </w:rPr>
              <w:t>335.35</w:t>
            </w:r>
          </w:p>
        </w:tc>
        <w:tc>
          <w:tcPr>
            <w:tcW w:w="1275" w:type="dxa"/>
            <w:vAlign w:val="center"/>
          </w:tcPr>
          <w:p w14:paraId="1D596EFD" w14:textId="64335C5A" w:rsidR="00680B1D" w:rsidRPr="00667778" w:rsidRDefault="00680B1D" w:rsidP="00680B1D">
            <w:pPr>
              <w:jc w:val="right"/>
              <w:rPr>
                <w:rFonts w:ascii="Arial" w:hAnsi="Arial"/>
              </w:rPr>
            </w:pPr>
            <w:r w:rsidRPr="00667778">
              <w:rPr>
                <w:rFonts w:ascii="Arial" w:hAnsi="Arial"/>
              </w:rPr>
              <w:t>£</w:t>
            </w:r>
            <w:r w:rsidR="00AE0196">
              <w:rPr>
                <w:rFonts w:ascii="Arial" w:hAnsi="Arial" w:cs="Arial"/>
              </w:rPr>
              <w:t>341.74</w:t>
            </w:r>
          </w:p>
        </w:tc>
      </w:tr>
      <w:tr w:rsidR="00680B1D" w:rsidRPr="00A271DA" w14:paraId="4A034A27" w14:textId="77777777" w:rsidTr="007B3D36">
        <w:trPr>
          <w:trHeight w:val="340"/>
        </w:trPr>
        <w:tc>
          <w:tcPr>
            <w:tcW w:w="2552" w:type="dxa"/>
            <w:vAlign w:val="center"/>
          </w:tcPr>
          <w:p w14:paraId="27396099" w14:textId="77777777" w:rsidR="00680B1D" w:rsidRPr="00667778" w:rsidRDefault="00680B1D" w:rsidP="00680B1D">
            <w:pPr>
              <w:rPr>
                <w:rFonts w:ascii="Arial" w:hAnsi="Arial" w:cs="Arial"/>
                <w:b/>
              </w:rPr>
            </w:pPr>
            <w:r w:rsidRPr="00667778">
              <w:rPr>
                <w:rFonts w:ascii="Arial" w:hAnsi="Arial" w:cs="Arial"/>
                <w:b/>
              </w:rPr>
              <w:t>Band D £ Increase</w:t>
            </w:r>
          </w:p>
        </w:tc>
        <w:tc>
          <w:tcPr>
            <w:tcW w:w="1276" w:type="dxa"/>
            <w:vAlign w:val="center"/>
          </w:tcPr>
          <w:p w14:paraId="3467B5FB" w14:textId="7C4E7E57" w:rsidR="00EB3413" w:rsidRPr="00667778" w:rsidRDefault="00EB3413" w:rsidP="00EB3413">
            <w:pPr>
              <w:jc w:val="right"/>
              <w:rPr>
                <w:rFonts w:ascii="Arial" w:hAnsi="Arial" w:cs="Arial"/>
              </w:rPr>
            </w:pPr>
            <w:r w:rsidRPr="00667778">
              <w:rPr>
                <w:rFonts w:ascii="Arial" w:hAnsi="Arial" w:cs="Arial"/>
              </w:rPr>
              <w:t>£</w:t>
            </w:r>
            <w:r w:rsidR="00AE0196">
              <w:rPr>
                <w:rFonts w:ascii="Arial" w:hAnsi="Arial" w:cs="Arial"/>
              </w:rPr>
              <w:t>0.00</w:t>
            </w:r>
          </w:p>
        </w:tc>
        <w:tc>
          <w:tcPr>
            <w:tcW w:w="1417" w:type="dxa"/>
            <w:vAlign w:val="center"/>
          </w:tcPr>
          <w:p w14:paraId="0D1CFCB9" w14:textId="7E86B94A" w:rsidR="00680B1D" w:rsidRPr="00667778" w:rsidRDefault="00680B1D" w:rsidP="00680B1D">
            <w:pPr>
              <w:jc w:val="right"/>
              <w:rPr>
                <w:rFonts w:ascii="Arial" w:hAnsi="Arial" w:cs="Arial"/>
              </w:rPr>
            </w:pPr>
            <w:r w:rsidRPr="00667778">
              <w:rPr>
                <w:rFonts w:ascii="Arial" w:hAnsi="Arial" w:cs="Arial"/>
              </w:rPr>
              <w:t>£</w:t>
            </w:r>
            <w:r w:rsidR="00C20AD4" w:rsidRPr="00667778">
              <w:rPr>
                <w:rFonts w:ascii="Arial" w:hAnsi="Arial" w:cs="Arial"/>
              </w:rPr>
              <w:t>6.</w:t>
            </w:r>
            <w:r w:rsidR="00AE0196">
              <w:rPr>
                <w:rFonts w:ascii="Arial" w:hAnsi="Arial" w:cs="Arial"/>
              </w:rPr>
              <w:t>00</w:t>
            </w:r>
          </w:p>
        </w:tc>
        <w:tc>
          <w:tcPr>
            <w:tcW w:w="1276" w:type="dxa"/>
            <w:vAlign w:val="center"/>
          </w:tcPr>
          <w:p w14:paraId="2C17F6E3" w14:textId="3DCCC6C2" w:rsidR="00680B1D" w:rsidRPr="00667778" w:rsidRDefault="00680B1D" w:rsidP="00680B1D">
            <w:pPr>
              <w:jc w:val="right"/>
              <w:rPr>
                <w:rFonts w:ascii="Arial" w:hAnsi="Arial" w:cs="Arial"/>
              </w:rPr>
            </w:pPr>
            <w:r w:rsidRPr="00667778">
              <w:rPr>
                <w:rFonts w:ascii="Arial" w:hAnsi="Arial" w:cs="Arial"/>
              </w:rPr>
              <w:t>£</w:t>
            </w:r>
            <w:r w:rsidR="00C20AD4" w:rsidRPr="00667778">
              <w:rPr>
                <w:rFonts w:ascii="Arial" w:hAnsi="Arial" w:cs="Arial"/>
              </w:rPr>
              <w:t>6.</w:t>
            </w:r>
            <w:r w:rsidR="00AE0196">
              <w:rPr>
                <w:rFonts w:ascii="Arial" w:hAnsi="Arial" w:cs="Arial"/>
              </w:rPr>
              <w:t>10</w:t>
            </w:r>
          </w:p>
        </w:tc>
        <w:tc>
          <w:tcPr>
            <w:tcW w:w="1276" w:type="dxa"/>
            <w:vAlign w:val="center"/>
          </w:tcPr>
          <w:p w14:paraId="2E67265A" w14:textId="62FDF0C4" w:rsidR="00680B1D" w:rsidRPr="00667778" w:rsidRDefault="00EB3413" w:rsidP="00680B1D">
            <w:pPr>
              <w:jc w:val="right"/>
              <w:rPr>
                <w:rFonts w:ascii="Arial" w:hAnsi="Arial" w:cs="Arial"/>
              </w:rPr>
            </w:pPr>
            <w:r w:rsidRPr="00667778">
              <w:rPr>
                <w:rFonts w:ascii="Arial" w:hAnsi="Arial" w:cs="Arial"/>
              </w:rPr>
              <w:t>£</w:t>
            </w:r>
            <w:r w:rsidR="00C20AD4" w:rsidRPr="00667778">
              <w:rPr>
                <w:rFonts w:ascii="Arial" w:hAnsi="Arial" w:cs="Arial"/>
              </w:rPr>
              <w:t>6.</w:t>
            </w:r>
            <w:r w:rsidR="00AE0196">
              <w:rPr>
                <w:rFonts w:ascii="Arial" w:hAnsi="Arial" w:cs="Arial"/>
              </w:rPr>
              <w:t>27</w:t>
            </w:r>
          </w:p>
        </w:tc>
        <w:tc>
          <w:tcPr>
            <w:tcW w:w="1275" w:type="dxa"/>
            <w:vAlign w:val="center"/>
          </w:tcPr>
          <w:p w14:paraId="463713E6" w14:textId="52266757" w:rsidR="00680B1D" w:rsidRPr="00667778" w:rsidRDefault="00680B1D" w:rsidP="00680B1D">
            <w:pPr>
              <w:jc w:val="right"/>
              <w:rPr>
                <w:rFonts w:ascii="Arial" w:hAnsi="Arial" w:cs="Arial"/>
              </w:rPr>
            </w:pPr>
            <w:r w:rsidRPr="00667778">
              <w:rPr>
                <w:rFonts w:ascii="Arial" w:hAnsi="Arial" w:cs="Arial"/>
              </w:rPr>
              <w:t>£</w:t>
            </w:r>
            <w:r w:rsidR="00C20AD4" w:rsidRPr="00667778">
              <w:rPr>
                <w:rFonts w:ascii="Arial" w:hAnsi="Arial" w:cs="Arial"/>
              </w:rPr>
              <w:t>6.</w:t>
            </w:r>
            <w:r w:rsidR="00AE0196">
              <w:rPr>
                <w:rFonts w:ascii="Arial" w:hAnsi="Arial" w:cs="Arial"/>
              </w:rPr>
              <w:t>39</w:t>
            </w:r>
          </w:p>
        </w:tc>
      </w:tr>
    </w:tbl>
    <w:p w14:paraId="7B408DB6" w14:textId="77777777" w:rsidR="00145192" w:rsidRPr="00667778" w:rsidRDefault="00145192" w:rsidP="00145192">
      <w:pPr>
        <w:jc w:val="both"/>
        <w:rPr>
          <w:rFonts w:ascii="Arial" w:hAnsi="Arial" w:cs="Arial"/>
        </w:rPr>
      </w:pPr>
    </w:p>
    <w:p w14:paraId="76896D42" w14:textId="39B7B4A8" w:rsidR="00145192" w:rsidRPr="00E53841" w:rsidRDefault="00145192" w:rsidP="00145192">
      <w:pPr>
        <w:jc w:val="both"/>
        <w:rPr>
          <w:rFonts w:ascii="Arial" w:hAnsi="Arial"/>
        </w:rPr>
      </w:pPr>
      <w:r w:rsidRPr="00667778">
        <w:rPr>
          <w:rFonts w:ascii="Arial" w:hAnsi="Arial"/>
        </w:rPr>
        <w:t xml:space="preserve">For </w:t>
      </w:r>
      <w:r w:rsidR="00302748" w:rsidRPr="00667778">
        <w:rPr>
          <w:rFonts w:ascii="Arial" w:hAnsi="Arial" w:cs="Arial"/>
        </w:rPr>
        <w:t>20</w:t>
      </w:r>
      <w:r w:rsidR="00FC3957" w:rsidRPr="00667778">
        <w:rPr>
          <w:rFonts w:ascii="Arial" w:hAnsi="Arial" w:cs="Arial"/>
        </w:rPr>
        <w:t>2</w:t>
      </w:r>
      <w:r w:rsidR="009179E8" w:rsidRPr="00667778">
        <w:rPr>
          <w:rFonts w:ascii="Arial" w:hAnsi="Arial" w:cs="Arial"/>
        </w:rPr>
        <w:t>6</w:t>
      </w:r>
      <w:r w:rsidR="00302748" w:rsidRPr="00667778">
        <w:rPr>
          <w:rFonts w:ascii="Arial" w:hAnsi="Arial" w:cs="Arial"/>
        </w:rPr>
        <w:t>/</w:t>
      </w:r>
      <w:r w:rsidR="00C02ABC" w:rsidRPr="00667778">
        <w:rPr>
          <w:rFonts w:ascii="Arial" w:hAnsi="Arial" w:cs="Arial"/>
        </w:rPr>
        <w:t>2</w:t>
      </w:r>
      <w:r w:rsidR="009179E8" w:rsidRPr="00667778">
        <w:rPr>
          <w:rFonts w:ascii="Arial" w:hAnsi="Arial" w:cs="Arial"/>
        </w:rPr>
        <w:t>7</w:t>
      </w:r>
      <w:r w:rsidRPr="00667778">
        <w:rPr>
          <w:rFonts w:ascii="Arial" w:hAnsi="Arial"/>
        </w:rPr>
        <w:t xml:space="preserve"> the Council Tax amount for a Band D property (excluding County Council and Police Authority precepts) is £</w:t>
      </w:r>
      <w:r w:rsidR="00AE0196">
        <w:rPr>
          <w:rFonts w:ascii="Arial" w:hAnsi="Arial" w:cs="Arial"/>
        </w:rPr>
        <w:t>316.98</w:t>
      </w:r>
      <w:r w:rsidRPr="00667778">
        <w:rPr>
          <w:rFonts w:ascii="Arial" w:hAnsi="Arial"/>
        </w:rPr>
        <w:t xml:space="preserve">, a </w:t>
      </w:r>
      <w:r w:rsidR="00AE0196">
        <w:rPr>
          <w:rFonts w:ascii="Arial" w:hAnsi="Arial" w:cs="Arial"/>
        </w:rPr>
        <w:t>0</w:t>
      </w:r>
      <w:r w:rsidRPr="00667778">
        <w:rPr>
          <w:rFonts w:ascii="Arial" w:hAnsi="Arial" w:cs="Arial"/>
        </w:rPr>
        <w:t>%</w:t>
      </w:r>
      <w:r w:rsidR="001F57F2" w:rsidRPr="00667778">
        <w:rPr>
          <w:rFonts w:ascii="Arial" w:hAnsi="Arial" w:cs="Arial"/>
        </w:rPr>
        <w:t>/£</w:t>
      </w:r>
      <w:r w:rsidR="00AE0196">
        <w:rPr>
          <w:rFonts w:ascii="Arial" w:hAnsi="Arial" w:cs="Arial"/>
        </w:rPr>
        <w:t>0.00</w:t>
      </w:r>
      <w:r w:rsidR="00FC3957" w:rsidRPr="00667778">
        <w:rPr>
          <w:rFonts w:ascii="Arial" w:hAnsi="Arial" w:cs="Arial"/>
        </w:rPr>
        <w:t xml:space="preserve"> </w:t>
      </w:r>
      <w:r w:rsidRPr="00667778">
        <w:rPr>
          <w:rFonts w:ascii="Arial" w:hAnsi="Arial"/>
        </w:rPr>
        <w:t xml:space="preserve">increase from </w:t>
      </w:r>
      <w:r w:rsidR="00302748" w:rsidRPr="00667778">
        <w:rPr>
          <w:rFonts w:ascii="Arial" w:hAnsi="Arial" w:cs="Arial"/>
        </w:rPr>
        <w:t>20</w:t>
      </w:r>
      <w:r w:rsidR="00C02ABC" w:rsidRPr="00667778">
        <w:rPr>
          <w:rFonts w:ascii="Arial" w:hAnsi="Arial" w:cs="Arial"/>
        </w:rPr>
        <w:t>2</w:t>
      </w:r>
      <w:r w:rsidR="0096169F" w:rsidRPr="00667778">
        <w:rPr>
          <w:rFonts w:ascii="Arial" w:hAnsi="Arial" w:cs="Arial"/>
        </w:rPr>
        <w:t>5</w:t>
      </w:r>
      <w:r w:rsidR="001D5FA7" w:rsidRPr="00667778">
        <w:rPr>
          <w:rFonts w:ascii="Arial" w:hAnsi="Arial" w:cs="Arial"/>
        </w:rPr>
        <w:t>/2</w:t>
      </w:r>
      <w:r w:rsidR="0096169F" w:rsidRPr="00667778">
        <w:rPr>
          <w:rFonts w:ascii="Arial" w:hAnsi="Arial" w:cs="Arial"/>
        </w:rPr>
        <w:t>6</w:t>
      </w:r>
      <w:r w:rsidRPr="00667778">
        <w:rPr>
          <w:rFonts w:ascii="Arial" w:hAnsi="Arial"/>
        </w:rPr>
        <w:t>.</w:t>
      </w:r>
    </w:p>
    <w:p w14:paraId="11317DC8" w14:textId="77777777" w:rsidR="00145192" w:rsidRPr="004F3744" w:rsidRDefault="00145192" w:rsidP="005B00BC">
      <w:pPr>
        <w:jc w:val="both"/>
        <w:rPr>
          <w:rFonts w:ascii="Arial" w:hAnsi="Arial"/>
        </w:rPr>
      </w:pPr>
    </w:p>
    <w:p w14:paraId="0657E277" w14:textId="23E428CA" w:rsidR="00BF1DE0" w:rsidRPr="004F3744" w:rsidRDefault="00BF1DE0" w:rsidP="00BF1DE0">
      <w:pPr>
        <w:jc w:val="both"/>
        <w:rPr>
          <w:rFonts w:ascii="Arial" w:hAnsi="Arial" w:cs="Arial"/>
        </w:rPr>
      </w:pPr>
      <w:r w:rsidRPr="004F3744">
        <w:rPr>
          <w:rFonts w:ascii="Arial" w:hAnsi="Arial" w:cs="Arial"/>
        </w:rPr>
        <w:t>In calculating the Council Tax base the overall yield is reduced by the estimated numbers of claimants entitled to support under the Council’s LCTS scheme and the eligibility criteria of the scheme.   The more Council Tax support that is awarded the more the taxbase is reduced, limiting the ability to raise Council Tax.  In 202</w:t>
      </w:r>
      <w:r w:rsidR="00ED4BF4">
        <w:rPr>
          <w:rFonts w:ascii="Arial" w:hAnsi="Arial" w:cs="Arial"/>
        </w:rPr>
        <w:t>4</w:t>
      </w:r>
      <w:r w:rsidRPr="004F3744">
        <w:rPr>
          <w:rFonts w:ascii="Arial" w:hAnsi="Arial" w:cs="Arial"/>
        </w:rPr>
        <w:t>/2</w:t>
      </w:r>
      <w:r w:rsidR="00ED4BF4">
        <w:rPr>
          <w:rFonts w:ascii="Arial" w:hAnsi="Arial" w:cs="Arial"/>
        </w:rPr>
        <w:t>5</w:t>
      </w:r>
      <w:r w:rsidRPr="004F3744">
        <w:rPr>
          <w:rFonts w:ascii="Arial" w:hAnsi="Arial" w:cs="Arial"/>
        </w:rPr>
        <w:t>, Lincoln's revenue was reduced by 1</w:t>
      </w:r>
      <w:r w:rsidR="00ED4BF4">
        <w:rPr>
          <w:rFonts w:ascii="Arial" w:hAnsi="Arial" w:cs="Arial"/>
        </w:rPr>
        <w:t>3.7</w:t>
      </w:r>
      <w:r w:rsidRPr="004F3744">
        <w:rPr>
          <w:rFonts w:ascii="Arial" w:hAnsi="Arial" w:cs="Arial"/>
        </w:rPr>
        <w:t>%, due to its local CTS scheme. Of this, 4.</w:t>
      </w:r>
      <w:r w:rsidR="00ED4BF4">
        <w:rPr>
          <w:rFonts w:ascii="Arial" w:hAnsi="Arial" w:cs="Arial"/>
        </w:rPr>
        <w:t>3</w:t>
      </w:r>
      <w:r w:rsidRPr="004F3744">
        <w:rPr>
          <w:rFonts w:ascii="Arial" w:hAnsi="Arial" w:cs="Arial"/>
        </w:rPr>
        <w:t>% was in the form of support to pensioners and 9.</w:t>
      </w:r>
      <w:r w:rsidR="00ED4BF4">
        <w:rPr>
          <w:rFonts w:ascii="Arial" w:hAnsi="Arial" w:cs="Arial"/>
        </w:rPr>
        <w:t>3</w:t>
      </w:r>
      <w:r w:rsidRPr="004F3744">
        <w:rPr>
          <w:rFonts w:ascii="Arial" w:hAnsi="Arial" w:cs="Arial"/>
        </w:rPr>
        <w:t>% was support for working-age families. The table below compares the share of revenue foregone with the nearest demographical neighbours and England averages.</w:t>
      </w:r>
    </w:p>
    <w:p w14:paraId="3815F430" w14:textId="77777777" w:rsidR="00892072" w:rsidRPr="004F3744" w:rsidRDefault="00892072" w:rsidP="00BF1DE0">
      <w:pPr>
        <w:jc w:val="both"/>
        <w:rPr>
          <w:rFonts w:ascii="Arial" w:hAnsi="Arial" w:cs="Arial"/>
        </w:rPr>
      </w:pPr>
    </w:p>
    <w:tbl>
      <w:tblPr>
        <w:tblStyle w:val="TableGrid"/>
        <w:tblW w:w="0" w:type="auto"/>
        <w:tblInd w:w="704" w:type="dxa"/>
        <w:tblLook w:val="04A0" w:firstRow="1" w:lastRow="0" w:firstColumn="1" w:lastColumn="0" w:noHBand="0" w:noVBand="1"/>
      </w:tblPr>
      <w:tblGrid>
        <w:gridCol w:w="3456"/>
        <w:gridCol w:w="1389"/>
        <w:gridCol w:w="1559"/>
        <w:gridCol w:w="1417"/>
      </w:tblGrid>
      <w:tr w:rsidR="002E2A51" w:rsidRPr="00A271DA" w14:paraId="534D3009" w14:textId="77777777" w:rsidTr="00A7463F">
        <w:tc>
          <w:tcPr>
            <w:tcW w:w="3456" w:type="dxa"/>
          </w:tcPr>
          <w:p w14:paraId="1CAFA378" w14:textId="77777777" w:rsidR="00A7463F" w:rsidRPr="00ED4BF4" w:rsidRDefault="00A7463F" w:rsidP="00AB7F5A">
            <w:pPr>
              <w:jc w:val="both"/>
              <w:rPr>
                <w:rFonts w:ascii="Arial" w:hAnsi="Arial" w:cs="Arial"/>
              </w:rPr>
            </w:pPr>
          </w:p>
        </w:tc>
        <w:tc>
          <w:tcPr>
            <w:tcW w:w="1389" w:type="dxa"/>
          </w:tcPr>
          <w:p w14:paraId="191EE852" w14:textId="77777777" w:rsidR="00A7463F" w:rsidRPr="00ED4BF4" w:rsidRDefault="00A7463F" w:rsidP="00AB7F5A">
            <w:pPr>
              <w:jc w:val="center"/>
              <w:rPr>
                <w:rFonts w:ascii="Arial" w:hAnsi="Arial" w:cs="Arial"/>
                <w:b/>
              </w:rPr>
            </w:pPr>
            <w:r w:rsidRPr="00ED4BF4">
              <w:rPr>
                <w:rFonts w:ascii="Arial" w:hAnsi="Arial" w:cs="Arial"/>
                <w:b/>
              </w:rPr>
              <w:t>Lincoln</w:t>
            </w:r>
          </w:p>
        </w:tc>
        <w:tc>
          <w:tcPr>
            <w:tcW w:w="1559" w:type="dxa"/>
          </w:tcPr>
          <w:p w14:paraId="51C34E55" w14:textId="77777777" w:rsidR="00A7463F" w:rsidRPr="00ED4BF4" w:rsidRDefault="00A7463F" w:rsidP="00AB7F5A">
            <w:pPr>
              <w:jc w:val="center"/>
              <w:rPr>
                <w:rFonts w:ascii="Arial" w:hAnsi="Arial" w:cs="Arial"/>
                <w:b/>
              </w:rPr>
            </w:pPr>
            <w:r w:rsidRPr="00ED4BF4">
              <w:rPr>
                <w:rFonts w:ascii="Arial" w:hAnsi="Arial" w:cs="Arial"/>
                <w:b/>
              </w:rPr>
              <w:t>Nearest Neighbour</w:t>
            </w:r>
          </w:p>
        </w:tc>
        <w:tc>
          <w:tcPr>
            <w:tcW w:w="1417" w:type="dxa"/>
          </w:tcPr>
          <w:p w14:paraId="4CA0E3BA" w14:textId="77777777" w:rsidR="00A7463F" w:rsidRPr="00ED4BF4" w:rsidRDefault="00A7463F" w:rsidP="00AB7F5A">
            <w:pPr>
              <w:jc w:val="center"/>
              <w:rPr>
                <w:rFonts w:ascii="Arial" w:hAnsi="Arial" w:cs="Arial"/>
                <w:b/>
              </w:rPr>
            </w:pPr>
            <w:r w:rsidRPr="00ED4BF4">
              <w:rPr>
                <w:rFonts w:ascii="Arial" w:hAnsi="Arial" w:cs="Arial"/>
                <w:b/>
              </w:rPr>
              <w:t>England Average</w:t>
            </w:r>
          </w:p>
        </w:tc>
      </w:tr>
      <w:tr w:rsidR="002E2A51" w:rsidRPr="00A271DA" w14:paraId="51BD93AE" w14:textId="77777777" w:rsidTr="00A7463F">
        <w:tc>
          <w:tcPr>
            <w:tcW w:w="3456" w:type="dxa"/>
          </w:tcPr>
          <w:p w14:paraId="53389E76" w14:textId="77777777" w:rsidR="00A7463F" w:rsidRPr="00ED4BF4" w:rsidRDefault="00A7463F" w:rsidP="00AB7F5A">
            <w:pPr>
              <w:jc w:val="both"/>
              <w:rPr>
                <w:rFonts w:ascii="Arial" w:hAnsi="Arial" w:cs="Arial"/>
              </w:rPr>
            </w:pPr>
            <w:r w:rsidRPr="00ED4BF4">
              <w:rPr>
                <w:rFonts w:ascii="Arial" w:hAnsi="Arial" w:cs="Arial"/>
              </w:rPr>
              <w:t>Support for pensioners</w:t>
            </w:r>
          </w:p>
        </w:tc>
        <w:tc>
          <w:tcPr>
            <w:tcW w:w="1389" w:type="dxa"/>
          </w:tcPr>
          <w:p w14:paraId="3E2402DD" w14:textId="77B298C2" w:rsidR="00A7463F" w:rsidRPr="00ED4BF4" w:rsidRDefault="00A7463F" w:rsidP="00AB7F5A">
            <w:pPr>
              <w:jc w:val="right"/>
              <w:rPr>
                <w:rFonts w:ascii="Arial" w:hAnsi="Arial" w:cs="Arial"/>
              </w:rPr>
            </w:pPr>
            <w:r>
              <w:rPr>
                <w:rFonts w:ascii="Arial" w:hAnsi="Arial" w:cs="Arial"/>
              </w:rPr>
              <w:t>4.</w:t>
            </w:r>
            <w:r w:rsidR="00ED4BF4">
              <w:rPr>
                <w:rFonts w:ascii="Arial" w:hAnsi="Arial" w:cs="Arial"/>
              </w:rPr>
              <w:t>3</w:t>
            </w:r>
            <w:r>
              <w:rPr>
                <w:rFonts w:ascii="Arial" w:hAnsi="Arial" w:cs="Arial"/>
              </w:rPr>
              <w:t>%</w:t>
            </w:r>
          </w:p>
        </w:tc>
        <w:tc>
          <w:tcPr>
            <w:tcW w:w="1559" w:type="dxa"/>
          </w:tcPr>
          <w:p w14:paraId="068EA4A4" w14:textId="674E8306" w:rsidR="00A7463F" w:rsidRPr="00ED4BF4" w:rsidRDefault="00A7463F" w:rsidP="00AB7F5A">
            <w:pPr>
              <w:jc w:val="right"/>
              <w:rPr>
                <w:rFonts w:ascii="Arial" w:hAnsi="Arial" w:cs="Arial"/>
              </w:rPr>
            </w:pPr>
            <w:r>
              <w:rPr>
                <w:rFonts w:ascii="Arial" w:hAnsi="Arial" w:cs="Arial"/>
              </w:rPr>
              <w:t>4.</w:t>
            </w:r>
            <w:r w:rsidR="00ED4BF4">
              <w:rPr>
                <w:rFonts w:ascii="Arial" w:hAnsi="Arial" w:cs="Arial"/>
              </w:rPr>
              <w:t>3</w:t>
            </w:r>
            <w:r>
              <w:rPr>
                <w:rFonts w:ascii="Arial" w:hAnsi="Arial" w:cs="Arial"/>
              </w:rPr>
              <w:t>%</w:t>
            </w:r>
          </w:p>
        </w:tc>
        <w:tc>
          <w:tcPr>
            <w:tcW w:w="1417" w:type="dxa"/>
          </w:tcPr>
          <w:p w14:paraId="294EDE94" w14:textId="687F1BF7" w:rsidR="00A7463F" w:rsidRPr="00ED4BF4" w:rsidRDefault="00A7463F" w:rsidP="00AB7F5A">
            <w:pPr>
              <w:jc w:val="right"/>
              <w:rPr>
                <w:rFonts w:ascii="Arial" w:hAnsi="Arial" w:cs="Arial"/>
              </w:rPr>
            </w:pPr>
            <w:r>
              <w:rPr>
                <w:rFonts w:ascii="Arial" w:hAnsi="Arial" w:cs="Arial"/>
              </w:rPr>
              <w:t>3.</w:t>
            </w:r>
            <w:r w:rsidR="00ED4BF4">
              <w:rPr>
                <w:rFonts w:ascii="Arial" w:hAnsi="Arial" w:cs="Arial"/>
              </w:rPr>
              <w:t>6</w:t>
            </w:r>
            <w:r>
              <w:rPr>
                <w:rFonts w:ascii="Arial" w:hAnsi="Arial" w:cs="Arial"/>
              </w:rPr>
              <w:t>%</w:t>
            </w:r>
          </w:p>
        </w:tc>
      </w:tr>
      <w:tr w:rsidR="002E2A51" w:rsidRPr="00A271DA" w14:paraId="43DD7DC3" w14:textId="77777777" w:rsidTr="00A7463F">
        <w:tc>
          <w:tcPr>
            <w:tcW w:w="3456" w:type="dxa"/>
          </w:tcPr>
          <w:p w14:paraId="70D751B9" w14:textId="77777777" w:rsidR="00A7463F" w:rsidRPr="00ED4BF4" w:rsidRDefault="00A7463F" w:rsidP="00AB7F5A">
            <w:pPr>
              <w:jc w:val="both"/>
              <w:rPr>
                <w:rFonts w:ascii="Arial" w:hAnsi="Arial" w:cs="Arial"/>
              </w:rPr>
            </w:pPr>
            <w:r w:rsidRPr="00ED4BF4">
              <w:rPr>
                <w:rFonts w:ascii="Arial" w:hAnsi="Arial" w:cs="Arial"/>
              </w:rPr>
              <w:t>Support for working-age</w:t>
            </w:r>
          </w:p>
        </w:tc>
        <w:tc>
          <w:tcPr>
            <w:tcW w:w="1389" w:type="dxa"/>
          </w:tcPr>
          <w:p w14:paraId="0F672C68" w14:textId="534A9C99" w:rsidR="00A7463F" w:rsidRPr="00ED4BF4" w:rsidRDefault="00A7463F" w:rsidP="00AB7F5A">
            <w:pPr>
              <w:jc w:val="right"/>
              <w:rPr>
                <w:rFonts w:ascii="Arial" w:hAnsi="Arial" w:cs="Arial"/>
              </w:rPr>
            </w:pPr>
            <w:r>
              <w:rPr>
                <w:rFonts w:ascii="Arial" w:hAnsi="Arial" w:cs="Arial"/>
              </w:rPr>
              <w:t>9.</w:t>
            </w:r>
            <w:r w:rsidR="00ED4BF4">
              <w:rPr>
                <w:rFonts w:ascii="Arial" w:hAnsi="Arial" w:cs="Arial"/>
              </w:rPr>
              <w:t>3</w:t>
            </w:r>
            <w:r>
              <w:rPr>
                <w:rFonts w:ascii="Arial" w:hAnsi="Arial" w:cs="Arial"/>
              </w:rPr>
              <w:t>%</w:t>
            </w:r>
          </w:p>
        </w:tc>
        <w:tc>
          <w:tcPr>
            <w:tcW w:w="1559" w:type="dxa"/>
          </w:tcPr>
          <w:p w14:paraId="041F518D" w14:textId="076F17AA" w:rsidR="00A7463F" w:rsidRPr="00ED4BF4" w:rsidRDefault="00ED4BF4" w:rsidP="00AB7F5A">
            <w:pPr>
              <w:jc w:val="right"/>
              <w:rPr>
                <w:rFonts w:ascii="Arial" w:hAnsi="Arial" w:cs="Arial"/>
              </w:rPr>
            </w:pPr>
            <w:r>
              <w:rPr>
                <w:rFonts w:ascii="Arial" w:hAnsi="Arial" w:cs="Arial"/>
              </w:rPr>
              <w:t>6.</w:t>
            </w:r>
            <w:r w:rsidR="00A7463F">
              <w:rPr>
                <w:rFonts w:ascii="Arial" w:hAnsi="Arial" w:cs="Arial"/>
              </w:rPr>
              <w:t>7</w:t>
            </w:r>
            <w:r w:rsidR="00A7463F" w:rsidRPr="00ED4BF4">
              <w:rPr>
                <w:rFonts w:ascii="Arial" w:hAnsi="Arial" w:cs="Arial"/>
              </w:rPr>
              <w:t>%</w:t>
            </w:r>
          </w:p>
        </w:tc>
        <w:tc>
          <w:tcPr>
            <w:tcW w:w="1417" w:type="dxa"/>
          </w:tcPr>
          <w:p w14:paraId="40883170" w14:textId="239D1114" w:rsidR="00A7463F" w:rsidRPr="00ED4BF4" w:rsidRDefault="00A7463F" w:rsidP="00AB7F5A">
            <w:pPr>
              <w:jc w:val="right"/>
              <w:rPr>
                <w:rFonts w:ascii="Arial" w:hAnsi="Arial" w:cs="Arial"/>
              </w:rPr>
            </w:pPr>
            <w:r w:rsidRPr="00ED4BF4">
              <w:rPr>
                <w:rFonts w:ascii="Arial" w:hAnsi="Arial" w:cs="Arial"/>
              </w:rPr>
              <w:t>5.</w:t>
            </w:r>
            <w:r w:rsidR="00ED4BF4">
              <w:rPr>
                <w:rFonts w:ascii="Arial" w:hAnsi="Arial" w:cs="Arial"/>
              </w:rPr>
              <w:t>0</w:t>
            </w:r>
            <w:r w:rsidRPr="00ED4BF4">
              <w:rPr>
                <w:rFonts w:ascii="Arial" w:hAnsi="Arial" w:cs="Arial"/>
              </w:rPr>
              <w:t>%</w:t>
            </w:r>
          </w:p>
        </w:tc>
      </w:tr>
      <w:tr w:rsidR="002E2A51" w:rsidRPr="00A271DA" w14:paraId="1FEB0136" w14:textId="77777777" w:rsidTr="00A7463F">
        <w:tc>
          <w:tcPr>
            <w:tcW w:w="3456" w:type="dxa"/>
          </w:tcPr>
          <w:p w14:paraId="232E8725" w14:textId="77777777" w:rsidR="00A7463F" w:rsidRPr="00ED4BF4" w:rsidRDefault="00A7463F" w:rsidP="00AB7F5A">
            <w:pPr>
              <w:jc w:val="both"/>
              <w:rPr>
                <w:rFonts w:ascii="Arial" w:hAnsi="Arial" w:cs="Arial"/>
                <w:b/>
              </w:rPr>
            </w:pPr>
            <w:r w:rsidRPr="00ED4BF4">
              <w:rPr>
                <w:rFonts w:ascii="Arial" w:hAnsi="Arial" w:cs="Arial"/>
                <w:b/>
              </w:rPr>
              <w:t>Total Council Tax Support</w:t>
            </w:r>
          </w:p>
        </w:tc>
        <w:tc>
          <w:tcPr>
            <w:tcW w:w="1389" w:type="dxa"/>
          </w:tcPr>
          <w:p w14:paraId="4B036018" w14:textId="59A37785" w:rsidR="00A7463F" w:rsidRPr="00ED4BF4" w:rsidRDefault="00ED4BF4" w:rsidP="00AB7F5A">
            <w:pPr>
              <w:jc w:val="right"/>
              <w:rPr>
                <w:rFonts w:ascii="Arial" w:hAnsi="Arial" w:cs="Arial"/>
                <w:b/>
              </w:rPr>
            </w:pPr>
            <w:r>
              <w:rPr>
                <w:rFonts w:ascii="Arial" w:hAnsi="Arial" w:cs="Arial"/>
                <w:b/>
                <w:bCs/>
              </w:rPr>
              <w:t>13.7</w:t>
            </w:r>
            <w:r w:rsidR="00A7463F" w:rsidRPr="00ED4BF4">
              <w:rPr>
                <w:rFonts w:ascii="Arial" w:hAnsi="Arial" w:cs="Arial"/>
                <w:b/>
                <w:bCs/>
              </w:rPr>
              <w:t>%</w:t>
            </w:r>
          </w:p>
        </w:tc>
        <w:tc>
          <w:tcPr>
            <w:tcW w:w="1559" w:type="dxa"/>
          </w:tcPr>
          <w:p w14:paraId="5B8A67C3" w14:textId="6CA57E5A" w:rsidR="00A7463F" w:rsidRPr="00ED4BF4" w:rsidRDefault="00A7463F" w:rsidP="00AB7F5A">
            <w:pPr>
              <w:jc w:val="right"/>
              <w:rPr>
                <w:rFonts w:ascii="Arial" w:hAnsi="Arial" w:cs="Arial"/>
                <w:b/>
              </w:rPr>
            </w:pPr>
            <w:r>
              <w:rPr>
                <w:rFonts w:ascii="Arial" w:hAnsi="Arial" w:cs="Arial"/>
                <w:b/>
              </w:rPr>
              <w:t>11.</w:t>
            </w:r>
            <w:r w:rsidR="00ED4BF4">
              <w:rPr>
                <w:rFonts w:ascii="Arial" w:hAnsi="Arial" w:cs="Arial"/>
                <w:b/>
                <w:bCs/>
              </w:rPr>
              <w:t>0</w:t>
            </w:r>
            <w:r w:rsidRPr="00ED4BF4">
              <w:rPr>
                <w:rFonts w:ascii="Arial" w:hAnsi="Arial" w:cs="Arial"/>
                <w:b/>
              </w:rPr>
              <w:t>%</w:t>
            </w:r>
          </w:p>
        </w:tc>
        <w:tc>
          <w:tcPr>
            <w:tcW w:w="1417" w:type="dxa"/>
          </w:tcPr>
          <w:p w14:paraId="67BB8505" w14:textId="5D9FC095" w:rsidR="00A7463F" w:rsidRPr="00ED4BF4" w:rsidRDefault="00A7463F" w:rsidP="00AB7F5A">
            <w:pPr>
              <w:jc w:val="right"/>
              <w:rPr>
                <w:rFonts w:ascii="Arial" w:hAnsi="Arial" w:cs="Arial"/>
                <w:b/>
              </w:rPr>
            </w:pPr>
            <w:r w:rsidRPr="00ED4BF4">
              <w:rPr>
                <w:rFonts w:ascii="Arial" w:hAnsi="Arial" w:cs="Arial"/>
                <w:b/>
              </w:rPr>
              <w:t>8.</w:t>
            </w:r>
            <w:r w:rsidR="00ED4BF4">
              <w:rPr>
                <w:rFonts w:ascii="Arial" w:hAnsi="Arial" w:cs="Arial"/>
                <w:b/>
                <w:bCs/>
              </w:rPr>
              <w:t>6</w:t>
            </w:r>
            <w:r w:rsidRPr="00ED4BF4">
              <w:rPr>
                <w:rFonts w:ascii="Arial" w:hAnsi="Arial" w:cs="Arial"/>
                <w:b/>
              </w:rPr>
              <w:t>%</w:t>
            </w:r>
          </w:p>
        </w:tc>
      </w:tr>
    </w:tbl>
    <w:p w14:paraId="32AA67C3" w14:textId="77777777" w:rsidR="00892072" w:rsidRPr="00A271DA" w:rsidRDefault="00892072" w:rsidP="00B9249F">
      <w:pPr>
        <w:jc w:val="both"/>
        <w:rPr>
          <w:rFonts w:ascii="Arial" w:hAnsi="Arial" w:cs="Arial"/>
          <w:highlight w:val="magenta"/>
        </w:rPr>
      </w:pPr>
    </w:p>
    <w:p w14:paraId="1A9AA9FC" w14:textId="4BF41FC8" w:rsidR="00B9249F" w:rsidRPr="00A271DA" w:rsidRDefault="00B9249F" w:rsidP="00B9249F">
      <w:pPr>
        <w:pStyle w:val="ListParagraph"/>
        <w:spacing w:after="0" w:line="240" w:lineRule="auto"/>
        <w:ind w:left="0"/>
        <w:jc w:val="both"/>
        <w:rPr>
          <w:rFonts w:ascii="Arial" w:hAnsi="Arial" w:cs="Arial"/>
          <w:sz w:val="24"/>
          <w:szCs w:val="24"/>
          <w:highlight w:val="magenta"/>
        </w:rPr>
      </w:pPr>
      <w:r w:rsidRPr="00D53E1B">
        <w:rPr>
          <w:rFonts w:ascii="Arial" w:hAnsi="Arial" w:cs="Arial"/>
          <w:sz w:val="24"/>
          <w:szCs w:val="24"/>
        </w:rPr>
        <w:t xml:space="preserve">Despite the cost-of-living challenges experienced in recent years, the number of LCTS claimants has continued to reduce, with total claimants of </w:t>
      </w:r>
      <w:r w:rsidR="00D53E1B">
        <w:rPr>
          <w:rFonts w:ascii="Arial" w:hAnsi="Arial" w:cs="Arial"/>
          <w:sz w:val="24"/>
          <w:szCs w:val="24"/>
        </w:rPr>
        <w:t>7,957 at November 2025</w:t>
      </w:r>
      <w:r w:rsidR="007161F0">
        <w:rPr>
          <w:rFonts w:ascii="Arial" w:hAnsi="Arial" w:cs="Arial"/>
          <w:sz w:val="24"/>
          <w:szCs w:val="24"/>
        </w:rPr>
        <w:t xml:space="preserve">, compared with </w:t>
      </w:r>
      <w:r w:rsidRPr="00D53E1B">
        <w:rPr>
          <w:rFonts w:ascii="Arial" w:hAnsi="Arial" w:cs="Arial"/>
          <w:sz w:val="24"/>
          <w:szCs w:val="24"/>
        </w:rPr>
        <w:t>8,</w:t>
      </w:r>
      <w:r w:rsidR="00C90C96" w:rsidRPr="00D53E1B">
        <w:rPr>
          <w:rFonts w:ascii="Arial" w:hAnsi="Arial" w:cs="Arial"/>
          <w:sz w:val="24"/>
          <w:szCs w:val="24"/>
        </w:rPr>
        <w:t>080</w:t>
      </w:r>
      <w:r w:rsidRPr="00D53E1B">
        <w:rPr>
          <w:rFonts w:ascii="Arial" w:hAnsi="Arial" w:cs="Arial"/>
          <w:sz w:val="24"/>
          <w:szCs w:val="24"/>
        </w:rPr>
        <w:t xml:space="preserve"> at </w:t>
      </w:r>
      <w:r w:rsidR="00C90C96" w:rsidRPr="00D53E1B">
        <w:rPr>
          <w:rFonts w:ascii="Arial" w:hAnsi="Arial" w:cs="Arial"/>
          <w:sz w:val="24"/>
          <w:szCs w:val="24"/>
        </w:rPr>
        <w:t>November</w:t>
      </w:r>
      <w:r w:rsidRPr="00D53E1B">
        <w:rPr>
          <w:rFonts w:ascii="Arial" w:hAnsi="Arial" w:cs="Arial"/>
          <w:sz w:val="24"/>
          <w:szCs w:val="24"/>
        </w:rPr>
        <w:t xml:space="preserve"> 2024 </w:t>
      </w:r>
      <w:r w:rsidR="007161F0">
        <w:rPr>
          <w:rFonts w:ascii="Arial" w:hAnsi="Arial" w:cs="Arial"/>
          <w:sz w:val="24"/>
          <w:szCs w:val="24"/>
        </w:rPr>
        <w:t>and</w:t>
      </w:r>
      <w:r w:rsidRPr="00D53E1B">
        <w:rPr>
          <w:rFonts w:ascii="Arial" w:hAnsi="Arial" w:cs="Arial"/>
          <w:sz w:val="24"/>
          <w:szCs w:val="24"/>
        </w:rPr>
        <w:t xml:space="preserve"> 8,491 in March 2020.</w:t>
      </w:r>
      <w:r w:rsidRPr="0057428D">
        <w:rPr>
          <w:rFonts w:ascii="Arial" w:hAnsi="Arial" w:cs="Arial"/>
          <w:sz w:val="24"/>
          <w:szCs w:val="24"/>
        </w:rPr>
        <w:t xml:space="preserve"> </w:t>
      </w:r>
      <w:r w:rsidR="00B63C44" w:rsidRPr="0057428D">
        <w:rPr>
          <w:rFonts w:ascii="Arial" w:hAnsi="Arial" w:cs="Arial"/>
          <w:sz w:val="24"/>
          <w:szCs w:val="24"/>
        </w:rPr>
        <w:t xml:space="preserve"> </w:t>
      </w:r>
      <w:r w:rsidR="0057428D" w:rsidRPr="0057428D">
        <w:rPr>
          <w:rFonts w:ascii="Arial" w:hAnsi="Arial" w:cs="Arial"/>
          <w:bCs/>
          <w:sz w:val="24"/>
          <w:szCs w:val="24"/>
        </w:rPr>
        <w:t xml:space="preserve">However, based on the latest caseload numbers and recent trend it appears that the caseload may </w:t>
      </w:r>
      <w:r w:rsidR="00C126F2">
        <w:rPr>
          <w:rFonts w:ascii="Arial" w:hAnsi="Arial" w:cs="Arial"/>
          <w:bCs/>
          <w:sz w:val="24"/>
          <w:szCs w:val="24"/>
        </w:rPr>
        <w:t>now be</w:t>
      </w:r>
      <w:r w:rsidR="0057428D" w:rsidRPr="0057428D">
        <w:rPr>
          <w:rFonts w:ascii="Arial" w:hAnsi="Arial" w:cs="Arial"/>
          <w:bCs/>
          <w:sz w:val="24"/>
          <w:szCs w:val="24"/>
        </w:rPr>
        <w:t xml:space="preserve"> platea</w:t>
      </w:r>
      <w:r w:rsidR="00C126F2">
        <w:rPr>
          <w:rFonts w:ascii="Arial" w:hAnsi="Arial" w:cs="Arial"/>
          <w:bCs/>
          <w:sz w:val="24"/>
          <w:szCs w:val="24"/>
        </w:rPr>
        <w:t>uing, a</w:t>
      </w:r>
      <w:r w:rsidR="0057428D" w:rsidRPr="0057428D">
        <w:rPr>
          <w:rFonts w:ascii="Arial" w:hAnsi="Arial" w:cs="Arial"/>
          <w:bCs/>
          <w:sz w:val="24"/>
          <w:szCs w:val="24"/>
        </w:rPr>
        <w:t xml:space="preserve"> flat caseload </w:t>
      </w:r>
      <w:r w:rsidR="00C126F2">
        <w:rPr>
          <w:rFonts w:ascii="Arial" w:hAnsi="Arial" w:cs="Arial"/>
          <w:bCs/>
          <w:sz w:val="24"/>
          <w:szCs w:val="24"/>
        </w:rPr>
        <w:t>is therefore</w:t>
      </w:r>
      <w:r w:rsidR="0057428D" w:rsidRPr="0057428D">
        <w:rPr>
          <w:rFonts w:ascii="Arial" w:hAnsi="Arial" w:cs="Arial"/>
          <w:bCs/>
          <w:sz w:val="24"/>
          <w:szCs w:val="24"/>
        </w:rPr>
        <w:t xml:space="preserve"> assumed over the period of the MTFS.</w:t>
      </w:r>
      <w:r w:rsidR="00B63C44" w:rsidRPr="000340BC">
        <w:rPr>
          <w:rFonts w:ascii="Arial" w:hAnsi="Arial" w:cs="Arial"/>
          <w:bCs/>
          <w:sz w:val="24"/>
          <w:szCs w:val="24"/>
        </w:rPr>
        <w:t xml:space="preserve">  </w:t>
      </w:r>
    </w:p>
    <w:p w14:paraId="582C0E68" w14:textId="77777777" w:rsidR="00DE20D6" w:rsidRPr="00A271DA" w:rsidRDefault="00DE20D6" w:rsidP="005B00BC">
      <w:pPr>
        <w:jc w:val="both"/>
        <w:rPr>
          <w:rFonts w:ascii="Arial" w:hAnsi="Arial" w:cs="Arial"/>
          <w:highlight w:val="magenta"/>
        </w:rPr>
      </w:pPr>
    </w:p>
    <w:bookmarkEnd w:id="1"/>
    <w:p w14:paraId="4A1CB630" w14:textId="77777777" w:rsidR="00384776" w:rsidRPr="000837CD" w:rsidRDefault="00384776">
      <w:pPr>
        <w:pStyle w:val="Heading8"/>
      </w:pPr>
      <w:r w:rsidRPr="000837CD">
        <w:t>Fees and Charges</w:t>
      </w:r>
    </w:p>
    <w:p w14:paraId="4A863ABC" w14:textId="77777777" w:rsidR="00384776" w:rsidRPr="000837CD" w:rsidRDefault="00384776">
      <w:pPr>
        <w:rPr>
          <w:rFonts w:ascii="Arial" w:hAnsi="Arial" w:cs="Arial"/>
          <w:b/>
        </w:rPr>
      </w:pPr>
    </w:p>
    <w:p w14:paraId="1F250A09" w14:textId="18281F9B" w:rsidR="00A650FC" w:rsidRPr="000837CD" w:rsidRDefault="008023A6" w:rsidP="00A650FC">
      <w:pPr>
        <w:tabs>
          <w:tab w:val="left" w:pos="972"/>
        </w:tabs>
        <w:jc w:val="both"/>
        <w:rPr>
          <w:rFonts w:ascii="Arial" w:hAnsi="Arial" w:cs="Arial"/>
        </w:rPr>
      </w:pPr>
      <w:r w:rsidRPr="000837CD">
        <w:rPr>
          <w:rFonts w:ascii="Arial" w:hAnsi="Arial" w:cs="Arial"/>
        </w:rPr>
        <w:t>T</w:t>
      </w:r>
      <w:r w:rsidR="00DC20E3" w:rsidRPr="000837CD">
        <w:rPr>
          <w:rFonts w:ascii="Arial" w:hAnsi="Arial" w:cs="Arial"/>
        </w:rPr>
        <w:t>he fees and charges levied by the Council are an important source of income, h</w:t>
      </w:r>
      <w:r w:rsidR="00F12270" w:rsidRPr="000837CD">
        <w:rPr>
          <w:rFonts w:ascii="Arial" w:hAnsi="Arial" w:cs="Arial"/>
        </w:rPr>
        <w:t>owever</w:t>
      </w:r>
      <w:r w:rsidR="005A0174">
        <w:rPr>
          <w:rFonts w:ascii="Arial" w:hAnsi="Arial" w:cs="Arial"/>
        </w:rPr>
        <w:t xml:space="preserve"> i</w:t>
      </w:r>
      <w:r w:rsidR="0097333C" w:rsidRPr="0097333C">
        <w:rPr>
          <w:rFonts w:ascii="Arial" w:hAnsi="Arial" w:cs="Arial"/>
        </w:rPr>
        <w:t xml:space="preserve">n recent years the cost of living crisis and economic conditions have impacted on income levels, with a detrimental impact on services.  </w:t>
      </w:r>
    </w:p>
    <w:p w14:paraId="3EDDFA51" w14:textId="26221403" w:rsidR="00F12270" w:rsidRPr="00A271DA" w:rsidRDefault="00F12270" w:rsidP="00CC40EB">
      <w:pPr>
        <w:tabs>
          <w:tab w:val="left" w:pos="972"/>
        </w:tabs>
        <w:jc w:val="both"/>
        <w:rPr>
          <w:rFonts w:ascii="Arial" w:hAnsi="Arial" w:cs="Arial"/>
          <w:highlight w:val="magenta"/>
        </w:rPr>
      </w:pPr>
    </w:p>
    <w:p w14:paraId="72B3C124" w14:textId="789C83D6" w:rsidR="00A067CC" w:rsidRDefault="00B20F9E" w:rsidP="004530C1">
      <w:pPr>
        <w:jc w:val="both"/>
        <w:rPr>
          <w:rFonts w:ascii="Arial" w:hAnsi="Arial" w:cs="Arial"/>
        </w:rPr>
      </w:pPr>
      <w:r w:rsidRPr="00B20F9E">
        <w:rPr>
          <w:rFonts w:ascii="Arial" w:hAnsi="Arial" w:cs="Arial"/>
        </w:rPr>
        <w:t>The</w:t>
      </w:r>
      <w:r w:rsidR="0055462B" w:rsidRPr="00701A73">
        <w:rPr>
          <w:rFonts w:ascii="Arial" w:hAnsi="Arial" w:cs="Arial"/>
        </w:rPr>
        <w:t xml:space="preserve"> Council continues to experience reductions in income levels in areas </w:t>
      </w:r>
      <w:r w:rsidR="00976890">
        <w:rPr>
          <w:rFonts w:ascii="Arial" w:hAnsi="Arial" w:cs="Arial"/>
        </w:rPr>
        <w:t>of a development nature, e.g. planning, land charges and buildings regulations</w:t>
      </w:r>
      <w:r w:rsidRPr="00B20F9E">
        <w:rPr>
          <w:rFonts w:ascii="Arial" w:hAnsi="Arial" w:cs="Arial"/>
        </w:rPr>
        <w:t>,</w:t>
      </w:r>
      <w:r w:rsidR="007F23C4">
        <w:rPr>
          <w:rFonts w:ascii="Arial" w:hAnsi="Arial" w:cs="Arial"/>
        </w:rPr>
        <w:t xml:space="preserve"> due to </w:t>
      </w:r>
      <w:r w:rsidR="007F23C4" w:rsidRPr="009C4D1E">
        <w:rPr>
          <w:rStyle w:val="normaltextrun"/>
          <w:rFonts w:ascii="Arial" w:hAnsi="Arial" w:cs="Arial"/>
          <w:color w:val="000000"/>
          <w:shd w:val="clear" w:color="auto" w:fill="FFFFFF"/>
        </w:rPr>
        <w:t xml:space="preserve">due to pressures in the construction and housing market </w:t>
      </w:r>
      <w:r w:rsidR="007F23C4">
        <w:rPr>
          <w:rStyle w:val="normaltextrun"/>
          <w:rFonts w:ascii="Arial" w:hAnsi="Arial" w:cs="Arial"/>
          <w:color w:val="000000"/>
          <w:shd w:val="clear" w:color="auto" w:fill="FFFFFF"/>
        </w:rPr>
        <w:t>which are sensitive to macroeconomic conditions.</w:t>
      </w:r>
      <w:r w:rsidRPr="00B20F9E">
        <w:rPr>
          <w:rFonts w:ascii="Arial" w:hAnsi="Arial" w:cs="Arial"/>
        </w:rPr>
        <w:t xml:space="preserve"> </w:t>
      </w:r>
      <w:r w:rsidR="007F23C4">
        <w:rPr>
          <w:rFonts w:ascii="Arial" w:hAnsi="Arial" w:cs="Arial"/>
        </w:rPr>
        <w:t>T</w:t>
      </w:r>
      <w:r w:rsidRPr="00B20F9E">
        <w:rPr>
          <w:rFonts w:ascii="Arial" w:hAnsi="Arial" w:cs="Arial"/>
        </w:rPr>
        <w:t>hese</w:t>
      </w:r>
      <w:r w:rsidR="0055462B" w:rsidRPr="00701A73">
        <w:rPr>
          <w:rFonts w:ascii="Arial" w:hAnsi="Arial" w:cs="Arial"/>
        </w:rPr>
        <w:t xml:space="preserve"> reductions are expected to continue throughout 202</w:t>
      </w:r>
      <w:r w:rsidR="00701A73" w:rsidRPr="00701A73">
        <w:rPr>
          <w:rFonts w:ascii="Arial" w:hAnsi="Arial" w:cs="Arial"/>
        </w:rPr>
        <w:t>6</w:t>
      </w:r>
      <w:r w:rsidR="0055462B" w:rsidRPr="00701A73">
        <w:rPr>
          <w:rFonts w:ascii="Arial" w:hAnsi="Arial" w:cs="Arial"/>
        </w:rPr>
        <w:t>/2</w:t>
      </w:r>
      <w:r w:rsidR="00701A73" w:rsidRPr="00701A73">
        <w:rPr>
          <w:rFonts w:ascii="Arial" w:hAnsi="Arial" w:cs="Arial"/>
        </w:rPr>
        <w:t>7</w:t>
      </w:r>
      <w:r w:rsidR="0055462B" w:rsidRPr="00701A73">
        <w:rPr>
          <w:rFonts w:ascii="Arial" w:hAnsi="Arial" w:cs="Arial"/>
        </w:rPr>
        <w:t xml:space="preserve"> before any significant recovery is seen.</w:t>
      </w:r>
      <w:r w:rsidR="00701A73" w:rsidRPr="00701A73">
        <w:rPr>
          <w:rFonts w:ascii="Arial" w:hAnsi="Arial" w:cs="Arial"/>
        </w:rPr>
        <w:t xml:space="preserve"> </w:t>
      </w:r>
      <w:r w:rsidR="00701A73" w:rsidRPr="00B20F9E">
        <w:rPr>
          <w:rFonts w:ascii="Arial" w:hAnsi="Arial" w:cs="Arial"/>
        </w:rPr>
        <w:t xml:space="preserve">In addition, income from cremation fees </w:t>
      </w:r>
      <w:r w:rsidR="007C338E" w:rsidRPr="009C4D1E">
        <w:rPr>
          <w:rStyle w:val="normaltextrun"/>
          <w:rFonts w:ascii="Arial" w:hAnsi="Arial" w:cs="Arial"/>
          <w:color w:val="000000"/>
          <w:shd w:val="clear" w:color="auto" w:fill="FFFFFF"/>
        </w:rPr>
        <w:t>has been on a downward trajectory in the last two years</w:t>
      </w:r>
      <w:r w:rsidR="007C338E" w:rsidRPr="00B20F9E">
        <w:rPr>
          <w:rFonts w:ascii="Arial" w:hAnsi="Arial" w:cs="Arial"/>
        </w:rPr>
        <w:t xml:space="preserve"> </w:t>
      </w:r>
      <w:r w:rsidR="00701A73" w:rsidRPr="00B20F9E">
        <w:rPr>
          <w:rFonts w:ascii="Arial" w:hAnsi="Arial" w:cs="Arial"/>
        </w:rPr>
        <w:t>due to the emergence of new operators in the market</w:t>
      </w:r>
      <w:r w:rsidR="00386FAE">
        <w:rPr>
          <w:rFonts w:ascii="Arial" w:hAnsi="Arial" w:cs="Arial"/>
        </w:rPr>
        <w:t xml:space="preserve"> offering</w:t>
      </w:r>
      <w:r w:rsidR="00701A73" w:rsidRPr="00B20F9E">
        <w:rPr>
          <w:rFonts w:ascii="Arial" w:hAnsi="Arial" w:cs="Arial"/>
        </w:rPr>
        <w:t xml:space="preserve"> more </w:t>
      </w:r>
      <w:r w:rsidR="00386FAE">
        <w:rPr>
          <w:rFonts w:ascii="Arial" w:hAnsi="Arial" w:cs="Arial"/>
        </w:rPr>
        <w:t>low cost</w:t>
      </w:r>
      <w:r w:rsidR="00701A73" w:rsidRPr="00B20F9E">
        <w:rPr>
          <w:rFonts w:ascii="Arial" w:hAnsi="Arial" w:cs="Arial"/>
        </w:rPr>
        <w:t xml:space="preserve"> </w:t>
      </w:r>
      <w:r w:rsidR="0016042C">
        <w:rPr>
          <w:rFonts w:ascii="Arial" w:hAnsi="Arial" w:cs="Arial"/>
        </w:rPr>
        <w:t>options</w:t>
      </w:r>
      <w:r w:rsidR="00386FAE">
        <w:rPr>
          <w:rFonts w:ascii="Arial" w:hAnsi="Arial" w:cs="Arial"/>
        </w:rPr>
        <w:t xml:space="preserve">, which given cost of living pressures </w:t>
      </w:r>
      <w:r w:rsidR="0016042C">
        <w:rPr>
          <w:rFonts w:ascii="Arial" w:hAnsi="Arial" w:cs="Arial"/>
        </w:rPr>
        <w:t>are attractive alternatives.</w:t>
      </w:r>
    </w:p>
    <w:p w14:paraId="2548F957" w14:textId="77777777" w:rsidR="0016042C" w:rsidRDefault="0016042C" w:rsidP="004530C1">
      <w:pPr>
        <w:jc w:val="both"/>
        <w:rPr>
          <w:rFonts w:ascii="Arial" w:hAnsi="Arial" w:cs="Arial"/>
        </w:rPr>
      </w:pPr>
    </w:p>
    <w:p w14:paraId="3380F6D4" w14:textId="41A4BC8C" w:rsidR="0016042C" w:rsidRPr="00A271DA" w:rsidRDefault="0016042C" w:rsidP="004530C1">
      <w:pPr>
        <w:jc w:val="both"/>
        <w:rPr>
          <w:rFonts w:ascii="Arial" w:hAnsi="Arial" w:cs="Arial"/>
          <w:highlight w:val="magenta"/>
        </w:rPr>
      </w:pPr>
      <w:r>
        <w:rPr>
          <w:rFonts w:ascii="Arial" w:hAnsi="Arial" w:cs="Arial"/>
        </w:rPr>
        <w:t>Conversely though, areas such as car</w:t>
      </w:r>
      <w:r w:rsidR="001F2AE9">
        <w:rPr>
          <w:rFonts w:ascii="Arial" w:hAnsi="Arial" w:cs="Arial"/>
        </w:rPr>
        <w:t xml:space="preserve"> </w:t>
      </w:r>
      <w:r>
        <w:rPr>
          <w:rFonts w:ascii="Arial" w:hAnsi="Arial" w:cs="Arial"/>
        </w:rPr>
        <w:t xml:space="preserve">parking fees and charges remain particularly robust and generate over </w:t>
      </w:r>
      <w:r w:rsidR="00F55A9C" w:rsidRPr="00F55A9C">
        <w:rPr>
          <w:rFonts w:ascii="Arial" w:hAnsi="Arial" w:cs="Arial"/>
        </w:rPr>
        <w:t>52</w:t>
      </w:r>
      <w:r w:rsidRPr="00F55A9C">
        <w:rPr>
          <w:rFonts w:ascii="Arial" w:hAnsi="Arial" w:cs="Arial"/>
        </w:rPr>
        <w:t>%</w:t>
      </w:r>
      <w:r>
        <w:rPr>
          <w:rFonts w:ascii="Arial" w:hAnsi="Arial" w:cs="Arial"/>
        </w:rPr>
        <w:t xml:space="preserve"> of the Council’s overall fees and charges income.</w:t>
      </w:r>
    </w:p>
    <w:p w14:paraId="11CE9DD9" w14:textId="77777777" w:rsidR="00A71F04" w:rsidRPr="00A271DA" w:rsidRDefault="00A71F04" w:rsidP="004530C1">
      <w:pPr>
        <w:jc w:val="both"/>
        <w:rPr>
          <w:rFonts w:ascii="Arial" w:hAnsi="Arial" w:cs="Arial"/>
          <w:highlight w:val="magenta"/>
        </w:rPr>
      </w:pPr>
    </w:p>
    <w:p w14:paraId="7505813B" w14:textId="002FDAB6" w:rsidR="00A067CC" w:rsidRPr="00795524" w:rsidRDefault="00A067CC" w:rsidP="00A067CC">
      <w:pPr>
        <w:tabs>
          <w:tab w:val="left" w:pos="972"/>
        </w:tabs>
        <w:jc w:val="both"/>
        <w:rPr>
          <w:rFonts w:ascii="Arial" w:hAnsi="Arial" w:cs="Arial"/>
          <w:bCs/>
        </w:rPr>
      </w:pPr>
      <w:r w:rsidRPr="00795524">
        <w:rPr>
          <w:rFonts w:ascii="Arial" w:hAnsi="Arial" w:cs="Arial"/>
        </w:rPr>
        <w:t xml:space="preserve">As part of the normal, annual, budget cycle fees and charges income budgets are </w:t>
      </w:r>
      <w:r w:rsidR="00CC40EB" w:rsidRPr="00795524">
        <w:rPr>
          <w:rFonts w:ascii="Arial" w:hAnsi="Arial" w:cs="Arial"/>
        </w:rPr>
        <w:t xml:space="preserve">usually </w:t>
      </w:r>
      <w:r w:rsidRPr="00795524">
        <w:rPr>
          <w:rFonts w:ascii="Arial" w:hAnsi="Arial" w:cs="Arial"/>
        </w:rPr>
        <w:t>increased by 3% per annum for their total yield</w:t>
      </w:r>
      <w:r w:rsidR="00CC40EB" w:rsidRPr="00795524">
        <w:rPr>
          <w:rFonts w:ascii="Arial" w:hAnsi="Arial" w:cs="Arial"/>
        </w:rPr>
        <w:t>,</w:t>
      </w:r>
      <w:r w:rsidR="00D50C8C" w:rsidRPr="00795524">
        <w:rPr>
          <w:rFonts w:ascii="Arial" w:hAnsi="Arial" w:cs="Arial"/>
        </w:rPr>
        <w:t xml:space="preserve"> as such</w:t>
      </w:r>
      <w:r w:rsidR="00CC40EB" w:rsidRPr="00795524">
        <w:rPr>
          <w:rFonts w:ascii="Arial" w:hAnsi="Arial" w:cs="Arial"/>
        </w:rPr>
        <w:t xml:space="preserve"> </w:t>
      </w:r>
      <w:r w:rsidR="00D673DB" w:rsidRPr="00795524">
        <w:rPr>
          <w:rFonts w:ascii="Arial" w:hAnsi="Arial" w:cs="Arial"/>
        </w:rPr>
        <w:t xml:space="preserve">this is the </w:t>
      </w:r>
      <w:r w:rsidR="002D0118" w:rsidRPr="00795524">
        <w:rPr>
          <w:rFonts w:ascii="Arial" w:hAnsi="Arial" w:cs="Arial"/>
        </w:rPr>
        <w:t xml:space="preserve">base </w:t>
      </w:r>
      <w:r w:rsidR="00D50C8C" w:rsidRPr="00795524">
        <w:rPr>
          <w:rFonts w:ascii="Arial" w:hAnsi="Arial" w:cs="Arial"/>
        </w:rPr>
        <w:t>assumption for 202</w:t>
      </w:r>
      <w:r w:rsidR="006F4517">
        <w:rPr>
          <w:rFonts w:ascii="Arial" w:hAnsi="Arial" w:cs="Arial"/>
        </w:rPr>
        <w:t>6</w:t>
      </w:r>
      <w:r w:rsidR="00D50C8C" w:rsidRPr="00795524">
        <w:rPr>
          <w:rFonts w:ascii="Arial" w:hAnsi="Arial" w:cs="Arial"/>
        </w:rPr>
        <w:t>/2</w:t>
      </w:r>
      <w:r w:rsidR="006F4517">
        <w:rPr>
          <w:rFonts w:ascii="Arial" w:hAnsi="Arial" w:cs="Arial"/>
        </w:rPr>
        <w:t>7</w:t>
      </w:r>
      <w:r w:rsidR="00D50C8C" w:rsidRPr="00795524">
        <w:rPr>
          <w:rFonts w:ascii="Arial" w:hAnsi="Arial" w:cs="Arial"/>
        </w:rPr>
        <w:t>. H</w:t>
      </w:r>
      <w:r w:rsidR="0016300C" w:rsidRPr="00795524">
        <w:rPr>
          <w:rFonts w:ascii="Arial" w:hAnsi="Arial" w:cs="Arial"/>
        </w:rPr>
        <w:t>owever</w:t>
      </w:r>
      <w:r w:rsidR="00D50C8C" w:rsidRPr="00795524">
        <w:rPr>
          <w:rFonts w:ascii="Arial" w:hAnsi="Arial" w:cs="Arial"/>
        </w:rPr>
        <w:t>,</w:t>
      </w:r>
      <w:r w:rsidR="0016300C" w:rsidRPr="00795524">
        <w:rPr>
          <w:rFonts w:ascii="Arial" w:hAnsi="Arial" w:cs="Arial"/>
        </w:rPr>
        <w:t xml:space="preserve"> </w:t>
      </w:r>
      <w:r w:rsidR="00CC40EB" w:rsidRPr="00795524">
        <w:rPr>
          <w:rFonts w:ascii="Arial" w:hAnsi="Arial" w:cs="Arial"/>
        </w:rPr>
        <w:t xml:space="preserve">this </w:t>
      </w:r>
      <w:r w:rsidRPr="00795524">
        <w:rPr>
          <w:rFonts w:ascii="Arial" w:hAnsi="Arial" w:cs="Arial"/>
        </w:rPr>
        <w:t xml:space="preserve">increase of </w:t>
      </w:r>
      <w:r w:rsidR="0016300C" w:rsidRPr="00795524">
        <w:rPr>
          <w:rFonts w:ascii="Arial" w:hAnsi="Arial" w:cs="Arial"/>
        </w:rPr>
        <w:t>3</w:t>
      </w:r>
      <w:r w:rsidRPr="00795524">
        <w:rPr>
          <w:rFonts w:ascii="Arial" w:hAnsi="Arial" w:cs="Arial"/>
        </w:rPr>
        <w:t xml:space="preserve">% does not preclude individual fees and charges being increased by more or less than </w:t>
      </w:r>
      <w:r w:rsidR="00D50C8C" w:rsidRPr="00795524">
        <w:rPr>
          <w:rFonts w:ascii="Arial" w:hAnsi="Arial" w:cs="Arial"/>
        </w:rPr>
        <w:t>3</w:t>
      </w:r>
      <w:r w:rsidRPr="00795524">
        <w:rPr>
          <w:rFonts w:ascii="Arial" w:hAnsi="Arial" w:cs="Arial"/>
        </w:rPr>
        <w:t xml:space="preserve">%. </w:t>
      </w:r>
    </w:p>
    <w:p w14:paraId="6F3B97B6" w14:textId="77777777" w:rsidR="00A067CC" w:rsidRPr="00A271DA" w:rsidRDefault="00A067CC" w:rsidP="00A067CC">
      <w:pPr>
        <w:tabs>
          <w:tab w:val="left" w:pos="972"/>
        </w:tabs>
        <w:jc w:val="both"/>
        <w:rPr>
          <w:rFonts w:ascii="Arial" w:hAnsi="Arial" w:cs="Arial"/>
          <w:bCs/>
          <w:highlight w:val="magenta"/>
        </w:rPr>
      </w:pPr>
    </w:p>
    <w:p w14:paraId="23087648" w14:textId="144BE2B3" w:rsidR="00E1788D" w:rsidRPr="005C6861" w:rsidRDefault="00A067CC" w:rsidP="00081CEC">
      <w:pPr>
        <w:tabs>
          <w:tab w:val="left" w:pos="972"/>
        </w:tabs>
        <w:jc w:val="both"/>
        <w:rPr>
          <w:rFonts w:ascii="Arial" w:hAnsi="Arial" w:cs="Arial"/>
        </w:rPr>
      </w:pPr>
      <w:r w:rsidRPr="00D60DDE">
        <w:rPr>
          <w:rFonts w:ascii="Arial" w:hAnsi="Arial" w:cs="Arial"/>
        </w:rPr>
        <w:t>The MTFS assumes that the C</w:t>
      </w:r>
      <w:r w:rsidR="004530C1" w:rsidRPr="00D60DDE">
        <w:rPr>
          <w:rFonts w:ascii="Arial" w:hAnsi="Arial" w:cs="Arial"/>
        </w:rPr>
        <w:t>ouncil will raise £</w:t>
      </w:r>
      <w:r w:rsidR="00161527" w:rsidRPr="00D60DDE">
        <w:rPr>
          <w:rFonts w:ascii="Arial" w:hAnsi="Arial" w:cs="Arial"/>
        </w:rPr>
        <w:t>14</w:t>
      </w:r>
      <w:r w:rsidR="00B845AF">
        <w:rPr>
          <w:rFonts w:ascii="Arial" w:hAnsi="Arial" w:cs="Arial"/>
        </w:rPr>
        <w:t>.</w:t>
      </w:r>
      <w:r w:rsidR="00161527" w:rsidRPr="00D60DDE">
        <w:rPr>
          <w:rFonts w:ascii="Arial" w:hAnsi="Arial" w:cs="Arial"/>
        </w:rPr>
        <w:t>831m</w:t>
      </w:r>
      <w:r w:rsidR="004530C1" w:rsidRPr="00D60DDE">
        <w:rPr>
          <w:rFonts w:ascii="Arial" w:hAnsi="Arial" w:cs="Arial"/>
        </w:rPr>
        <w:t xml:space="preserve"> from fees and charges in 202</w:t>
      </w:r>
      <w:r w:rsidR="00161527" w:rsidRPr="00D60DDE">
        <w:rPr>
          <w:rFonts w:ascii="Arial" w:hAnsi="Arial" w:cs="Arial"/>
        </w:rPr>
        <w:t>6</w:t>
      </w:r>
      <w:r w:rsidR="00232FC1" w:rsidRPr="00D60DDE">
        <w:rPr>
          <w:rFonts w:ascii="Arial" w:hAnsi="Arial" w:cs="Arial"/>
        </w:rPr>
        <w:t>/2</w:t>
      </w:r>
      <w:r w:rsidR="00161527" w:rsidRPr="00D60DDE">
        <w:rPr>
          <w:rFonts w:ascii="Arial" w:hAnsi="Arial" w:cs="Arial"/>
        </w:rPr>
        <w:t>7</w:t>
      </w:r>
      <w:r w:rsidR="004530C1" w:rsidRPr="00D60DDE">
        <w:rPr>
          <w:rFonts w:ascii="Arial" w:hAnsi="Arial" w:cs="Arial"/>
        </w:rPr>
        <w:t>.</w:t>
      </w:r>
      <w:r w:rsidR="00081CEC" w:rsidRPr="00D60DDE">
        <w:rPr>
          <w:rFonts w:ascii="Arial" w:hAnsi="Arial" w:cs="Arial"/>
        </w:rPr>
        <w:t xml:space="preserve"> </w:t>
      </w:r>
      <w:r w:rsidR="00D60DDE" w:rsidRPr="00D60DDE">
        <w:rPr>
          <w:rFonts w:ascii="Arial" w:hAnsi="Arial" w:cs="Arial"/>
        </w:rPr>
        <w:t>The average overall increase in the non-statutory fees and charges is 3.1% (with a modal increase</w:t>
      </w:r>
      <w:r w:rsidR="00D60DDE" w:rsidRPr="00AA5C14">
        <w:rPr>
          <w:rFonts w:ascii="Arial" w:hAnsi="Arial" w:cs="Arial"/>
        </w:rPr>
        <w:t xml:space="preserve"> of 0%). </w:t>
      </w:r>
    </w:p>
    <w:p w14:paraId="726F2FEC" w14:textId="77777777" w:rsidR="002875ED" w:rsidRPr="002875ED" w:rsidRDefault="002875ED" w:rsidP="002875ED"/>
    <w:p w14:paraId="6241BAC9" w14:textId="77777777" w:rsidR="002875ED" w:rsidRDefault="002875ED" w:rsidP="002875ED">
      <w:pPr>
        <w:pStyle w:val="Heading7"/>
        <w:rPr>
          <w:color w:val="C45911"/>
          <w:sz w:val="28"/>
        </w:rPr>
      </w:pPr>
      <w:r>
        <w:rPr>
          <w:color w:val="C45911"/>
          <w:sz w:val="28"/>
        </w:rPr>
        <w:t>Releasing Resources</w:t>
      </w:r>
    </w:p>
    <w:p w14:paraId="0EA7AA8E" w14:textId="77777777" w:rsidR="002875ED" w:rsidRDefault="002875ED" w:rsidP="002875ED"/>
    <w:p w14:paraId="5146D4E3" w14:textId="77777777" w:rsidR="002875ED" w:rsidRDefault="002875ED" w:rsidP="002875ED">
      <w:pPr>
        <w:autoSpaceDE w:val="0"/>
        <w:autoSpaceDN w:val="0"/>
        <w:adjustRightInd w:val="0"/>
        <w:jc w:val="both"/>
        <w:rPr>
          <w:rFonts w:ascii="Arial" w:hAnsi="Arial" w:cs="Arial"/>
          <w:b/>
          <w:bCs/>
        </w:rPr>
      </w:pPr>
      <w:r>
        <w:rPr>
          <w:rFonts w:ascii="Arial" w:hAnsi="Arial" w:cs="Arial"/>
        </w:rPr>
        <w:t>While</w:t>
      </w:r>
      <w:r w:rsidRPr="00D4527E">
        <w:rPr>
          <w:rFonts w:ascii="Arial" w:hAnsi="Arial" w:cs="Arial"/>
        </w:rPr>
        <w:t xml:space="preserve"> there is no </w:t>
      </w:r>
      <w:r>
        <w:rPr>
          <w:rFonts w:ascii="Arial" w:hAnsi="Arial" w:cs="Arial"/>
        </w:rPr>
        <w:t xml:space="preserve">longer a </w:t>
      </w:r>
      <w:r w:rsidRPr="00D4527E">
        <w:rPr>
          <w:rFonts w:ascii="Arial" w:hAnsi="Arial" w:cs="Arial"/>
        </w:rPr>
        <w:t xml:space="preserve">specific savings target in the </w:t>
      </w:r>
      <w:r>
        <w:rPr>
          <w:rFonts w:ascii="Arial" w:hAnsi="Arial" w:cs="Arial"/>
        </w:rPr>
        <w:t>General Fund and limited capacity to resource any large-scale transformation, opportunities identified at a service level to release resources will be considered.  Pursing any such opportunities will not though come at the expense of utilising resources that could otherwise be focussed on delivery of Vision 2030 schemes, maintaining service delivery or undertaking LGR transitional activities.</w:t>
      </w:r>
    </w:p>
    <w:p w14:paraId="48321483" w14:textId="77777777" w:rsidR="002875ED" w:rsidRPr="002875ED" w:rsidRDefault="002875ED" w:rsidP="002875ED"/>
    <w:p w14:paraId="45D05C30" w14:textId="7B5930B2" w:rsidR="00384776" w:rsidRPr="005C6861" w:rsidRDefault="00384776">
      <w:pPr>
        <w:pStyle w:val="Heading8"/>
        <w:rPr>
          <w:color w:val="C45911"/>
          <w:sz w:val="28"/>
        </w:rPr>
      </w:pPr>
      <w:r w:rsidRPr="005C6861">
        <w:rPr>
          <w:color w:val="C45911"/>
          <w:sz w:val="28"/>
        </w:rPr>
        <w:t>Revenue Forecast</w:t>
      </w:r>
    </w:p>
    <w:p w14:paraId="656D77A6" w14:textId="77777777" w:rsidR="00384776" w:rsidRPr="005C6861" w:rsidRDefault="00384776">
      <w:pPr>
        <w:rPr>
          <w:rFonts w:ascii="Arial" w:hAnsi="Arial" w:cs="Arial"/>
          <w:b/>
          <w:bCs/>
        </w:rPr>
      </w:pPr>
    </w:p>
    <w:p w14:paraId="33940FD2" w14:textId="77777777" w:rsidR="00384776" w:rsidRPr="005C6861" w:rsidRDefault="00384776">
      <w:pPr>
        <w:jc w:val="both"/>
        <w:rPr>
          <w:rFonts w:ascii="Arial" w:hAnsi="Arial" w:cs="Arial"/>
        </w:rPr>
      </w:pPr>
      <w:r w:rsidRPr="007034DF">
        <w:rPr>
          <w:rFonts w:ascii="Arial" w:hAnsi="Arial" w:cs="Arial"/>
        </w:rPr>
        <w:t>Based on the preceding financial objectives, underlying principles, national and local priorities, savings targets, spending and resources assumptions, Appendi</w:t>
      </w:r>
      <w:r w:rsidR="002C79EF" w:rsidRPr="007034DF">
        <w:rPr>
          <w:rFonts w:ascii="Arial" w:hAnsi="Arial" w:cs="Arial"/>
        </w:rPr>
        <w:t>x 1</w:t>
      </w:r>
      <w:r w:rsidRPr="007034DF">
        <w:rPr>
          <w:rFonts w:ascii="Arial" w:hAnsi="Arial" w:cs="Arial"/>
        </w:rPr>
        <w:t xml:space="preserve"> provides a summary five-year</w:t>
      </w:r>
      <w:r w:rsidR="00413022" w:rsidRPr="007034DF">
        <w:rPr>
          <w:rFonts w:ascii="Arial" w:hAnsi="Arial" w:cs="Arial"/>
        </w:rPr>
        <w:t xml:space="preserve"> General Fund</w:t>
      </w:r>
      <w:r w:rsidRPr="007034DF">
        <w:rPr>
          <w:rFonts w:ascii="Arial" w:hAnsi="Arial" w:cs="Arial"/>
        </w:rPr>
        <w:t xml:space="preserve"> revenue budget for the Council.</w:t>
      </w:r>
      <w:r w:rsidRPr="005C6861">
        <w:rPr>
          <w:rFonts w:ascii="Arial" w:hAnsi="Arial" w:cs="Arial"/>
        </w:rPr>
        <w:t xml:space="preserve">  </w:t>
      </w:r>
    </w:p>
    <w:p w14:paraId="185AE048" w14:textId="77777777" w:rsidR="006231DB" w:rsidRDefault="006231DB">
      <w:pPr>
        <w:jc w:val="both"/>
        <w:rPr>
          <w:rFonts w:ascii="Arial" w:hAnsi="Arial" w:cs="Arial"/>
          <w:b/>
          <w:bCs/>
        </w:rPr>
      </w:pPr>
    </w:p>
    <w:p w14:paraId="0A829901" w14:textId="10A4F2A0" w:rsidR="00384776" w:rsidRPr="005C6861" w:rsidRDefault="00384776">
      <w:pPr>
        <w:pStyle w:val="Heading7"/>
        <w:rPr>
          <w:color w:val="C45911"/>
          <w:sz w:val="28"/>
        </w:rPr>
      </w:pPr>
      <w:r w:rsidRPr="005C6861">
        <w:rPr>
          <w:color w:val="C45911"/>
          <w:sz w:val="28"/>
        </w:rPr>
        <w:t>Risks to the Revenue Budget</w:t>
      </w:r>
    </w:p>
    <w:p w14:paraId="4F347582" w14:textId="77777777" w:rsidR="00940A49" w:rsidRPr="005C6861" w:rsidRDefault="00940A49" w:rsidP="00940A49">
      <w:pPr>
        <w:rPr>
          <w:rFonts w:ascii="Arial" w:hAnsi="Arial" w:cs="Arial"/>
        </w:rPr>
      </w:pPr>
    </w:p>
    <w:p w14:paraId="2A8CD445" w14:textId="77777777" w:rsidR="00940A49" w:rsidRPr="00AE61AE" w:rsidRDefault="00940A49" w:rsidP="00940A49">
      <w:pPr>
        <w:jc w:val="both"/>
        <w:rPr>
          <w:rFonts w:ascii="Arial" w:hAnsi="Arial" w:cs="Arial"/>
        </w:rPr>
      </w:pPr>
      <w:r w:rsidRPr="00AE61AE">
        <w:rPr>
          <w:rFonts w:ascii="Arial" w:hAnsi="Arial" w:cs="Arial"/>
        </w:rPr>
        <w:t xml:space="preserve">The Council has adopted a corporate approach to risk management, and financial risk management is integrated into the Council’s overall management and decision-making processes.  </w:t>
      </w:r>
    </w:p>
    <w:p w14:paraId="77B81EF3" w14:textId="77777777" w:rsidR="00940A49" w:rsidRPr="00AE61AE" w:rsidRDefault="00940A49" w:rsidP="00940A49">
      <w:pPr>
        <w:jc w:val="both"/>
        <w:rPr>
          <w:rFonts w:ascii="Arial" w:hAnsi="Arial" w:cs="Arial"/>
        </w:rPr>
      </w:pPr>
    </w:p>
    <w:p w14:paraId="6D883FD8" w14:textId="77777777" w:rsidR="00940A49" w:rsidRPr="00A54521" w:rsidRDefault="00940A49" w:rsidP="00940A49">
      <w:pPr>
        <w:pStyle w:val="BodyText"/>
        <w:jc w:val="both"/>
        <w:rPr>
          <w:b w:val="0"/>
        </w:rPr>
      </w:pPr>
      <w:r w:rsidRPr="00AE61AE">
        <w:rPr>
          <w:b w:val="0"/>
        </w:rPr>
        <w:t xml:space="preserve">A number of key high-level risks have been identified which could have a positive impact that could yield additional resources, but conversely some risks may have a negative impact </w:t>
      </w:r>
      <w:r w:rsidRPr="00A54521">
        <w:rPr>
          <w:b w:val="0"/>
        </w:rPr>
        <w:t>and result in a reduction of resources. These key risks are action planned and continually reviewed as the MTFS develops.  The main areas they cover are:</w:t>
      </w:r>
    </w:p>
    <w:p w14:paraId="1F062D25" w14:textId="77777777" w:rsidR="00940A49" w:rsidRPr="00A54521" w:rsidRDefault="00940A49" w:rsidP="00940A49">
      <w:pPr>
        <w:ind w:left="394"/>
        <w:jc w:val="both"/>
        <w:rPr>
          <w:rFonts w:ascii="Arial" w:hAnsi="Arial" w:cs="Arial"/>
        </w:rPr>
      </w:pPr>
    </w:p>
    <w:p w14:paraId="2A224B14" w14:textId="5C07C6D7" w:rsidR="005A21CF" w:rsidRDefault="00BD7B39" w:rsidP="00C4464A">
      <w:pPr>
        <w:numPr>
          <w:ilvl w:val="0"/>
          <w:numId w:val="1"/>
        </w:numPr>
        <w:ind w:left="748" w:hanging="357"/>
        <w:jc w:val="both"/>
        <w:rPr>
          <w:rFonts w:ascii="Arial" w:hAnsi="Arial" w:cs="Arial"/>
        </w:rPr>
      </w:pPr>
      <w:r>
        <w:rPr>
          <w:rFonts w:ascii="Arial" w:hAnsi="Arial" w:cs="Arial"/>
        </w:rPr>
        <w:t xml:space="preserve">Uncertainty around future local government structures </w:t>
      </w:r>
      <w:r w:rsidR="005A21CF">
        <w:rPr>
          <w:rFonts w:ascii="Arial" w:hAnsi="Arial" w:cs="Arial"/>
        </w:rPr>
        <w:t>due to pending LGR and the impact on the future of the City Council</w:t>
      </w:r>
    </w:p>
    <w:p w14:paraId="67BD11C9" w14:textId="69295269" w:rsidR="00C4464A" w:rsidRPr="00C4464A" w:rsidRDefault="00C4464A" w:rsidP="00C4464A">
      <w:pPr>
        <w:numPr>
          <w:ilvl w:val="0"/>
          <w:numId w:val="1"/>
        </w:numPr>
        <w:ind w:left="748" w:hanging="357"/>
        <w:jc w:val="both"/>
        <w:rPr>
          <w:rFonts w:ascii="Arial" w:hAnsi="Arial" w:cs="Arial"/>
        </w:rPr>
      </w:pPr>
      <w:r>
        <w:rPr>
          <w:rFonts w:ascii="Arial" w:hAnsi="Arial" w:cs="Arial"/>
        </w:rPr>
        <w:t xml:space="preserve">The </w:t>
      </w:r>
      <w:r w:rsidR="008B1783">
        <w:rPr>
          <w:rFonts w:ascii="Arial" w:hAnsi="Arial" w:cs="Arial"/>
        </w:rPr>
        <w:t>impact on resources (both financial and staffing) to support the transitional arrangements of moving to new unitary structures</w:t>
      </w:r>
      <w:r w:rsidR="00CD5617">
        <w:rPr>
          <w:rFonts w:ascii="Arial" w:hAnsi="Arial" w:cs="Arial"/>
        </w:rPr>
        <w:t>.</w:t>
      </w:r>
    </w:p>
    <w:p w14:paraId="6BF7764A" w14:textId="68E8B365" w:rsidR="00150DD7" w:rsidRPr="00BD7B39" w:rsidRDefault="005F1781" w:rsidP="00CF25BB">
      <w:pPr>
        <w:numPr>
          <w:ilvl w:val="0"/>
          <w:numId w:val="1"/>
        </w:numPr>
        <w:ind w:left="748" w:hanging="357"/>
        <w:jc w:val="both"/>
        <w:rPr>
          <w:rFonts w:ascii="Arial" w:hAnsi="Arial" w:cs="Arial"/>
        </w:rPr>
      </w:pPr>
      <w:r w:rsidRPr="00BD7B39">
        <w:rPr>
          <w:rFonts w:ascii="Arial" w:hAnsi="Arial" w:cs="Arial"/>
        </w:rPr>
        <w:t>Uncertainty around the impact of the</w:t>
      </w:r>
      <w:r w:rsidR="004736DB" w:rsidRPr="00BD7B39">
        <w:rPr>
          <w:rFonts w:ascii="Arial" w:hAnsi="Arial" w:cs="Arial"/>
        </w:rPr>
        <w:t xml:space="preserve"> </w:t>
      </w:r>
      <w:r w:rsidR="003E2030" w:rsidRPr="00BD7B39">
        <w:rPr>
          <w:rFonts w:ascii="Arial" w:hAnsi="Arial" w:cs="Arial"/>
        </w:rPr>
        <w:t>Business Rates Reset</w:t>
      </w:r>
      <w:r w:rsidRPr="00BD7B39">
        <w:rPr>
          <w:rFonts w:ascii="Arial" w:hAnsi="Arial" w:cs="Arial"/>
        </w:rPr>
        <w:t xml:space="preserve"> and Revaluation 2026 and </w:t>
      </w:r>
      <w:r w:rsidR="008D1B1A" w:rsidRPr="00BD7B39">
        <w:rPr>
          <w:rFonts w:ascii="Arial" w:hAnsi="Arial" w:cs="Arial"/>
        </w:rPr>
        <w:t>the Council’s performance against it’s new Business Rates Baseline</w:t>
      </w:r>
      <w:r w:rsidR="00D21E83" w:rsidRPr="00BD7B39">
        <w:rPr>
          <w:rFonts w:ascii="Arial" w:hAnsi="Arial" w:cs="Arial"/>
        </w:rPr>
        <w:t xml:space="preserve">, </w:t>
      </w:r>
      <w:r w:rsidR="008C4269" w:rsidRPr="00BD7B39">
        <w:rPr>
          <w:rFonts w:ascii="Arial" w:hAnsi="Arial" w:cs="Arial"/>
        </w:rPr>
        <w:t xml:space="preserve">though mitigated </w:t>
      </w:r>
      <w:r w:rsidR="002F12B7" w:rsidRPr="00BD7B39">
        <w:rPr>
          <w:rFonts w:ascii="Arial" w:hAnsi="Arial" w:cs="Arial"/>
        </w:rPr>
        <w:t xml:space="preserve">next year </w:t>
      </w:r>
      <w:r w:rsidR="008C4269" w:rsidRPr="00BD7B39">
        <w:rPr>
          <w:rFonts w:ascii="Arial" w:hAnsi="Arial" w:cs="Arial"/>
        </w:rPr>
        <w:t xml:space="preserve">by the </w:t>
      </w:r>
      <w:r w:rsidR="002F12B7" w:rsidRPr="00BD7B39">
        <w:rPr>
          <w:rFonts w:ascii="Arial" w:hAnsi="Arial" w:cs="Arial"/>
        </w:rPr>
        <w:t xml:space="preserve">Governments </w:t>
      </w:r>
      <w:r w:rsidR="004E56E8" w:rsidRPr="00BD7B39">
        <w:rPr>
          <w:rFonts w:ascii="Arial" w:hAnsi="Arial" w:cs="Arial"/>
        </w:rPr>
        <w:t xml:space="preserve">provision of </w:t>
      </w:r>
      <w:r w:rsidR="002F12B7" w:rsidRPr="00BD7B39">
        <w:rPr>
          <w:rFonts w:ascii="Arial" w:hAnsi="Arial" w:cs="Arial"/>
        </w:rPr>
        <w:t>100% Safety net in 2026/27.</w:t>
      </w:r>
      <w:r w:rsidR="002C3FD4" w:rsidRPr="00BD7B39">
        <w:rPr>
          <w:rFonts w:ascii="Arial" w:hAnsi="Arial" w:cs="Arial"/>
        </w:rPr>
        <w:t xml:space="preserve"> </w:t>
      </w:r>
    </w:p>
    <w:p w14:paraId="0358A863" w14:textId="3D0EFB3F" w:rsidR="00206463" w:rsidRDefault="00CD5617" w:rsidP="00D5019B">
      <w:pPr>
        <w:numPr>
          <w:ilvl w:val="0"/>
          <w:numId w:val="1"/>
        </w:numPr>
        <w:ind w:left="748" w:hanging="357"/>
        <w:jc w:val="both"/>
        <w:rPr>
          <w:rFonts w:ascii="Arial" w:hAnsi="Arial" w:cs="Arial"/>
        </w:rPr>
      </w:pPr>
      <w:r>
        <w:rPr>
          <w:rFonts w:ascii="Arial" w:hAnsi="Arial" w:cs="Arial"/>
        </w:rPr>
        <w:t>Uncertainty around f</w:t>
      </w:r>
      <w:r w:rsidR="003363F5" w:rsidRPr="00BD7B39">
        <w:rPr>
          <w:rFonts w:ascii="Arial" w:hAnsi="Arial" w:cs="Arial"/>
        </w:rPr>
        <w:t xml:space="preserve">uture levels of Central Government funding </w:t>
      </w:r>
      <w:r w:rsidR="00B138A2" w:rsidRPr="00BD7B39">
        <w:rPr>
          <w:rFonts w:ascii="Arial" w:hAnsi="Arial" w:cs="Arial"/>
        </w:rPr>
        <w:t>beyond the new 3-year settlement</w:t>
      </w:r>
      <w:r w:rsidR="00700351" w:rsidRPr="00BD7B39">
        <w:rPr>
          <w:rFonts w:ascii="Arial" w:hAnsi="Arial" w:cs="Arial"/>
        </w:rPr>
        <w:t>, particularly in light of SR25 and the</w:t>
      </w:r>
      <w:r w:rsidR="00422039" w:rsidRPr="00BD7B39">
        <w:rPr>
          <w:rFonts w:ascii="Arial" w:hAnsi="Arial" w:cs="Arial"/>
        </w:rPr>
        <w:t xml:space="preserve"> tighter trajectory </w:t>
      </w:r>
      <w:r w:rsidR="008B716C" w:rsidRPr="00BD7B39">
        <w:rPr>
          <w:rFonts w:ascii="Arial" w:hAnsi="Arial" w:cs="Arial"/>
        </w:rPr>
        <w:t>for public spending beyond 2028/29</w:t>
      </w:r>
      <w:r w:rsidR="008D1B1A" w:rsidRPr="00BD7B39">
        <w:rPr>
          <w:rFonts w:ascii="Arial" w:hAnsi="Arial" w:cs="Arial"/>
        </w:rPr>
        <w:t>.</w:t>
      </w:r>
    </w:p>
    <w:p w14:paraId="1EEA17BB" w14:textId="20E3F799" w:rsidR="00322BC3" w:rsidRPr="00BD7B39" w:rsidRDefault="00322BC3" w:rsidP="00D5019B">
      <w:pPr>
        <w:numPr>
          <w:ilvl w:val="0"/>
          <w:numId w:val="1"/>
        </w:numPr>
        <w:ind w:left="748" w:hanging="357"/>
        <w:jc w:val="both"/>
        <w:rPr>
          <w:rFonts w:ascii="Arial" w:hAnsi="Arial" w:cs="Arial"/>
        </w:rPr>
      </w:pPr>
      <w:r>
        <w:rPr>
          <w:rFonts w:ascii="Arial" w:hAnsi="Arial" w:cs="Arial"/>
        </w:rPr>
        <w:t>Uncertainty around future levels of EPR funding and any additional requirements placed on local authorities for utilisation of the funding.</w:t>
      </w:r>
    </w:p>
    <w:p w14:paraId="3E4CBE5F" w14:textId="4DE73DF7" w:rsidR="00FE5EFA" w:rsidRPr="00BD7B39" w:rsidRDefault="00FE5EFA" w:rsidP="00FE5EFA">
      <w:pPr>
        <w:pStyle w:val="ListParagraph"/>
        <w:numPr>
          <w:ilvl w:val="0"/>
          <w:numId w:val="1"/>
        </w:numPr>
        <w:spacing w:after="0" w:line="240" w:lineRule="auto"/>
        <w:jc w:val="both"/>
        <w:rPr>
          <w:rFonts w:ascii="Arial" w:hAnsi="Arial" w:cs="Arial"/>
          <w:sz w:val="24"/>
          <w:szCs w:val="24"/>
        </w:rPr>
      </w:pPr>
      <w:r w:rsidRPr="00BD7B39">
        <w:rPr>
          <w:rFonts w:ascii="Arial" w:hAnsi="Arial" w:cs="Arial"/>
          <w:sz w:val="24"/>
          <w:szCs w:val="24"/>
        </w:rPr>
        <w:t xml:space="preserve">In light of the recent </w:t>
      </w:r>
      <w:r w:rsidR="00C5467C">
        <w:rPr>
          <w:rFonts w:ascii="Arial" w:hAnsi="Arial" w:cs="Arial"/>
          <w:sz w:val="24"/>
          <w:szCs w:val="24"/>
        </w:rPr>
        <w:t>SR25</w:t>
      </w:r>
      <w:r w:rsidRPr="00BD7B39">
        <w:rPr>
          <w:rFonts w:ascii="Arial" w:hAnsi="Arial" w:cs="Arial"/>
          <w:sz w:val="24"/>
          <w:szCs w:val="24"/>
        </w:rPr>
        <w:t xml:space="preserve"> </w:t>
      </w:r>
      <w:r w:rsidR="00C5467C">
        <w:rPr>
          <w:rFonts w:ascii="Arial" w:hAnsi="Arial" w:cs="Arial"/>
          <w:sz w:val="24"/>
          <w:szCs w:val="24"/>
        </w:rPr>
        <w:t>and tight funding envelope for a</w:t>
      </w:r>
      <w:r w:rsidRPr="00BD7B39">
        <w:rPr>
          <w:rFonts w:ascii="Arial" w:hAnsi="Arial" w:cs="Arial"/>
          <w:sz w:val="24"/>
          <w:szCs w:val="24"/>
        </w:rPr>
        <w:t xml:space="preserve"> number of Central Government departments, </w:t>
      </w:r>
      <w:r w:rsidR="00991D25" w:rsidRPr="00BD7B39">
        <w:rPr>
          <w:rFonts w:ascii="Arial" w:hAnsi="Arial" w:cs="Arial"/>
          <w:sz w:val="24"/>
          <w:szCs w:val="24"/>
        </w:rPr>
        <w:t xml:space="preserve">potential impacts of </w:t>
      </w:r>
      <w:r w:rsidRPr="00BD7B39">
        <w:rPr>
          <w:rFonts w:ascii="Arial" w:hAnsi="Arial" w:cs="Arial"/>
          <w:sz w:val="24"/>
          <w:szCs w:val="24"/>
        </w:rPr>
        <w:t xml:space="preserve">national policy direction, spending priorities and service reform in key areas including benefits reform. </w:t>
      </w:r>
    </w:p>
    <w:p w14:paraId="78D2F190" w14:textId="7D8249A3" w:rsidR="00DC7CAC" w:rsidRPr="00BD7B39" w:rsidRDefault="00DC7CAC" w:rsidP="00DC7CAC">
      <w:pPr>
        <w:pStyle w:val="Footer"/>
        <w:numPr>
          <w:ilvl w:val="0"/>
          <w:numId w:val="1"/>
        </w:numPr>
        <w:tabs>
          <w:tab w:val="clear" w:pos="4153"/>
          <w:tab w:val="clear" w:pos="8306"/>
          <w:tab w:val="left" w:pos="0"/>
        </w:tabs>
        <w:jc w:val="both"/>
        <w:rPr>
          <w:rFonts w:ascii="Arial" w:hAnsi="Arial" w:cs="Arial"/>
        </w:rPr>
      </w:pPr>
      <w:r w:rsidRPr="00BD7B39">
        <w:rPr>
          <w:rFonts w:ascii="Arial" w:hAnsi="Arial" w:cs="Arial"/>
        </w:rPr>
        <w:t>The impact of the Government’s fiscal policy on businesses within the City and the local economy</w:t>
      </w:r>
      <w:r w:rsidR="0082468B" w:rsidRPr="00BD7B39">
        <w:rPr>
          <w:rFonts w:ascii="Arial" w:hAnsi="Arial" w:cs="Arial"/>
        </w:rPr>
        <w:t xml:space="preserve">, causing </w:t>
      </w:r>
      <w:r w:rsidR="001F6598" w:rsidRPr="00BD7B39">
        <w:rPr>
          <w:rFonts w:ascii="Arial" w:hAnsi="Arial" w:cs="Arial"/>
        </w:rPr>
        <w:t>f</w:t>
      </w:r>
      <w:r w:rsidR="0082468B" w:rsidRPr="00BD7B39">
        <w:rPr>
          <w:rFonts w:ascii="Arial" w:hAnsi="Arial" w:cs="Arial"/>
        </w:rPr>
        <w:t>luctuations in the Business Rates Tax base</w:t>
      </w:r>
    </w:p>
    <w:p w14:paraId="74B60E7E" w14:textId="77777777" w:rsidR="00081A82" w:rsidRDefault="00081A82" w:rsidP="00081A82">
      <w:pPr>
        <w:pStyle w:val="ListParagraph"/>
        <w:numPr>
          <w:ilvl w:val="0"/>
          <w:numId w:val="1"/>
        </w:numPr>
        <w:spacing w:after="0" w:line="240" w:lineRule="auto"/>
        <w:jc w:val="both"/>
        <w:rPr>
          <w:rFonts w:ascii="Arial" w:hAnsi="Arial" w:cs="Arial"/>
          <w:sz w:val="24"/>
          <w:szCs w:val="24"/>
        </w:rPr>
      </w:pPr>
      <w:r w:rsidRPr="00BD7B39">
        <w:rPr>
          <w:rFonts w:ascii="Arial" w:hAnsi="Arial" w:cs="Arial"/>
          <w:sz w:val="24"/>
          <w:szCs w:val="24"/>
        </w:rPr>
        <w:t>The impact of the Government’s fiscal policy on the broader economic environment, such as the impacts of movement in inflation, housing growth, and interest rates on the Council’s day to-day costs, income and treasury management activities.</w:t>
      </w:r>
    </w:p>
    <w:p w14:paraId="6B69D018" w14:textId="169F9103" w:rsidR="001F322F" w:rsidRPr="00812155" w:rsidRDefault="001F322F" w:rsidP="00812155">
      <w:pPr>
        <w:pStyle w:val="Footer"/>
        <w:numPr>
          <w:ilvl w:val="0"/>
          <w:numId w:val="1"/>
        </w:numPr>
        <w:tabs>
          <w:tab w:val="clear" w:pos="4153"/>
          <w:tab w:val="clear" w:pos="8306"/>
          <w:tab w:val="left" w:pos="0"/>
        </w:tabs>
        <w:jc w:val="both"/>
        <w:rPr>
          <w:rFonts w:ascii="Arial" w:hAnsi="Arial" w:cs="Arial"/>
        </w:rPr>
      </w:pPr>
      <w:r w:rsidRPr="00D97EEB">
        <w:rPr>
          <w:rFonts w:ascii="Arial" w:hAnsi="Arial" w:cs="Arial"/>
        </w:rPr>
        <w:t xml:space="preserve">The impact of the cost-of-living pressures on </w:t>
      </w:r>
      <w:r w:rsidR="00812155">
        <w:rPr>
          <w:rFonts w:ascii="Arial" w:hAnsi="Arial" w:cs="Arial"/>
        </w:rPr>
        <w:t xml:space="preserve">Council Tax </w:t>
      </w:r>
      <w:r w:rsidRPr="00D97EEB">
        <w:rPr>
          <w:rFonts w:ascii="Arial" w:hAnsi="Arial" w:cs="Arial"/>
        </w:rPr>
        <w:t>income as household incomes continue to be squeezed.</w:t>
      </w:r>
    </w:p>
    <w:p w14:paraId="6ADC9448" w14:textId="77777777" w:rsidR="00BD7B39" w:rsidRPr="00BD7B39" w:rsidRDefault="00BD7B39" w:rsidP="00BD7B39">
      <w:pPr>
        <w:numPr>
          <w:ilvl w:val="0"/>
          <w:numId w:val="1"/>
        </w:numPr>
        <w:ind w:left="748" w:hanging="357"/>
        <w:jc w:val="both"/>
        <w:rPr>
          <w:rFonts w:ascii="Arial" w:hAnsi="Arial" w:cs="Arial"/>
        </w:rPr>
      </w:pPr>
      <w:r w:rsidRPr="00BD7B39">
        <w:rPr>
          <w:rFonts w:ascii="Arial" w:hAnsi="Arial" w:cs="Arial"/>
        </w:rPr>
        <w:t>Fluctuations in fees and charges income and commercial income, particularly due to current economic conditions</w:t>
      </w:r>
    </w:p>
    <w:p w14:paraId="1F698A52" w14:textId="0E9FD9B8" w:rsidR="000323A5" w:rsidRDefault="00191F4B" w:rsidP="00D5019B">
      <w:pPr>
        <w:numPr>
          <w:ilvl w:val="0"/>
          <w:numId w:val="1"/>
        </w:numPr>
        <w:ind w:left="748" w:hanging="357"/>
        <w:jc w:val="both"/>
        <w:rPr>
          <w:rFonts w:ascii="Arial" w:hAnsi="Arial" w:cs="Arial"/>
        </w:rPr>
      </w:pPr>
      <w:r w:rsidRPr="00BD7B39">
        <w:rPr>
          <w:rFonts w:ascii="Arial" w:hAnsi="Arial" w:cs="Arial"/>
        </w:rPr>
        <w:t>Impact of</w:t>
      </w:r>
      <w:r w:rsidR="00940A49" w:rsidRPr="00BD7B39">
        <w:rPr>
          <w:rFonts w:ascii="Arial" w:hAnsi="Arial" w:cs="Arial"/>
        </w:rPr>
        <w:t xml:space="preserve"> economic climate on demand for services</w:t>
      </w:r>
      <w:r w:rsidR="00824391" w:rsidRPr="00BD7B39">
        <w:rPr>
          <w:rFonts w:ascii="Arial" w:hAnsi="Arial" w:cs="Arial"/>
        </w:rPr>
        <w:t>,</w:t>
      </w:r>
      <w:r w:rsidR="00015AE0" w:rsidRPr="00BD7B39">
        <w:rPr>
          <w:rFonts w:ascii="Arial" w:hAnsi="Arial" w:cs="Arial"/>
        </w:rPr>
        <w:t xml:space="preserve"> particularly from those most vulnerable in the City</w:t>
      </w:r>
      <w:r w:rsidR="00824391" w:rsidRPr="00BD7B39">
        <w:rPr>
          <w:rFonts w:ascii="Arial" w:hAnsi="Arial" w:cs="Arial"/>
        </w:rPr>
        <w:t xml:space="preserve"> </w:t>
      </w:r>
      <w:r w:rsidR="00BF1E75" w:rsidRPr="00BD7B39">
        <w:rPr>
          <w:rFonts w:ascii="Arial" w:hAnsi="Arial" w:cs="Arial"/>
        </w:rPr>
        <w:t>e.g</w:t>
      </w:r>
      <w:r w:rsidR="003A0CF1" w:rsidRPr="00BD7B39">
        <w:rPr>
          <w:rFonts w:ascii="Arial" w:hAnsi="Arial" w:cs="Arial"/>
        </w:rPr>
        <w:t>.</w:t>
      </w:r>
      <w:r w:rsidR="00BF1E75" w:rsidRPr="00BD7B39">
        <w:rPr>
          <w:rFonts w:ascii="Arial" w:hAnsi="Arial" w:cs="Arial"/>
        </w:rPr>
        <w:t xml:space="preserve"> </w:t>
      </w:r>
      <w:r w:rsidR="00824391" w:rsidRPr="00BD7B39">
        <w:rPr>
          <w:rFonts w:ascii="Arial" w:hAnsi="Arial" w:cs="Arial"/>
        </w:rPr>
        <w:t>temporary and supported accommodation</w:t>
      </w:r>
      <w:r w:rsidR="00C318B5">
        <w:rPr>
          <w:rFonts w:ascii="Arial" w:hAnsi="Arial" w:cs="Arial"/>
        </w:rPr>
        <w:t>.</w:t>
      </w:r>
    </w:p>
    <w:p w14:paraId="57E65532" w14:textId="5EC30EF4" w:rsidR="00C318B5" w:rsidRPr="00BD7B39" w:rsidRDefault="00C318B5" w:rsidP="00D5019B">
      <w:pPr>
        <w:numPr>
          <w:ilvl w:val="0"/>
          <w:numId w:val="1"/>
        </w:numPr>
        <w:ind w:left="748" w:hanging="357"/>
        <w:jc w:val="both"/>
        <w:rPr>
          <w:rFonts w:ascii="Arial" w:hAnsi="Arial" w:cs="Arial"/>
        </w:rPr>
      </w:pPr>
      <w:r>
        <w:rPr>
          <w:rFonts w:ascii="Arial" w:hAnsi="Arial" w:cs="Arial"/>
        </w:rPr>
        <w:t>The potential for future new statutory and regulatory requirements, not fully funded through the New Burdens doctrine.</w:t>
      </w:r>
    </w:p>
    <w:p w14:paraId="2EEC3FEF" w14:textId="6D98FB43" w:rsidR="00940A49" w:rsidRPr="00BD7B39" w:rsidRDefault="00940A49" w:rsidP="00CF25BB">
      <w:pPr>
        <w:numPr>
          <w:ilvl w:val="0"/>
          <w:numId w:val="1"/>
        </w:numPr>
        <w:jc w:val="both"/>
        <w:rPr>
          <w:rFonts w:ascii="Arial" w:hAnsi="Arial" w:cs="Arial"/>
        </w:rPr>
      </w:pPr>
      <w:r w:rsidRPr="00BD7B39">
        <w:rPr>
          <w:rFonts w:ascii="Arial" w:hAnsi="Arial" w:cs="Arial"/>
        </w:rPr>
        <w:t>Changes to other key assumptions within the MTFS</w:t>
      </w:r>
      <w:r w:rsidR="00CC6C6F" w:rsidRPr="00BD7B39">
        <w:rPr>
          <w:rFonts w:ascii="Arial" w:hAnsi="Arial" w:cs="Arial"/>
        </w:rPr>
        <w:t>.</w:t>
      </w:r>
    </w:p>
    <w:p w14:paraId="385D8CFD" w14:textId="20EC3A12" w:rsidR="00940A49" w:rsidRPr="00BD7B39" w:rsidRDefault="00940A49" w:rsidP="00CF25BB">
      <w:pPr>
        <w:numPr>
          <w:ilvl w:val="0"/>
          <w:numId w:val="1"/>
        </w:numPr>
        <w:jc w:val="both"/>
        <w:rPr>
          <w:rFonts w:ascii="Arial" w:hAnsi="Arial" w:cs="Arial"/>
        </w:rPr>
      </w:pPr>
      <w:r w:rsidRPr="00BD7B39">
        <w:rPr>
          <w:rFonts w:ascii="Arial" w:hAnsi="Arial" w:cs="Arial"/>
        </w:rPr>
        <w:t>Financial and budget management issues</w:t>
      </w:r>
      <w:r w:rsidR="00CC6C6F" w:rsidRPr="00BD7B39">
        <w:rPr>
          <w:rFonts w:ascii="Arial" w:hAnsi="Arial" w:cs="Arial"/>
        </w:rPr>
        <w:t>.</w:t>
      </w:r>
    </w:p>
    <w:p w14:paraId="77F6A597" w14:textId="77777777" w:rsidR="00BE0BBE" w:rsidRPr="00E15DE8" w:rsidRDefault="00BE0BBE" w:rsidP="00940A49">
      <w:pPr>
        <w:jc w:val="both"/>
        <w:rPr>
          <w:rFonts w:ascii="Arial" w:hAnsi="Arial" w:cs="Arial"/>
        </w:rPr>
      </w:pPr>
    </w:p>
    <w:p w14:paraId="4C3B9056" w14:textId="3073BD87" w:rsidR="00940A49" w:rsidRDefault="00940A49" w:rsidP="00940A49">
      <w:pPr>
        <w:jc w:val="both"/>
        <w:rPr>
          <w:rFonts w:ascii="Arial" w:hAnsi="Arial" w:cs="Arial"/>
        </w:rPr>
      </w:pPr>
      <w:r w:rsidRPr="00E15DE8">
        <w:rPr>
          <w:rFonts w:ascii="Arial" w:hAnsi="Arial" w:cs="Arial"/>
        </w:rPr>
        <w:t xml:space="preserve">Appendix </w:t>
      </w:r>
      <w:r w:rsidR="00F926A5">
        <w:rPr>
          <w:rFonts w:ascii="Arial" w:hAnsi="Arial" w:cs="Arial"/>
        </w:rPr>
        <w:t>6</w:t>
      </w:r>
      <w:r w:rsidRPr="00E15DE8">
        <w:rPr>
          <w:rFonts w:ascii="Arial" w:hAnsi="Arial" w:cs="Arial"/>
        </w:rPr>
        <w:t xml:space="preserve"> details the risk action plans for the internal and external risks. Officers will continually monitor and appraise these risks as part of the on-going budget monitoring and reporting to Members.</w:t>
      </w:r>
    </w:p>
    <w:p w14:paraId="074CCA2B" w14:textId="77777777" w:rsidR="00744321" w:rsidRPr="007034DF" w:rsidRDefault="009614EA" w:rsidP="00744321">
      <w:pPr>
        <w:jc w:val="both"/>
        <w:rPr>
          <w:rFonts w:ascii="Arial" w:hAnsi="Arial" w:cs="Arial"/>
          <w:color w:val="C45911"/>
          <w:sz w:val="32"/>
          <w:szCs w:val="32"/>
        </w:rPr>
      </w:pPr>
      <w:r w:rsidRPr="005C6861">
        <w:rPr>
          <w:rFonts w:ascii="Arial" w:hAnsi="Arial" w:cs="Arial"/>
        </w:rPr>
        <w:br w:type="page"/>
      </w:r>
      <w:r w:rsidR="00744321" w:rsidRPr="007034DF">
        <w:rPr>
          <w:rFonts w:ascii="Arial" w:hAnsi="Arial" w:cs="Arial"/>
          <w:b/>
          <w:bCs/>
          <w:color w:val="C45911"/>
          <w:sz w:val="32"/>
          <w:szCs w:val="32"/>
        </w:rPr>
        <w:t>Section 4 – General Investment Programme</w:t>
      </w:r>
    </w:p>
    <w:p w14:paraId="27F4993B" w14:textId="77777777" w:rsidR="000A6277" w:rsidRPr="00B81973" w:rsidRDefault="000A6277" w:rsidP="000A6277">
      <w:pPr>
        <w:jc w:val="both"/>
        <w:rPr>
          <w:rFonts w:ascii="Arial" w:hAnsi="Arial" w:cs="Arial"/>
          <w:b/>
          <w:bCs/>
          <w:color w:val="0000FF"/>
          <w:sz w:val="28"/>
        </w:rPr>
      </w:pPr>
    </w:p>
    <w:p w14:paraId="6DA73C74" w14:textId="77777777" w:rsidR="00744321" w:rsidRPr="00B81973" w:rsidRDefault="00744321" w:rsidP="00744321">
      <w:pPr>
        <w:jc w:val="both"/>
        <w:rPr>
          <w:rFonts w:ascii="Arial" w:hAnsi="Arial" w:cs="Arial"/>
          <w:bCs/>
        </w:rPr>
      </w:pPr>
      <w:r w:rsidRPr="005C7678">
        <w:rPr>
          <w:rFonts w:ascii="Arial" w:hAnsi="Arial" w:cs="Arial"/>
        </w:rPr>
        <w:t>The Council’s approach to determining and funding its investment programmes is set out in its Capital Strategy, which explains the Council’s financial framework for capital investment in support of its strategic priorities. The General Fund Investment Programme (GIP) covers all aspects of capital expenditure within the Council, with the exception of the Council’s housing stock, and includes external capital investment that assists in achievement of the Council’s Strategic Priorities.</w:t>
      </w:r>
    </w:p>
    <w:p w14:paraId="43C72E0B" w14:textId="77777777" w:rsidR="0095009A" w:rsidRPr="00CA3023" w:rsidRDefault="0095009A" w:rsidP="00744321">
      <w:pPr>
        <w:jc w:val="both"/>
        <w:rPr>
          <w:rFonts w:ascii="Arial" w:hAnsi="Arial" w:cs="Arial"/>
        </w:rPr>
      </w:pPr>
    </w:p>
    <w:p w14:paraId="4B3E383C" w14:textId="77777777" w:rsidR="0095009A" w:rsidRPr="00B81973" w:rsidRDefault="0095009A" w:rsidP="0095009A">
      <w:pPr>
        <w:pStyle w:val="Heading8"/>
        <w:autoSpaceDE w:val="0"/>
        <w:autoSpaceDN w:val="0"/>
        <w:adjustRightInd w:val="0"/>
        <w:rPr>
          <w:color w:val="C45911"/>
        </w:rPr>
      </w:pPr>
      <w:r w:rsidRPr="00B81973">
        <w:rPr>
          <w:color w:val="C45911"/>
          <w:sz w:val="28"/>
        </w:rPr>
        <w:t>Capital Spending Plans</w:t>
      </w:r>
      <w:r w:rsidRPr="00B81973">
        <w:rPr>
          <w:color w:val="C45911"/>
        </w:rPr>
        <w:t xml:space="preserve"> </w:t>
      </w:r>
    </w:p>
    <w:p w14:paraId="2D002047" w14:textId="77777777" w:rsidR="0095009A" w:rsidRPr="00675CDF" w:rsidRDefault="0095009A" w:rsidP="0095009A">
      <w:pPr>
        <w:rPr>
          <w:rFonts w:ascii="Arial" w:hAnsi="Arial" w:cs="Arial"/>
        </w:rPr>
      </w:pPr>
    </w:p>
    <w:p w14:paraId="78E30C65" w14:textId="54A405F3" w:rsidR="0095009A" w:rsidRPr="005C7678" w:rsidRDefault="0095009A" w:rsidP="0095009A">
      <w:pPr>
        <w:autoSpaceDE w:val="0"/>
        <w:autoSpaceDN w:val="0"/>
        <w:adjustRightInd w:val="0"/>
        <w:jc w:val="both"/>
        <w:rPr>
          <w:rFonts w:ascii="Arial" w:hAnsi="Arial" w:cs="Arial"/>
          <w:lang w:eastAsia="en-GB"/>
        </w:rPr>
      </w:pPr>
      <w:r w:rsidRPr="005C7678">
        <w:rPr>
          <w:rFonts w:ascii="Arial" w:hAnsi="Arial" w:cs="Arial"/>
        </w:rPr>
        <w:t>The capital spending plans for the next five years include the delivery of schemes</w:t>
      </w:r>
      <w:r w:rsidR="00615675" w:rsidRPr="005C7678">
        <w:rPr>
          <w:rFonts w:ascii="Arial" w:hAnsi="Arial" w:cs="Arial"/>
        </w:rPr>
        <w:t xml:space="preserve"> </w:t>
      </w:r>
      <w:r w:rsidR="002413C6" w:rsidRPr="005C7678">
        <w:rPr>
          <w:rFonts w:ascii="Arial" w:hAnsi="Arial" w:cs="Arial"/>
        </w:rPr>
        <w:t>from</w:t>
      </w:r>
      <w:r w:rsidRPr="005C7678">
        <w:rPr>
          <w:rFonts w:ascii="Arial" w:hAnsi="Arial" w:cs="Arial"/>
        </w:rPr>
        <w:t xml:space="preserve"> Vision 20</w:t>
      </w:r>
      <w:r w:rsidR="003772FA">
        <w:rPr>
          <w:rFonts w:ascii="Arial" w:hAnsi="Arial" w:cs="Arial"/>
        </w:rPr>
        <w:t>30</w:t>
      </w:r>
      <w:r w:rsidR="00E4076B">
        <w:rPr>
          <w:rFonts w:ascii="Arial" w:hAnsi="Arial" w:cs="Arial"/>
        </w:rPr>
        <w:t xml:space="preserve"> </w:t>
      </w:r>
      <w:r w:rsidR="002413C6" w:rsidRPr="005C7678">
        <w:rPr>
          <w:rFonts w:ascii="Arial" w:hAnsi="Arial" w:cs="Arial"/>
        </w:rPr>
        <w:t xml:space="preserve">and </w:t>
      </w:r>
      <w:r w:rsidR="001454B6" w:rsidRPr="005C7678">
        <w:rPr>
          <w:rFonts w:ascii="Arial" w:hAnsi="Arial" w:cs="Arial"/>
        </w:rPr>
        <w:t>essential</w:t>
      </w:r>
      <w:r w:rsidR="002413C6" w:rsidRPr="005C7678">
        <w:rPr>
          <w:rFonts w:ascii="Arial" w:hAnsi="Arial" w:cs="Arial"/>
        </w:rPr>
        <w:t xml:space="preserve"> investment in existing assets to either maintain service delivery or existing income streams.  </w:t>
      </w:r>
    </w:p>
    <w:p w14:paraId="395F7F45" w14:textId="77777777" w:rsidR="002413C6" w:rsidRPr="005C7678" w:rsidRDefault="002413C6" w:rsidP="0095009A">
      <w:pPr>
        <w:autoSpaceDE w:val="0"/>
        <w:autoSpaceDN w:val="0"/>
        <w:adjustRightInd w:val="0"/>
        <w:jc w:val="both"/>
        <w:rPr>
          <w:rFonts w:ascii="Arial" w:hAnsi="Arial" w:cs="Arial"/>
          <w:lang w:eastAsia="en-GB"/>
        </w:rPr>
      </w:pPr>
    </w:p>
    <w:p w14:paraId="1FA24838" w14:textId="71EEA959" w:rsidR="00FE3C13" w:rsidRPr="005C7678" w:rsidRDefault="00FE3C13" w:rsidP="0095009A">
      <w:pPr>
        <w:tabs>
          <w:tab w:val="left" w:pos="6480"/>
        </w:tabs>
        <w:autoSpaceDE w:val="0"/>
        <w:autoSpaceDN w:val="0"/>
        <w:adjustRightInd w:val="0"/>
        <w:jc w:val="both"/>
        <w:rPr>
          <w:rFonts w:ascii="Arial" w:hAnsi="Arial" w:cs="Arial"/>
        </w:rPr>
      </w:pPr>
      <w:r w:rsidRPr="005C7678">
        <w:rPr>
          <w:rFonts w:ascii="Arial" w:hAnsi="Arial" w:cs="Arial"/>
        </w:rPr>
        <w:t xml:space="preserve">Total planned expenditure over the 5-year programme is estimated to be </w:t>
      </w:r>
      <w:r w:rsidRPr="00F273DF">
        <w:rPr>
          <w:rFonts w:ascii="Arial" w:hAnsi="Arial" w:cs="Arial"/>
        </w:rPr>
        <w:t>£</w:t>
      </w:r>
      <w:r w:rsidR="00320DCC" w:rsidRPr="00F273DF">
        <w:rPr>
          <w:rFonts w:ascii="Arial" w:hAnsi="Arial" w:cs="Arial"/>
        </w:rPr>
        <w:t>11.</w:t>
      </w:r>
      <w:r w:rsidR="003529CA" w:rsidRPr="00F273DF">
        <w:rPr>
          <w:rFonts w:ascii="Arial" w:hAnsi="Arial" w:cs="Arial"/>
        </w:rPr>
        <w:t>7</w:t>
      </w:r>
      <w:r w:rsidR="000C0B4F" w:rsidRPr="00F273DF">
        <w:rPr>
          <w:rFonts w:ascii="Arial" w:hAnsi="Arial" w:cs="Arial"/>
        </w:rPr>
        <w:t>10</w:t>
      </w:r>
      <w:r w:rsidR="00AD650B" w:rsidRPr="00F273DF">
        <w:rPr>
          <w:rFonts w:ascii="Arial" w:hAnsi="Arial" w:cs="Arial"/>
        </w:rPr>
        <w:t>m</w:t>
      </w:r>
      <w:r w:rsidR="0032363D" w:rsidRPr="00F273DF">
        <w:rPr>
          <w:rFonts w:ascii="Arial" w:hAnsi="Arial" w:cs="Arial"/>
        </w:rPr>
        <w:t>,</w:t>
      </w:r>
      <w:r w:rsidR="00136565" w:rsidRPr="005C7678">
        <w:rPr>
          <w:rFonts w:ascii="Arial" w:hAnsi="Arial" w:cs="Arial"/>
        </w:rPr>
        <w:t xml:space="preserve"> the </w:t>
      </w:r>
      <w:r w:rsidR="00D10DC5" w:rsidRPr="005C7678">
        <w:rPr>
          <w:rFonts w:ascii="Arial" w:hAnsi="Arial" w:cs="Arial"/>
        </w:rPr>
        <w:t>main projects and</w:t>
      </w:r>
      <w:r w:rsidRPr="005C7678">
        <w:rPr>
          <w:rFonts w:ascii="Arial" w:hAnsi="Arial" w:cs="Arial"/>
        </w:rPr>
        <w:t xml:space="preserve"> schemes</w:t>
      </w:r>
      <w:r w:rsidR="00D10DC5" w:rsidRPr="005C7678">
        <w:rPr>
          <w:rFonts w:ascii="Arial" w:hAnsi="Arial" w:cs="Arial"/>
        </w:rPr>
        <w:t xml:space="preserve"> detailed below</w:t>
      </w:r>
      <w:r w:rsidRPr="005C7678">
        <w:rPr>
          <w:rFonts w:ascii="Arial" w:hAnsi="Arial" w:cs="Arial"/>
        </w:rPr>
        <w:t>:</w:t>
      </w:r>
    </w:p>
    <w:p w14:paraId="2FB95121" w14:textId="77777777" w:rsidR="00FE3C13" w:rsidRPr="005C7678" w:rsidRDefault="00FE3C13" w:rsidP="0095009A">
      <w:pPr>
        <w:tabs>
          <w:tab w:val="left" w:pos="6480"/>
        </w:tabs>
        <w:autoSpaceDE w:val="0"/>
        <w:autoSpaceDN w:val="0"/>
        <w:adjustRightInd w:val="0"/>
        <w:jc w:val="both"/>
        <w:rPr>
          <w:rFonts w:ascii="Arial" w:hAnsi="Arial" w:cs="Arial"/>
        </w:rPr>
      </w:pPr>
    </w:p>
    <w:p w14:paraId="4E31F83E" w14:textId="3D375A3D" w:rsidR="008952AA" w:rsidRPr="005C7678" w:rsidRDefault="008952AA" w:rsidP="00CF25BB">
      <w:pPr>
        <w:numPr>
          <w:ilvl w:val="0"/>
          <w:numId w:val="29"/>
        </w:numPr>
        <w:tabs>
          <w:tab w:val="left" w:pos="709"/>
        </w:tabs>
        <w:autoSpaceDE w:val="0"/>
        <w:autoSpaceDN w:val="0"/>
        <w:adjustRightInd w:val="0"/>
        <w:rPr>
          <w:rFonts w:ascii="Arial" w:hAnsi="Arial" w:cs="Arial"/>
        </w:rPr>
      </w:pPr>
      <w:r w:rsidRPr="005C7678">
        <w:rPr>
          <w:rFonts w:ascii="Arial" w:hAnsi="Arial" w:cs="Arial"/>
        </w:rPr>
        <w:t>Charterholme Phase1a Homes - £</w:t>
      </w:r>
      <w:r w:rsidR="006219FF" w:rsidRPr="005C7678">
        <w:rPr>
          <w:rFonts w:ascii="Arial" w:hAnsi="Arial" w:cs="Arial"/>
        </w:rPr>
        <w:t>3.565</w:t>
      </w:r>
      <w:r w:rsidRPr="005C7678">
        <w:rPr>
          <w:rFonts w:ascii="Arial" w:hAnsi="Arial" w:cs="Arial"/>
        </w:rPr>
        <w:t xml:space="preserve">m </w:t>
      </w:r>
      <w:r w:rsidR="00F46411">
        <w:rPr>
          <w:rFonts w:ascii="Arial" w:hAnsi="Arial" w:cs="Arial"/>
        </w:rPr>
        <w:t>(balance of scheme funding)</w:t>
      </w:r>
    </w:p>
    <w:p w14:paraId="4B9D3F80" w14:textId="04410996" w:rsidR="00136565" w:rsidRPr="005C7678" w:rsidRDefault="00136565" w:rsidP="00CF25BB">
      <w:pPr>
        <w:numPr>
          <w:ilvl w:val="0"/>
          <w:numId w:val="29"/>
        </w:numPr>
        <w:tabs>
          <w:tab w:val="left" w:pos="709"/>
        </w:tabs>
        <w:autoSpaceDE w:val="0"/>
        <w:autoSpaceDN w:val="0"/>
        <w:adjustRightInd w:val="0"/>
        <w:rPr>
          <w:rFonts w:ascii="Arial" w:hAnsi="Arial" w:cs="Arial"/>
        </w:rPr>
      </w:pPr>
      <w:r w:rsidRPr="005C7678">
        <w:rPr>
          <w:rFonts w:ascii="Arial" w:hAnsi="Arial" w:cs="Arial"/>
        </w:rPr>
        <w:t>Disabled Facilities Grants - £</w:t>
      </w:r>
      <w:r w:rsidR="00AB2397" w:rsidRPr="005C7678">
        <w:rPr>
          <w:rFonts w:ascii="Arial" w:hAnsi="Arial" w:cs="Arial"/>
        </w:rPr>
        <w:t>6.239</w:t>
      </w:r>
      <w:r w:rsidR="007D600C" w:rsidRPr="005C7678">
        <w:rPr>
          <w:rFonts w:ascii="Arial" w:hAnsi="Arial" w:cs="Arial"/>
        </w:rPr>
        <w:t>m</w:t>
      </w:r>
    </w:p>
    <w:p w14:paraId="4ABBFADB" w14:textId="7056D9A4" w:rsidR="004658CC" w:rsidRPr="005C7678" w:rsidRDefault="00136565" w:rsidP="00CF25BB">
      <w:pPr>
        <w:numPr>
          <w:ilvl w:val="0"/>
          <w:numId w:val="29"/>
        </w:numPr>
        <w:tabs>
          <w:tab w:val="left" w:pos="709"/>
        </w:tabs>
        <w:autoSpaceDE w:val="0"/>
        <w:autoSpaceDN w:val="0"/>
        <w:adjustRightInd w:val="0"/>
        <w:jc w:val="both"/>
        <w:rPr>
          <w:rFonts w:ascii="Arial" w:hAnsi="Arial" w:cs="Arial"/>
        </w:rPr>
      </w:pPr>
      <w:r w:rsidRPr="005C7678">
        <w:rPr>
          <w:rFonts w:ascii="Arial" w:hAnsi="Arial" w:cs="Arial"/>
        </w:rPr>
        <w:t>Planned asset maintenance - £1</w:t>
      </w:r>
      <w:r w:rsidR="00185B20" w:rsidRPr="005C7678">
        <w:rPr>
          <w:rFonts w:ascii="Arial" w:hAnsi="Arial" w:cs="Arial"/>
        </w:rPr>
        <w:t>.</w:t>
      </w:r>
      <w:r w:rsidR="00C26F15" w:rsidRPr="005C7678">
        <w:rPr>
          <w:rFonts w:ascii="Arial" w:hAnsi="Arial" w:cs="Arial"/>
        </w:rPr>
        <w:t>0</w:t>
      </w:r>
      <w:r w:rsidR="004658CC" w:rsidRPr="005C7678">
        <w:rPr>
          <w:rFonts w:ascii="Arial" w:hAnsi="Arial" w:cs="Arial"/>
        </w:rPr>
        <w:t>m</w:t>
      </w:r>
    </w:p>
    <w:p w14:paraId="73073AC0" w14:textId="7765CEF5" w:rsidR="00B03F69" w:rsidRPr="005C7678" w:rsidRDefault="00B03F69" w:rsidP="0095009A">
      <w:pPr>
        <w:tabs>
          <w:tab w:val="left" w:pos="6480"/>
        </w:tabs>
        <w:autoSpaceDE w:val="0"/>
        <w:autoSpaceDN w:val="0"/>
        <w:adjustRightInd w:val="0"/>
        <w:jc w:val="both"/>
        <w:rPr>
          <w:rFonts w:ascii="Arial" w:hAnsi="Arial" w:cs="Arial"/>
        </w:rPr>
      </w:pPr>
    </w:p>
    <w:p w14:paraId="17C18CE9" w14:textId="1DBDAF48" w:rsidR="00B03F69" w:rsidRDefault="00AB65C9" w:rsidP="0095009A">
      <w:pPr>
        <w:tabs>
          <w:tab w:val="left" w:pos="6480"/>
        </w:tabs>
        <w:autoSpaceDE w:val="0"/>
        <w:autoSpaceDN w:val="0"/>
        <w:adjustRightInd w:val="0"/>
        <w:jc w:val="both"/>
        <w:rPr>
          <w:rFonts w:ascii="Arial" w:hAnsi="Arial" w:cs="Arial"/>
        </w:rPr>
      </w:pPr>
      <w:r w:rsidRPr="005C7678">
        <w:rPr>
          <w:rFonts w:ascii="Arial" w:hAnsi="Arial" w:cs="Arial"/>
        </w:rPr>
        <w:t>The</w:t>
      </w:r>
      <w:r w:rsidR="00B03F69" w:rsidRPr="005C7678">
        <w:rPr>
          <w:rFonts w:ascii="Arial" w:hAnsi="Arial" w:cs="Arial"/>
        </w:rPr>
        <w:t xml:space="preserve"> </w:t>
      </w:r>
      <w:r w:rsidR="003C727A" w:rsidRPr="005C7678">
        <w:rPr>
          <w:rFonts w:ascii="Arial" w:hAnsi="Arial" w:cs="Arial"/>
        </w:rPr>
        <w:t>most significant of schemes within the GIP is the Charter</w:t>
      </w:r>
      <w:r w:rsidR="00521B4F" w:rsidRPr="005C7678">
        <w:rPr>
          <w:rFonts w:ascii="Arial" w:hAnsi="Arial" w:cs="Arial"/>
        </w:rPr>
        <w:t>h</w:t>
      </w:r>
      <w:r w:rsidR="003C727A" w:rsidRPr="005C7678">
        <w:rPr>
          <w:rFonts w:ascii="Arial" w:hAnsi="Arial" w:cs="Arial"/>
        </w:rPr>
        <w:t>olme Development</w:t>
      </w:r>
      <w:r w:rsidR="00A84894">
        <w:rPr>
          <w:rFonts w:ascii="Arial" w:hAnsi="Arial" w:cs="Arial"/>
        </w:rPr>
        <w:t xml:space="preserve"> (previously Western Growth Corridor)</w:t>
      </w:r>
      <w:r w:rsidR="00521B4F" w:rsidRPr="005C7678">
        <w:rPr>
          <w:rFonts w:ascii="Arial" w:hAnsi="Arial" w:cs="Arial"/>
        </w:rPr>
        <w:t xml:space="preserve">, with the delivery of the </w:t>
      </w:r>
      <w:r w:rsidR="00A84894">
        <w:rPr>
          <w:rFonts w:ascii="Arial" w:hAnsi="Arial" w:cs="Arial"/>
        </w:rPr>
        <w:t xml:space="preserve">remainder of the </w:t>
      </w:r>
      <w:r w:rsidR="00521B4F" w:rsidRPr="005C7678">
        <w:rPr>
          <w:rFonts w:ascii="Arial" w:hAnsi="Arial" w:cs="Arial"/>
        </w:rPr>
        <w:t>first 52 homes</w:t>
      </w:r>
      <w:r w:rsidR="0076676B" w:rsidRPr="005C7678">
        <w:rPr>
          <w:rFonts w:ascii="Arial" w:hAnsi="Arial" w:cs="Arial"/>
        </w:rPr>
        <w:t xml:space="preserve">.  </w:t>
      </w:r>
      <w:r w:rsidR="009429A6">
        <w:rPr>
          <w:rFonts w:ascii="Arial" w:hAnsi="Arial" w:cs="Arial"/>
        </w:rPr>
        <w:t xml:space="preserve">While this phase of the development is due to complete during 2026/27 work continues on securing further external funding to enable the delivery of the spine road and </w:t>
      </w:r>
      <w:r w:rsidR="00FF3D7B">
        <w:rPr>
          <w:rFonts w:ascii="Arial" w:hAnsi="Arial" w:cs="Arial"/>
        </w:rPr>
        <w:t xml:space="preserve">development infrastructure </w:t>
      </w:r>
      <w:r w:rsidR="009429A6">
        <w:rPr>
          <w:rFonts w:ascii="Arial" w:hAnsi="Arial" w:cs="Arial"/>
        </w:rPr>
        <w:t>to fully open the land for housing development. At such time that funding is secured and approved, by the Executive, the relevant capital budgets will be included in the GIP</w:t>
      </w:r>
      <w:r w:rsidR="00FF3D7B">
        <w:rPr>
          <w:rFonts w:ascii="Arial" w:hAnsi="Arial" w:cs="Arial"/>
        </w:rPr>
        <w:t>.</w:t>
      </w:r>
    </w:p>
    <w:p w14:paraId="6FC463D3" w14:textId="77777777" w:rsidR="00D803F2" w:rsidRDefault="00D803F2" w:rsidP="0095009A">
      <w:pPr>
        <w:tabs>
          <w:tab w:val="left" w:pos="6480"/>
        </w:tabs>
        <w:autoSpaceDE w:val="0"/>
        <w:autoSpaceDN w:val="0"/>
        <w:adjustRightInd w:val="0"/>
        <w:jc w:val="both"/>
        <w:rPr>
          <w:rFonts w:ascii="Arial" w:hAnsi="Arial" w:cs="Arial"/>
        </w:rPr>
      </w:pPr>
    </w:p>
    <w:p w14:paraId="56EEA8BF" w14:textId="77777777" w:rsidR="00C738EC" w:rsidRDefault="00C738EC" w:rsidP="00C738EC">
      <w:pPr>
        <w:tabs>
          <w:tab w:val="left" w:pos="6480"/>
        </w:tabs>
        <w:autoSpaceDE w:val="0"/>
        <w:autoSpaceDN w:val="0"/>
        <w:adjustRightInd w:val="0"/>
        <w:jc w:val="both"/>
        <w:rPr>
          <w:rFonts w:ascii="Arial" w:hAnsi="Arial" w:cs="Arial"/>
        </w:rPr>
      </w:pPr>
      <w:r>
        <w:rPr>
          <w:rFonts w:ascii="Arial" w:hAnsi="Arial" w:cs="Arial"/>
        </w:rPr>
        <w:t>In addition, the SR25 announced that the Council had been awarded up to £20m over the next decade as part of the trailblazer neighbourhoods programme for community-led regeneration and renewal, known as the Pride in Place Programme (PiPP).  At this stage no specific budgets have been included in the GIP and will only be included following approval by the Executive once further programme details and funding arrangements are known.</w:t>
      </w:r>
    </w:p>
    <w:p w14:paraId="34F940DF" w14:textId="77777777" w:rsidR="00705EF7" w:rsidRPr="005C7678" w:rsidRDefault="00705EF7" w:rsidP="0095009A">
      <w:pPr>
        <w:tabs>
          <w:tab w:val="left" w:pos="6480"/>
        </w:tabs>
        <w:autoSpaceDE w:val="0"/>
        <w:autoSpaceDN w:val="0"/>
        <w:adjustRightInd w:val="0"/>
        <w:jc w:val="both"/>
        <w:rPr>
          <w:rFonts w:ascii="Arial" w:hAnsi="Arial" w:cs="Arial"/>
        </w:rPr>
      </w:pPr>
    </w:p>
    <w:p w14:paraId="593A72CB" w14:textId="1A6F2FFD" w:rsidR="00025987" w:rsidRPr="005C7678" w:rsidRDefault="00025987" w:rsidP="0095009A">
      <w:pPr>
        <w:tabs>
          <w:tab w:val="left" w:pos="6480"/>
        </w:tabs>
        <w:autoSpaceDE w:val="0"/>
        <w:autoSpaceDN w:val="0"/>
        <w:adjustRightInd w:val="0"/>
        <w:jc w:val="both"/>
        <w:rPr>
          <w:rFonts w:ascii="Arial" w:hAnsi="Arial" w:cs="Arial"/>
        </w:rPr>
      </w:pPr>
      <w:r w:rsidRPr="005C7678">
        <w:rPr>
          <w:rFonts w:ascii="Arial" w:hAnsi="Arial" w:cs="Arial"/>
        </w:rPr>
        <w:t>Further schemes in support of Vision 20</w:t>
      </w:r>
      <w:r w:rsidR="00A50C22" w:rsidRPr="005C7678">
        <w:rPr>
          <w:rFonts w:ascii="Arial" w:hAnsi="Arial" w:cs="Arial"/>
        </w:rPr>
        <w:t>30</w:t>
      </w:r>
      <w:r w:rsidRPr="005C7678">
        <w:rPr>
          <w:rFonts w:ascii="Arial" w:hAnsi="Arial" w:cs="Arial"/>
        </w:rPr>
        <w:t xml:space="preserve"> will be included in the GIP at the relevant stage in their development e.g. grant funding secure, design stage completed etc.</w:t>
      </w:r>
      <w:r w:rsidR="002413C6" w:rsidRPr="005C7678">
        <w:rPr>
          <w:rFonts w:ascii="Arial" w:hAnsi="Arial" w:cs="Arial"/>
        </w:rPr>
        <w:t xml:space="preserve"> </w:t>
      </w:r>
      <w:r w:rsidR="007F7576" w:rsidRPr="005C7678">
        <w:rPr>
          <w:rFonts w:ascii="Arial" w:hAnsi="Arial" w:cs="Arial"/>
        </w:rPr>
        <w:t xml:space="preserve">Further details of the </w:t>
      </w:r>
      <w:r w:rsidR="00F7360E" w:rsidRPr="005C7678">
        <w:rPr>
          <w:rFonts w:ascii="Arial" w:hAnsi="Arial" w:cs="Arial"/>
        </w:rPr>
        <w:t>investment plans are provided in the Capital Strategy.</w:t>
      </w:r>
    </w:p>
    <w:p w14:paraId="3252B009" w14:textId="77777777" w:rsidR="002413C6" w:rsidRPr="005C7678" w:rsidRDefault="002413C6" w:rsidP="0095009A">
      <w:pPr>
        <w:tabs>
          <w:tab w:val="left" w:pos="6480"/>
        </w:tabs>
        <w:autoSpaceDE w:val="0"/>
        <w:autoSpaceDN w:val="0"/>
        <w:adjustRightInd w:val="0"/>
        <w:jc w:val="both"/>
        <w:rPr>
          <w:rFonts w:ascii="Arial" w:hAnsi="Arial" w:cs="Arial"/>
        </w:rPr>
      </w:pPr>
    </w:p>
    <w:p w14:paraId="29743E80" w14:textId="6A51BBEB" w:rsidR="00A778CF" w:rsidRDefault="0095009A" w:rsidP="00D803F2">
      <w:pPr>
        <w:tabs>
          <w:tab w:val="left" w:pos="6480"/>
        </w:tabs>
        <w:autoSpaceDE w:val="0"/>
        <w:autoSpaceDN w:val="0"/>
        <w:adjustRightInd w:val="0"/>
        <w:jc w:val="both"/>
        <w:rPr>
          <w:rFonts w:ascii="Arial" w:hAnsi="Arial" w:cs="Arial"/>
        </w:rPr>
      </w:pPr>
      <w:r w:rsidRPr="005C7678">
        <w:rPr>
          <w:rFonts w:ascii="Arial" w:hAnsi="Arial" w:cs="Arial"/>
        </w:rPr>
        <w:t>The revenue implications of all capital schemes, including the corresponding reduction in investment income as a result of the application of capital resources, additional revenue running costs of any new assets and the cost of any prudential borrowing have been taken account of and included within the MTFS.</w:t>
      </w:r>
    </w:p>
    <w:p w14:paraId="757F7B73" w14:textId="77777777" w:rsidR="00D803F2" w:rsidRPr="00D803F2" w:rsidRDefault="00D803F2" w:rsidP="00D803F2">
      <w:pPr>
        <w:tabs>
          <w:tab w:val="left" w:pos="6480"/>
        </w:tabs>
        <w:autoSpaceDE w:val="0"/>
        <w:autoSpaceDN w:val="0"/>
        <w:adjustRightInd w:val="0"/>
        <w:jc w:val="both"/>
        <w:rPr>
          <w:rFonts w:ascii="Arial" w:hAnsi="Arial" w:cs="Arial"/>
        </w:rPr>
      </w:pPr>
    </w:p>
    <w:p w14:paraId="3F63BABF" w14:textId="190EFC06" w:rsidR="0095009A" w:rsidRPr="004246D9" w:rsidRDefault="0095009A" w:rsidP="0095009A">
      <w:pPr>
        <w:pStyle w:val="BodyText"/>
        <w:jc w:val="both"/>
        <w:rPr>
          <w:color w:val="C45911"/>
          <w:sz w:val="28"/>
        </w:rPr>
      </w:pPr>
      <w:r w:rsidRPr="004246D9">
        <w:rPr>
          <w:color w:val="C45911"/>
          <w:sz w:val="28"/>
        </w:rPr>
        <w:t>Spending Pressures</w:t>
      </w:r>
    </w:p>
    <w:p w14:paraId="70000E5F" w14:textId="262EFC5B" w:rsidR="0095009A" w:rsidRPr="004246D9" w:rsidRDefault="0095009A" w:rsidP="0095009A">
      <w:pPr>
        <w:pStyle w:val="BodyText"/>
        <w:jc w:val="both"/>
      </w:pPr>
    </w:p>
    <w:p w14:paraId="7393F5DD" w14:textId="30BE8CE4" w:rsidR="00491909" w:rsidRPr="005C7678" w:rsidRDefault="008C490E" w:rsidP="0095009A">
      <w:pPr>
        <w:pStyle w:val="BodyText"/>
        <w:jc w:val="both"/>
      </w:pPr>
      <w:r w:rsidRPr="005C7678">
        <w:t>Construction Costs</w:t>
      </w:r>
    </w:p>
    <w:p w14:paraId="56B984F8" w14:textId="77777777" w:rsidR="00491909" w:rsidRPr="005C7678" w:rsidRDefault="00491909" w:rsidP="0095009A">
      <w:pPr>
        <w:pStyle w:val="BodyText"/>
        <w:jc w:val="both"/>
      </w:pPr>
    </w:p>
    <w:p w14:paraId="2B36F805" w14:textId="0C2ECA4C" w:rsidR="00074D8C" w:rsidRPr="005C7678" w:rsidRDefault="001B4FEE" w:rsidP="00074D8C">
      <w:pPr>
        <w:jc w:val="both"/>
        <w:rPr>
          <w:rFonts w:ascii="Arial" w:hAnsi="Arial" w:cs="Arial"/>
        </w:rPr>
      </w:pPr>
      <w:r w:rsidRPr="005C7678">
        <w:rPr>
          <w:rFonts w:ascii="Arial" w:hAnsi="Arial" w:cs="Arial"/>
          <w:lang w:eastAsia="en-GB"/>
        </w:rPr>
        <w:t>Across the G</w:t>
      </w:r>
      <w:r w:rsidR="008477CE" w:rsidRPr="005C7678">
        <w:rPr>
          <w:rFonts w:ascii="Arial" w:hAnsi="Arial" w:cs="Arial"/>
          <w:lang w:eastAsia="en-GB"/>
        </w:rPr>
        <w:t>IP</w:t>
      </w:r>
      <w:r w:rsidRPr="005C7678">
        <w:rPr>
          <w:rFonts w:ascii="Arial" w:hAnsi="Arial" w:cs="Arial"/>
          <w:lang w:eastAsia="en-GB"/>
        </w:rPr>
        <w:t xml:space="preserve"> </w:t>
      </w:r>
      <w:r w:rsidR="00CB4FB3" w:rsidRPr="005C7678">
        <w:rPr>
          <w:rFonts w:ascii="Arial" w:hAnsi="Arial" w:cs="Arial"/>
          <w:lang w:eastAsia="en-GB"/>
        </w:rPr>
        <w:t xml:space="preserve">the cost of </w:t>
      </w:r>
      <w:r w:rsidRPr="005C7678">
        <w:rPr>
          <w:rFonts w:ascii="Arial" w:hAnsi="Arial" w:cs="Arial"/>
          <w:lang w:eastAsia="en-GB"/>
        </w:rPr>
        <w:t>capital projects have been impacted</w:t>
      </w:r>
      <w:r w:rsidR="0019369B" w:rsidRPr="005C7678">
        <w:rPr>
          <w:rFonts w:ascii="Arial" w:hAnsi="Arial" w:cs="Arial"/>
          <w:lang w:eastAsia="en-GB"/>
        </w:rPr>
        <w:t xml:space="preserve"> </w:t>
      </w:r>
      <w:r w:rsidR="00CB4FB3" w:rsidRPr="005C7678">
        <w:rPr>
          <w:rFonts w:ascii="Arial" w:hAnsi="Arial" w:cs="Arial"/>
          <w:lang w:eastAsia="en-GB"/>
        </w:rPr>
        <w:t>as a result of</w:t>
      </w:r>
      <w:r w:rsidR="008477CE" w:rsidRPr="005C7678">
        <w:rPr>
          <w:rFonts w:ascii="Arial" w:hAnsi="Arial" w:cs="Arial"/>
          <w:lang w:eastAsia="en-GB"/>
        </w:rPr>
        <w:t xml:space="preserve">; </w:t>
      </w:r>
      <w:r w:rsidR="0019369B" w:rsidRPr="005C7678">
        <w:rPr>
          <w:rFonts w:ascii="Arial" w:hAnsi="Arial" w:cs="Arial"/>
        </w:rPr>
        <w:t>inflationary pressures</w:t>
      </w:r>
      <w:r w:rsidR="00CB4FB3" w:rsidRPr="005C7678">
        <w:rPr>
          <w:rFonts w:ascii="Arial" w:hAnsi="Arial" w:cs="Arial"/>
        </w:rPr>
        <w:t xml:space="preserve">, escalating the </w:t>
      </w:r>
      <w:r w:rsidR="003A1C18" w:rsidRPr="005C7678">
        <w:rPr>
          <w:rFonts w:ascii="Arial" w:hAnsi="Arial" w:cs="Arial"/>
        </w:rPr>
        <w:t>costs of material and labour</w:t>
      </w:r>
      <w:r w:rsidR="00711F9B" w:rsidRPr="005C7678">
        <w:rPr>
          <w:rFonts w:ascii="Arial" w:hAnsi="Arial" w:cs="Arial"/>
        </w:rPr>
        <w:t>,</w:t>
      </w:r>
      <w:r w:rsidR="003A1C18" w:rsidRPr="005C7678">
        <w:rPr>
          <w:rFonts w:ascii="Arial" w:hAnsi="Arial" w:cs="Arial"/>
        </w:rPr>
        <w:t xml:space="preserve"> and also due to</w:t>
      </w:r>
      <w:r w:rsidR="00711F9B" w:rsidRPr="005C7678">
        <w:rPr>
          <w:rFonts w:ascii="Arial" w:hAnsi="Arial" w:cs="Arial"/>
        </w:rPr>
        <w:t xml:space="preserve"> </w:t>
      </w:r>
      <w:r w:rsidR="001F5BC1" w:rsidRPr="005C7678">
        <w:rPr>
          <w:rFonts w:ascii="Arial" w:hAnsi="Arial" w:cs="Arial"/>
        </w:rPr>
        <w:t xml:space="preserve">availability of a skilled labour supply and certain materials.  </w:t>
      </w:r>
      <w:r w:rsidR="003A1C18" w:rsidRPr="005C7678">
        <w:rPr>
          <w:rFonts w:ascii="Arial" w:hAnsi="Arial" w:cs="Arial"/>
        </w:rPr>
        <w:t xml:space="preserve"> </w:t>
      </w:r>
      <w:r w:rsidR="0019369B" w:rsidRPr="005C7678">
        <w:rPr>
          <w:rFonts w:ascii="Arial" w:hAnsi="Arial" w:cs="Arial"/>
        </w:rPr>
        <w:t xml:space="preserve"> </w:t>
      </w:r>
      <w:r w:rsidR="001F5BC1" w:rsidRPr="005C7678">
        <w:rPr>
          <w:rFonts w:ascii="Arial" w:hAnsi="Arial" w:cs="Arial"/>
        </w:rPr>
        <w:t xml:space="preserve">In </w:t>
      </w:r>
      <w:r w:rsidR="004D1882" w:rsidRPr="005C7678">
        <w:rPr>
          <w:rFonts w:ascii="Arial" w:hAnsi="Arial" w:cs="Arial"/>
        </w:rPr>
        <w:t>addition</w:t>
      </w:r>
      <w:r w:rsidR="00074D8C" w:rsidRPr="005C7678">
        <w:rPr>
          <w:rFonts w:ascii="Arial" w:hAnsi="Arial" w:cs="Arial"/>
        </w:rPr>
        <w:t>,</w:t>
      </w:r>
      <w:r w:rsidR="0019369B" w:rsidRPr="005C7678">
        <w:rPr>
          <w:rFonts w:ascii="Arial" w:hAnsi="Arial" w:cs="Arial"/>
        </w:rPr>
        <w:t xml:space="preserve"> the high cost of borrowing</w:t>
      </w:r>
      <w:r w:rsidR="004D1882" w:rsidRPr="005C7678">
        <w:rPr>
          <w:rFonts w:ascii="Arial" w:hAnsi="Arial" w:cs="Arial"/>
        </w:rPr>
        <w:t xml:space="preserve"> </w:t>
      </w:r>
      <w:r w:rsidR="00463503">
        <w:rPr>
          <w:rFonts w:ascii="Arial" w:hAnsi="Arial" w:cs="Arial"/>
        </w:rPr>
        <w:t>also</w:t>
      </w:r>
      <w:r w:rsidR="004D1882" w:rsidRPr="005C7678">
        <w:rPr>
          <w:rFonts w:ascii="Arial" w:hAnsi="Arial" w:cs="Arial"/>
        </w:rPr>
        <w:t xml:space="preserve"> affect</w:t>
      </w:r>
      <w:r w:rsidR="00463503">
        <w:rPr>
          <w:rFonts w:ascii="Arial" w:hAnsi="Arial" w:cs="Arial"/>
        </w:rPr>
        <w:t xml:space="preserve">s </w:t>
      </w:r>
      <w:r w:rsidR="004D1882" w:rsidRPr="005C7678">
        <w:rPr>
          <w:rFonts w:ascii="Arial" w:hAnsi="Arial" w:cs="Arial"/>
        </w:rPr>
        <w:t xml:space="preserve">the </w:t>
      </w:r>
      <w:r w:rsidR="002270E8" w:rsidRPr="005C7678">
        <w:rPr>
          <w:rFonts w:ascii="Arial" w:hAnsi="Arial" w:cs="Arial"/>
        </w:rPr>
        <w:t xml:space="preserve">viability of schemes.  </w:t>
      </w:r>
      <w:r w:rsidR="00074D8C" w:rsidRPr="005C7678">
        <w:rPr>
          <w:rFonts w:ascii="Arial" w:hAnsi="Arial" w:cs="Arial"/>
        </w:rPr>
        <w:t xml:space="preserve">All schemes </w:t>
      </w:r>
      <w:r w:rsidR="008477CE" w:rsidRPr="005C7678">
        <w:rPr>
          <w:rFonts w:ascii="Arial" w:hAnsi="Arial" w:cs="Arial"/>
        </w:rPr>
        <w:t>in</w:t>
      </w:r>
      <w:r w:rsidR="00074D8C" w:rsidRPr="005C7678">
        <w:rPr>
          <w:rFonts w:ascii="Arial" w:hAnsi="Arial" w:cs="Arial"/>
        </w:rPr>
        <w:t xml:space="preserve"> the GIP, that have not yet started will </w:t>
      </w:r>
      <w:r w:rsidR="002C625D">
        <w:rPr>
          <w:rFonts w:ascii="Arial" w:hAnsi="Arial" w:cs="Arial"/>
        </w:rPr>
        <w:t xml:space="preserve">continue </w:t>
      </w:r>
      <w:r w:rsidR="00074D8C" w:rsidRPr="005C7678">
        <w:rPr>
          <w:rFonts w:ascii="Arial" w:hAnsi="Arial" w:cs="Arial"/>
        </w:rPr>
        <w:t xml:space="preserve">be evaluated as they come forward for delivery.  This will ensure that demonstrate value for money and </w:t>
      </w:r>
      <w:r w:rsidR="004D5E0B">
        <w:rPr>
          <w:rFonts w:ascii="Arial" w:hAnsi="Arial" w:cs="Arial"/>
        </w:rPr>
        <w:t>are</w:t>
      </w:r>
      <w:r w:rsidR="00074D8C" w:rsidRPr="005C7678">
        <w:rPr>
          <w:rFonts w:ascii="Arial" w:hAnsi="Arial" w:cs="Arial"/>
        </w:rPr>
        <w:t xml:space="preserve"> affordable. Given the importance of investment in the City, to support the local economy, all opportunities to contain costs and/or seek alternative funding to ensure schemes are delivered will be undertaken.</w:t>
      </w:r>
    </w:p>
    <w:p w14:paraId="7FF1F46F" w14:textId="77777777" w:rsidR="001B4FEE" w:rsidRPr="005C7678" w:rsidRDefault="001B4FEE" w:rsidP="0095009A">
      <w:pPr>
        <w:pStyle w:val="BodyText"/>
        <w:jc w:val="both"/>
      </w:pPr>
    </w:p>
    <w:p w14:paraId="2E794DA7" w14:textId="320EE19C" w:rsidR="001F2AFF" w:rsidRPr="005C7678" w:rsidRDefault="00BF3926" w:rsidP="0095009A">
      <w:pPr>
        <w:pStyle w:val="BodyText"/>
        <w:jc w:val="both"/>
      </w:pPr>
      <w:r w:rsidRPr="005C7678">
        <w:t>Asset Management</w:t>
      </w:r>
    </w:p>
    <w:p w14:paraId="106239A4" w14:textId="77777777" w:rsidR="001F2AFF" w:rsidRPr="00B90B08" w:rsidRDefault="001F2AFF" w:rsidP="0095009A">
      <w:pPr>
        <w:pStyle w:val="BodyText"/>
        <w:jc w:val="both"/>
        <w:rPr>
          <w:b w:val="0"/>
          <w:highlight w:val="green"/>
        </w:rPr>
      </w:pPr>
    </w:p>
    <w:p w14:paraId="4D343C4F" w14:textId="694B16F5" w:rsidR="0095009A" w:rsidRPr="005C7678" w:rsidRDefault="0095009A" w:rsidP="0095009A">
      <w:pPr>
        <w:pStyle w:val="BodyText"/>
        <w:jc w:val="both"/>
        <w:rPr>
          <w:b w:val="0"/>
        </w:rPr>
      </w:pPr>
      <w:r w:rsidRPr="005C7678">
        <w:rPr>
          <w:b w:val="0"/>
        </w:rPr>
        <w:t xml:space="preserve">The Council’s corporate property portfolio comprises operational properties and investment properties with a combined asset </w:t>
      </w:r>
      <w:r w:rsidRPr="00015B1A">
        <w:rPr>
          <w:b w:val="0"/>
        </w:rPr>
        <w:t xml:space="preserve">value </w:t>
      </w:r>
      <w:r w:rsidRPr="009931B2">
        <w:rPr>
          <w:b w:val="0"/>
        </w:rPr>
        <w:t>of £</w:t>
      </w:r>
      <w:r w:rsidR="005778F3" w:rsidRPr="009931B2">
        <w:rPr>
          <w:b w:val="0"/>
        </w:rPr>
        <w:t>1</w:t>
      </w:r>
      <w:r w:rsidR="005F75C3" w:rsidRPr="009931B2">
        <w:rPr>
          <w:b w:val="0"/>
        </w:rPr>
        <w:t>3</w:t>
      </w:r>
      <w:r w:rsidR="00E57BB6" w:rsidRPr="009931B2">
        <w:rPr>
          <w:b w:val="0"/>
        </w:rPr>
        <w:t>1</w:t>
      </w:r>
      <w:r w:rsidRPr="009931B2">
        <w:rPr>
          <w:b w:val="0"/>
        </w:rPr>
        <w:t xml:space="preserve"> million.</w:t>
      </w:r>
    </w:p>
    <w:p w14:paraId="67FA8ED2" w14:textId="77777777" w:rsidR="0095009A" w:rsidRPr="005C7678" w:rsidRDefault="0095009A" w:rsidP="0095009A">
      <w:pPr>
        <w:pStyle w:val="BodyText"/>
        <w:jc w:val="both"/>
        <w:rPr>
          <w:b w:val="0"/>
        </w:rPr>
      </w:pPr>
    </w:p>
    <w:p w14:paraId="18C7D466" w14:textId="670603EA" w:rsidR="00DC396B" w:rsidRPr="005C7678" w:rsidRDefault="000C59C1" w:rsidP="00630E01">
      <w:pPr>
        <w:pStyle w:val="Heading5"/>
        <w:rPr>
          <w:b w:val="0"/>
          <w:i/>
          <w:color w:val="auto"/>
          <w:sz w:val="24"/>
          <w:lang w:eastAsia="en-GB"/>
        </w:rPr>
      </w:pPr>
      <w:r>
        <w:rPr>
          <w:b w:val="0"/>
          <w:color w:val="auto"/>
          <w:sz w:val="24"/>
        </w:rPr>
        <w:t xml:space="preserve">Updated stock condition surveys of all of the Council’s corporate assets are </w:t>
      </w:r>
      <w:r w:rsidR="007E48AA">
        <w:rPr>
          <w:b w:val="0"/>
          <w:color w:val="auto"/>
          <w:sz w:val="24"/>
        </w:rPr>
        <w:t xml:space="preserve">now due and are scheduled to be undertaken in early 2026.  These surveys will inform the future repairs and maintenance requirements as well as </w:t>
      </w:r>
      <w:r w:rsidR="007A25F7">
        <w:rPr>
          <w:b w:val="0"/>
          <w:color w:val="auto"/>
          <w:sz w:val="24"/>
        </w:rPr>
        <w:t xml:space="preserve">allocation of </w:t>
      </w:r>
      <w:r w:rsidR="007E48AA">
        <w:rPr>
          <w:b w:val="0"/>
          <w:color w:val="auto"/>
          <w:sz w:val="24"/>
        </w:rPr>
        <w:t xml:space="preserve">the annual planned </w:t>
      </w:r>
      <w:r w:rsidR="00002B3E">
        <w:rPr>
          <w:b w:val="0"/>
          <w:color w:val="auto"/>
          <w:sz w:val="24"/>
        </w:rPr>
        <w:t>capitalised</w:t>
      </w:r>
      <w:r w:rsidR="007E48AA">
        <w:rPr>
          <w:b w:val="0"/>
          <w:color w:val="auto"/>
          <w:sz w:val="24"/>
        </w:rPr>
        <w:t xml:space="preserve"> works budgets</w:t>
      </w:r>
      <w:r w:rsidR="007A25F7">
        <w:rPr>
          <w:b w:val="0"/>
          <w:color w:val="auto"/>
          <w:sz w:val="24"/>
        </w:rPr>
        <w:t xml:space="preserve"> (£200k p.a</w:t>
      </w:r>
      <w:r w:rsidR="00AD36CF">
        <w:rPr>
          <w:b w:val="0"/>
          <w:color w:val="auto"/>
          <w:sz w:val="24"/>
        </w:rPr>
        <w:t>.</w:t>
      </w:r>
      <w:r w:rsidR="007A25F7">
        <w:rPr>
          <w:b w:val="0"/>
          <w:color w:val="auto"/>
          <w:sz w:val="24"/>
        </w:rPr>
        <w:t>)</w:t>
      </w:r>
      <w:r w:rsidR="007E48AA">
        <w:rPr>
          <w:b w:val="0"/>
          <w:color w:val="auto"/>
          <w:sz w:val="24"/>
        </w:rPr>
        <w:t xml:space="preserve">.  The surveys will also form an essential part of the date requirements for LGR.  Despite </w:t>
      </w:r>
      <w:r w:rsidR="00650B24">
        <w:rPr>
          <w:b w:val="0"/>
          <w:color w:val="auto"/>
          <w:sz w:val="24"/>
        </w:rPr>
        <w:t xml:space="preserve">the outcomes of updated stock condition </w:t>
      </w:r>
      <w:r w:rsidR="000A12EE">
        <w:rPr>
          <w:b w:val="0"/>
          <w:color w:val="auto"/>
          <w:sz w:val="24"/>
        </w:rPr>
        <w:t xml:space="preserve">surveys, the Council is aware of the need </w:t>
      </w:r>
      <w:r w:rsidR="00AE46EC" w:rsidRPr="005C7678">
        <w:rPr>
          <w:b w:val="0"/>
          <w:color w:val="auto"/>
          <w:sz w:val="24"/>
        </w:rPr>
        <w:t>for significant investment to ensure that its assets are properly maintained and safe for use.  Additional resources have previously been allocated, including works to income</w:t>
      </w:r>
      <w:r w:rsidR="00B92BDC" w:rsidRPr="005C7678">
        <w:rPr>
          <w:b w:val="0"/>
          <w:color w:val="auto"/>
          <w:sz w:val="24"/>
        </w:rPr>
        <w:t>-</w:t>
      </w:r>
      <w:r w:rsidR="00AE46EC" w:rsidRPr="005C7678">
        <w:rPr>
          <w:b w:val="0"/>
          <w:color w:val="auto"/>
          <w:sz w:val="24"/>
        </w:rPr>
        <w:t xml:space="preserve">earning assets e.g.  </w:t>
      </w:r>
      <w:r w:rsidR="005E4B5A" w:rsidRPr="005C7678">
        <w:rPr>
          <w:b w:val="0"/>
          <w:color w:val="auto"/>
          <w:sz w:val="24"/>
        </w:rPr>
        <w:t>car parks</w:t>
      </w:r>
      <w:r w:rsidR="00135D48" w:rsidRPr="005C7678">
        <w:rPr>
          <w:b w:val="0"/>
          <w:color w:val="auto"/>
          <w:sz w:val="24"/>
        </w:rPr>
        <w:t>, leisure centres,</w:t>
      </w:r>
      <w:r w:rsidR="00AE46EC" w:rsidRPr="005C7678">
        <w:rPr>
          <w:b w:val="0"/>
          <w:color w:val="auto"/>
          <w:sz w:val="24"/>
        </w:rPr>
        <w:t xml:space="preserve"> crematorium</w:t>
      </w:r>
      <w:r w:rsidR="00135D48" w:rsidRPr="005C7678">
        <w:rPr>
          <w:b w:val="0"/>
          <w:color w:val="auto"/>
          <w:sz w:val="24"/>
        </w:rPr>
        <w:t>.</w:t>
      </w:r>
      <w:r w:rsidR="00AE46EC" w:rsidRPr="005C7678">
        <w:rPr>
          <w:b w:val="0"/>
          <w:color w:val="auto"/>
          <w:sz w:val="24"/>
        </w:rPr>
        <w:t xml:space="preserve"> There does however remain a legacy of outstanding investment required in the Council’s assets</w:t>
      </w:r>
      <w:r w:rsidR="00E4470F" w:rsidRPr="005C7678">
        <w:rPr>
          <w:b w:val="0"/>
          <w:color w:val="auto"/>
          <w:sz w:val="24"/>
        </w:rPr>
        <w:t>, with a number of maintenance liabilities now arising.</w:t>
      </w:r>
      <w:r w:rsidR="00283636" w:rsidRPr="005C7678">
        <w:rPr>
          <w:b w:val="0"/>
          <w:color w:val="auto"/>
          <w:sz w:val="24"/>
          <w:lang w:eastAsia="en-GB"/>
        </w:rPr>
        <w:t xml:space="preserve"> These are mainly in relation to operational assets, which will require investment in order to remain in service delivery, but the liabilities also extend to some of the Council’s </w:t>
      </w:r>
      <w:r w:rsidR="00FD7BC5" w:rsidRPr="005C7678">
        <w:rPr>
          <w:b w:val="0"/>
          <w:color w:val="auto"/>
          <w:sz w:val="24"/>
          <w:lang w:eastAsia="en-GB"/>
        </w:rPr>
        <w:t>heritage</w:t>
      </w:r>
      <w:r w:rsidR="00283636" w:rsidRPr="005C7678">
        <w:rPr>
          <w:b w:val="0"/>
          <w:color w:val="auto"/>
          <w:sz w:val="24"/>
          <w:lang w:eastAsia="en-GB"/>
        </w:rPr>
        <w:t xml:space="preserve"> assets</w:t>
      </w:r>
      <w:r w:rsidR="00FD7BC5" w:rsidRPr="005C7678">
        <w:rPr>
          <w:b w:val="0"/>
          <w:color w:val="auto"/>
          <w:sz w:val="24"/>
          <w:lang w:eastAsia="en-GB"/>
        </w:rPr>
        <w:t>.</w:t>
      </w:r>
    </w:p>
    <w:p w14:paraId="47396F41" w14:textId="77777777" w:rsidR="00DC396B" w:rsidRPr="005C7678" w:rsidRDefault="00DC396B" w:rsidP="0095009A">
      <w:pPr>
        <w:pStyle w:val="BodyText"/>
        <w:jc w:val="both"/>
        <w:rPr>
          <w:b w:val="0"/>
        </w:rPr>
      </w:pPr>
    </w:p>
    <w:p w14:paraId="7E65FE78" w14:textId="1411EC29" w:rsidR="00424F77" w:rsidRPr="00012A00" w:rsidRDefault="004A1D2D" w:rsidP="00424F77">
      <w:pPr>
        <w:pStyle w:val="BodyText"/>
        <w:jc w:val="both"/>
        <w:rPr>
          <w:b w:val="0"/>
          <w:lang w:eastAsia="en-GB"/>
        </w:rPr>
      </w:pPr>
      <w:r>
        <w:rPr>
          <w:b w:val="0"/>
        </w:rPr>
        <w:t xml:space="preserve">Although the </w:t>
      </w:r>
      <w:r w:rsidR="0095009A" w:rsidRPr="005C7678">
        <w:rPr>
          <w:b w:val="0"/>
        </w:rPr>
        <w:t>annual planned capitalised works budget (£200k p.a.)</w:t>
      </w:r>
      <w:r>
        <w:rPr>
          <w:b w:val="0"/>
        </w:rPr>
        <w:t xml:space="preserve"> will meet some of the investment requirements, the stock condition surveys are likely to identify a backlog of </w:t>
      </w:r>
      <w:r w:rsidR="009305E7">
        <w:rPr>
          <w:b w:val="0"/>
        </w:rPr>
        <w:t>works, with further significant resources require</w:t>
      </w:r>
      <w:r w:rsidR="001668C2">
        <w:rPr>
          <w:b w:val="0"/>
        </w:rPr>
        <w:t>d</w:t>
      </w:r>
      <w:r w:rsidR="0095009A" w:rsidRPr="005C7678">
        <w:rPr>
          <w:b w:val="0"/>
        </w:rPr>
        <w:t xml:space="preserve">.  </w:t>
      </w:r>
      <w:r w:rsidR="001668C2">
        <w:rPr>
          <w:b w:val="0"/>
        </w:rPr>
        <w:t>While the Council can consider</w:t>
      </w:r>
      <w:r w:rsidR="00705EF7" w:rsidRPr="005C7678">
        <w:rPr>
          <w:b w:val="0"/>
        </w:rPr>
        <w:t xml:space="preserve"> the potential re-configuration of operational assets which as a result of changes in working practices are no longer required on such a scale; as well as </w:t>
      </w:r>
      <w:r w:rsidR="0095009A" w:rsidRPr="005C7678">
        <w:rPr>
          <w:b w:val="0"/>
        </w:rPr>
        <w:t>the potential disposal/transfer of specific assets which may in turn relieve the Council o</w:t>
      </w:r>
      <w:r w:rsidR="00012A00" w:rsidRPr="005C7678">
        <w:rPr>
          <w:b w:val="0"/>
        </w:rPr>
        <w:t>f</w:t>
      </w:r>
      <w:r w:rsidR="0095009A" w:rsidRPr="005C7678">
        <w:rPr>
          <w:b w:val="0"/>
        </w:rPr>
        <w:t xml:space="preserve"> the ongoing repair liability</w:t>
      </w:r>
      <w:r w:rsidR="00C97BD7">
        <w:rPr>
          <w:b w:val="0"/>
        </w:rPr>
        <w:t>, the potential implications for LGR and the new unitary authority will need to be carefully considered so as not to create any legacy issues</w:t>
      </w:r>
      <w:r w:rsidR="0095009A" w:rsidRPr="005C7678">
        <w:rPr>
          <w:b w:val="0"/>
        </w:rPr>
        <w:t xml:space="preserve">.  </w:t>
      </w:r>
      <w:r w:rsidR="00424F77" w:rsidRPr="005C7678">
        <w:rPr>
          <w:b w:val="0"/>
        </w:rPr>
        <w:t xml:space="preserve">In order to provide additional resource, </w:t>
      </w:r>
      <w:r w:rsidR="006D444C" w:rsidRPr="005C7678">
        <w:rPr>
          <w:b w:val="0"/>
        </w:rPr>
        <w:t xml:space="preserve">where possible </w:t>
      </w:r>
      <w:r w:rsidR="00424F77" w:rsidRPr="005C7678">
        <w:rPr>
          <w:b w:val="0"/>
        </w:rPr>
        <w:t>the</w:t>
      </w:r>
      <w:r w:rsidR="006D444C" w:rsidRPr="005C7678">
        <w:rPr>
          <w:b w:val="0"/>
        </w:rPr>
        <w:t xml:space="preserve"> short</w:t>
      </w:r>
      <w:r w:rsidR="00727DD5" w:rsidRPr="005C7678">
        <w:rPr>
          <w:b w:val="0"/>
        </w:rPr>
        <w:t>-</w:t>
      </w:r>
      <w:r w:rsidR="006D444C" w:rsidRPr="005C7678">
        <w:rPr>
          <w:b w:val="0"/>
        </w:rPr>
        <w:t>term</w:t>
      </w:r>
      <w:r w:rsidR="00630E01" w:rsidRPr="005C7678">
        <w:rPr>
          <w:b w:val="0"/>
          <w:lang w:eastAsia="en-GB"/>
        </w:rPr>
        <w:t xml:space="preserve"> priority for any surplus capital receipts will to be investment in the Council’s existing assets</w:t>
      </w:r>
      <w:r w:rsidR="00424F77" w:rsidRPr="005C7678">
        <w:rPr>
          <w:b w:val="0"/>
          <w:lang w:eastAsia="en-GB"/>
        </w:rPr>
        <w:t xml:space="preserve">.  </w:t>
      </w:r>
      <w:r w:rsidR="008A6C44" w:rsidRPr="005C7678">
        <w:rPr>
          <w:b w:val="0"/>
          <w:lang w:eastAsia="en-GB"/>
        </w:rPr>
        <w:t>Consideration will also be given to the use of prudential borrowing for income generating assets</w:t>
      </w:r>
      <w:r w:rsidR="00446CED" w:rsidRPr="005C7678">
        <w:rPr>
          <w:b w:val="0"/>
          <w:lang w:eastAsia="en-GB"/>
        </w:rPr>
        <w:t xml:space="preserve"> and in the absence of any other funding source</w:t>
      </w:r>
      <w:r w:rsidR="008A6C44" w:rsidRPr="005C7678">
        <w:rPr>
          <w:b w:val="0"/>
          <w:lang w:eastAsia="en-GB"/>
        </w:rPr>
        <w:t>.</w:t>
      </w:r>
    </w:p>
    <w:p w14:paraId="019DBE26" w14:textId="77777777" w:rsidR="00CC7983" w:rsidRPr="002B172D" w:rsidRDefault="00CC7983" w:rsidP="0095009A">
      <w:pPr>
        <w:pStyle w:val="Heading1"/>
        <w:autoSpaceDE w:val="0"/>
        <w:autoSpaceDN w:val="0"/>
        <w:adjustRightInd w:val="0"/>
        <w:rPr>
          <w:color w:val="C45911"/>
          <w:highlight w:val="cyan"/>
        </w:rPr>
      </w:pPr>
    </w:p>
    <w:p w14:paraId="44FA5DEF" w14:textId="71228740" w:rsidR="0095009A" w:rsidRPr="00236B33" w:rsidRDefault="0095009A" w:rsidP="0095009A">
      <w:pPr>
        <w:pStyle w:val="Heading1"/>
        <w:autoSpaceDE w:val="0"/>
        <w:autoSpaceDN w:val="0"/>
        <w:adjustRightInd w:val="0"/>
        <w:rPr>
          <w:color w:val="C45911"/>
        </w:rPr>
      </w:pPr>
      <w:r w:rsidRPr="00236B33">
        <w:rPr>
          <w:color w:val="C45911"/>
        </w:rPr>
        <w:t>Resources</w:t>
      </w:r>
    </w:p>
    <w:p w14:paraId="53F27769" w14:textId="77777777" w:rsidR="0095009A" w:rsidRPr="002B172D" w:rsidRDefault="0095009A" w:rsidP="0095009A">
      <w:pPr>
        <w:autoSpaceDE w:val="0"/>
        <w:autoSpaceDN w:val="0"/>
        <w:adjustRightInd w:val="0"/>
        <w:rPr>
          <w:rFonts w:ascii="Arial" w:hAnsi="Arial" w:cs="Arial"/>
          <w:b/>
          <w:highlight w:val="cyan"/>
        </w:rPr>
      </w:pPr>
    </w:p>
    <w:p w14:paraId="401C7EA4" w14:textId="0ECABC52" w:rsidR="00123F1E" w:rsidRPr="006F7789" w:rsidRDefault="00123F1E" w:rsidP="00123F1E">
      <w:pPr>
        <w:autoSpaceDE w:val="0"/>
        <w:autoSpaceDN w:val="0"/>
        <w:adjustRightInd w:val="0"/>
        <w:jc w:val="both"/>
        <w:rPr>
          <w:rFonts w:ascii="Arial" w:hAnsi="Arial" w:cs="Arial"/>
        </w:rPr>
      </w:pPr>
      <w:r>
        <w:rPr>
          <w:rFonts w:ascii="Arial" w:hAnsi="Arial" w:cs="Arial"/>
        </w:rPr>
        <w:t xml:space="preserve">Historically the GIP has been funded through a combination of capital receipts, </w:t>
      </w:r>
      <w:r w:rsidR="00E52CDB">
        <w:rPr>
          <w:rFonts w:ascii="Arial" w:hAnsi="Arial" w:cs="Arial"/>
        </w:rPr>
        <w:t>prudential borrowing and revenue contributions.  However</w:t>
      </w:r>
      <w:r w:rsidR="00EC6916">
        <w:rPr>
          <w:rFonts w:ascii="Arial" w:hAnsi="Arial" w:cs="Arial"/>
        </w:rPr>
        <w:t>,</w:t>
      </w:r>
      <w:r w:rsidR="00E52CDB">
        <w:rPr>
          <w:rFonts w:ascii="Arial" w:hAnsi="Arial" w:cs="Arial"/>
        </w:rPr>
        <w:t xml:space="preserve"> due to the constraints around each of these funding sources</w:t>
      </w:r>
      <w:r w:rsidR="00EC6916">
        <w:rPr>
          <w:rFonts w:ascii="Arial" w:hAnsi="Arial" w:cs="Arial"/>
        </w:rPr>
        <w:t xml:space="preserve"> (capital receipts are constrained by </w:t>
      </w:r>
      <w:r w:rsidR="00CE006B">
        <w:rPr>
          <w:rFonts w:ascii="Arial" w:hAnsi="Arial" w:cs="Arial"/>
        </w:rPr>
        <w:t xml:space="preserve">their unsustainable nature </w:t>
      </w:r>
      <w:r w:rsidR="00EC6916">
        <w:rPr>
          <w:rFonts w:ascii="Arial" w:hAnsi="Arial" w:cs="Arial"/>
        </w:rPr>
        <w:t>and borrowing and revenue contributions have been constrained by</w:t>
      </w:r>
      <w:r w:rsidR="00FD0829">
        <w:rPr>
          <w:rFonts w:ascii="Arial" w:hAnsi="Arial" w:cs="Arial"/>
        </w:rPr>
        <w:t xml:space="preserve"> the historical budget gap in the MTFS and in recent years the high cost of borrowing)</w:t>
      </w:r>
      <w:r w:rsidR="00E52CDB">
        <w:rPr>
          <w:rFonts w:ascii="Arial" w:hAnsi="Arial" w:cs="Arial"/>
        </w:rPr>
        <w:t xml:space="preserve">, there has been a reliance on </w:t>
      </w:r>
      <w:r w:rsidR="00EC6916">
        <w:rPr>
          <w:rFonts w:ascii="Arial" w:hAnsi="Arial" w:cs="Arial"/>
        </w:rPr>
        <w:t xml:space="preserve">securing external funding to support the Council’s vision and strategic priorities.  </w:t>
      </w:r>
    </w:p>
    <w:p w14:paraId="662C8DE2" w14:textId="77777777" w:rsidR="00806166" w:rsidRPr="005C7678" w:rsidRDefault="00806166" w:rsidP="0095009A">
      <w:pPr>
        <w:autoSpaceDE w:val="0"/>
        <w:autoSpaceDN w:val="0"/>
        <w:adjustRightInd w:val="0"/>
        <w:jc w:val="both"/>
        <w:rPr>
          <w:rFonts w:ascii="Arial" w:hAnsi="Arial" w:cs="Arial"/>
        </w:rPr>
      </w:pPr>
    </w:p>
    <w:p w14:paraId="18F50B46" w14:textId="1FB3576B" w:rsidR="006C0253" w:rsidRPr="006F7789" w:rsidRDefault="002D1F31" w:rsidP="00553BCE">
      <w:pPr>
        <w:pStyle w:val="Heading5"/>
        <w:ind w:left="0"/>
        <w:rPr>
          <w:b w:val="0"/>
          <w:i/>
          <w:color w:val="auto"/>
          <w:sz w:val="24"/>
          <w:shd w:val="clear" w:color="auto" w:fill="FFFFFF"/>
        </w:rPr>
      </w:pPr>
      <w:r>
        <w:rPr>
          <w:b w:val="0"/>
          <w:color w:val="auto"/>
          <w:sz w:val="24"/>
        </w:rPr>
        <w:t>Successfully attracting</w:t>
      </w:r>
      <w:r w:rsidR="003153D8">
        <w:rPr>
          <w:b w:val="0"/>
          <w:color w:val="auto"/>
          <w:sz w:val="24"/>
        </w:rPr>
        <w:t xml:space="preserve"> e</w:t>
      </w:r>
      <w:r w:rsidR="00025987" w:rsidRPr="006F7789">
        <w:rPr>
          <w:b w:val="0"/>
          <w:color w:val="auto"/>
          <w:sz w:val="24"/>
        </w:rPr>
        <w:t xml:space="preserve">xternal grant funding </w:t>
      </w:r>
      <w:r w:rsidR="003153D8">
        <w:rPr>
          <w:b w:val="0"/>
          <w:color w:val="auto"/>
          <w:sz w:val="24"/>
        </w:rPr>
        <w:t xml:space="preserve">and partner contributions </w:t>
      </w:r>
      <w:r w:rsidR="00C61D1D" w:rsidRPr="006F7789">
        <w:rPr>
          <w:b w:val="0"/>
          <w:color w:val="auto"/>
          <w:sz w:val="24"/>
        </w:rPr>
        <w:t>ha</w:t>
      </w:r>
      <w:r w:rsidR="00C6313A" w:rsidRPr="006F7789">
        <w:rPr>
          <w:b w:val="0"/>
          <w:color w:val="auto"/>
          <w:sz w:val="24"/>
        </w:rPr>
        <w:t>s</w:t>
      </w:r>
      <w:r w:rsidR="00136565" w:rsidRPr="006F7789">
        <w:rPr>
          <w:b w:val="0"/>
          <w:color w:val="auto"/>
          <w:sz w:val="24"/>
        </w:rPr>
        <w:t xml:space="preserve"> </w:t>
      </w:r>
      <w:r w:rsidR="00025987" w:rsidRPr="006F7789">
        <w:rPr>
          <w:b w:val="0"/>
          <w:color w:val="auto"/>
          <w:sz w:val="24"/>
        </w:rPr>
        <w:t>enabl</w:t>
      </w:r>
      <w:r w:rsidR="00C61D1D" w:rsidRPr="006F7789">
        <w:rPr>
          <w:b w:val="0"/>
          <w:color w:val="auto"/>
          <w:sz w:val="24"/>
        </w:rPr>
        <w:t>ed</w:t>
      </w:r>
      <w:r w:rsidR="00025987" w:rsidRPr="006F7789">
        <w:rPr>
          <w:b w:val="0"/>
          <w:color w:val="auto"/>
          <w:sz w:val="24"/>
        </w:rPr>
        <w:t xml:space="preserve"> </w:t>
      </w:r>
      <w:r w:rsidR="00BC5479" w:rsidRPr="006F7789">
        <w:rPr>
          <w:b w:val="0"/>
          <w:color w:val="auto"/>
          <w:sz w:val="24"/>
        </w:rPr>
        <w:t xml:space="preserve">the delivery of </w:t>
      </w:r>
      <w:r w:rsidR="00025987" w:rsidRPr="006F7789">
        <w:rPr>
          <w:b w:val="0"/>
          <w:color w:val="auto"/>
          <w:sz w:val="24"/>
        </w:rPr>
        <w:t xml:space="preserve">a considerable number of </w:t>
      </w:r>
      <w:r w:rsidR="00183F98">
        <w:rPr>
          <w:b w:val="0"/>
          <w:color w:val="auto"/>
          <w:sz w:val="24"/>
        </w:rPr>
        <w:t xml:space="preserve">high profile </w:t>
      </w:r>
      <w:r w:rsidR="00025987" w:rsidRPr="006F7789">
        <w:rPr>
          <w:b w:val="0"/>
          <w:color w:val="auto"/>
          <w:sz w:val="24"/>
        </w:rPr>
        <w:t>capital schemes for the Council</w:t>
      </w:r>
      <w:r w:rsidR="00183F98">
        <w:rPr>
          <w:b w:val="0"/>
          <w:color w:val="auto"/>
          <w:sz w:val="24"/>
        </w:rPr>
        <w:t>,</w:t>
      </w:r>
      <w:r w:rsidR="00025987" w:rsidRPr="006F7789">
        <w:rPr>
          <w:b w:val="0"/>
          <w:color w:val="auto"/>
          <w:sz w:val="24"/>
        </w:rPr>
        <w:t xml:space="preserve"> </w:t>
      </w:r>
      <w:r w:rsidR="00572CCD" w:rsidRPr="006F7789">
        <w:rPr>
          <w:b w:val="0"/>
          <w:color w:val="auto"/>
          <w:sz w:val="24"/>
        </w:rPr>
        <w:t>and continues for do so</w:t>
      </w:r>
      <w:r w:rsidR="00183F98">
        <w:rPr>
          <w:b w:val="0"/>
          <w:color w:val="auto"/>
          <w:sz w:val="24"/>
        </w:rPr>
        <w:t>,</w:t>
      </w:r>
      <w:r w:rsidR="00572CCD" w:rsidRPr="006F7789">
        <w:rPr>
          <w:b w:val="0"/>
          <w:color w:val="auto"/>
          <w:sz w:val="24"/>
        </w:rPr>
        <w:t xml:space="preserve"> </w:t>
      </w:r>
      <w:r w:rsidR="00025987" w:rsidRPr="006F7789">
        <w:rPr>
          <w:b w:val="0"/>
          <w:color w:val="auto"/>
          <w:sz w:val="24"/>
        </w:rPr>
        <w:t xml:space="preserve">e.g. </w:t>
      </w:r>
      <w:r w:rsidR="00CE0877" w:rsidRPr="006F7789">
        <w:rPr>
          <w:b w:val="0"/>
          <w:color w:val="auto"/>
          <w:sz w:val="24"/>
        </w:rPr>
        <w:t xml:space="preserve">Lincoln </w:t>
      </w:r>
      <w:r w:rsidR="00CC5BBE" w:rsidRPr="006F7789">
        <w:rPr>
          <w:b w:val="0"/>
          <w:color w:val="auto"/>
          <w:sz w:val="24"/>
        </w:rPr>
        <w:t>Town</w:t>
      </w:r>
      <w:r w:rsidR="00A67A26" w:rsidRPr="006F7789">
        <w:rPr>
          <w:b w:val="0"/>
          <w:color w:val="auto"/>
          <w:sz w:val="24"/>
        </w:rPr>
        <w:t xml:space="preserve"> Deal </w:t>
      </w:r>
      <w:r w:rsidR="00CE0877" w:rsidRPr="006F7789">
        <w:rPr>
          <w:b w:val="0"/>
          <w:color w:val="auto"/>
          <w:sz w:val="24"/>
        </w:rPr>
        <w:t>Programme</w:t>
      </w:r>
      <w:r w:rsidR="00183F98">
        <w:rPr>
          <w:b w:val="0"/>
          <w:color w:val="auto"/>
          <w:sz w:val="24"/>
        </w:rPr>
        <w:t>, Cha</w:t>
      </w:r>
      <w:r w:rsidR="007D6F1D">
        <w:rPr>
          <w:b w:val="0"/>
          <w:color w:val="auto"/>
          <w:sz w:val="24"/>
        </w:rPr>
        <w:t>r</w:t>
      </w:r>
      <w:r w:rsidR="00183F98">
        <w:rPr>
          <w:b w:val="0"/>
          <w:color w:val="auto"/>
          <w:sz w:val="24"/>
        </w:rPr>
        <w:t>terholme Levelling Up Fund and</w:t>
      </w:r>
      <w:r w:rsidR="001F56A8">
        <w:rPr>
          <w:b w:val="0"/>
          <w:color w:val="auto"/>
          <w:sz w:val="24"/>
        </w:rPr>
        <w:t xml:space="preserve"> Accelerated Construction Fund, </w:t>
      </w:r>
      <w:r w:rsidR="00536EB6">
        <w:rPr>
          <w:b w:val="0"/>
          <w:color w:val="auto"/>
          <w:sz w:val="24"/>
        </w:rPr>
        <w:t>Greyfrairs National Lottery Heritage Fund etc.</w:t>
      </w:r>
    </w:p>
    <w:p w14:paraId="407F13A8" w14:textId="0BBE3C92" w:rsidR="006C0253" w:rsidRPr="006F7789" w:rsidRDefault="006C0253" w:rsidP="0095009A">
      <w:pPr>
        <w:autoSpaceDE w:val="0"/>
        <w:autoSpaceDN w:val="0"/>
        <w:adjustRightInd w:val="0"/>
        <w:jc w:val="both"/>
        <w:rPr>
          <w:rFonts w:ascii="Arial" w:hAnsi="Arial" w:cs="Arial"/>
        </w:rPr>
      </w:pPr>
    </w:p>
    <w:p w14:paraId="0D46F2B7" w14:textId="3DEC24F1" w:rsidR="00696593" w:rsidRPr="006F7789" w:rsidRDefault="00806166" w:rsidP="0095009A">
      <w:pPr>
        <w:autoSpaceDE w:val="0"/>
        <w:autoSpaceDN w:val="0"/>
        <w:adjustRightInd w:val="0"/>
        <w:jc w:val="both"/>
        <w:rPr>
          <w:rFonts w:ascii="Arial" w:hAnsi="Arial" w:cs="Arial"/>
        </w:rPr>
      </w:pPr>
      <w:r w:rsidRPr="006F7789">
        <w:rPr>
          <w:rFonts w:ascii="Arial" w:hAnsi="Arial" w:cs="Arial"/>
        </w:rPr>
        <w:t>The Council is mindful though that w</w:t>
      </w:r>
      <w:r w:rsidR="0095009A" w:rsidRPr="006F7789">
        <w:rPr>
          <w:rFonts w:ascii="Arial" w:hAnsi="Arial" w:cs="Arial"/>
        </w:rPr>
        <w:t xml:space="preserve">hilst the additional resources that external funding brings are clearly beneficial to local people, there is the danger that schemes funded may not be the Council’s highest priorities and the Council must consider carefully </w:t>
      </w:r>
      <w:r w:rsidRPr="006F7789">
        <w:rPr>
          <w:rFonts w:ascii="Arial" w:hAnsi="Arial" w:cs="Arial"/>
        </w:rPr>
        <w:t xml:space="preserve">how to allocate </w:t>
      </w:r>
      <w:r w:rsidR="004422B8" w:rsidRPr="006F7789">
        <w:rPr>
          <w:rFonts w:ascii="Arial" w:hAnsi="Arial" w:cs="Arial"/>
        </w:rPr>
        <w:t>its</w:t>
      </w:r>
      <w:r w:rsidR="0095009A" w:rsidRPr="006F7789">
        <w:rPr>
          <w:rFonts w:ascii="Arial" w:hAnsi="Arial" w:cs="Arial"/>
        </w:rPr>
        <w:t xml:space="preserve"> capacity to support such schemes.  </w:t>
      </w:r>
      <w:r w:rsidR="00696593" w:rsidRPr="006F7789">
        <w:rPr>
          <w:rFonts w:ascii="Arial" w:hAnsi="Arial" w:cs="Arial"/>
        </w:rPr>
        <w:t>Furthermore</w:t>
      </w:r>
      <w:r w:rsidR="003066AE" w:rsidRPr="006F7789">
        <w:rPr>
          <w:rFonts w:ascii="Arial" w:hAnsi="Arial" w:cs="Arial"/>
        </w:rPr>
        <w:t>,</w:t>
      </w:r>
      <w:r w:rsidR="00696593" w:rsidRPr="006F7789">
        <w:rPr>
          <w:rFonts w:ascii="Arial" w:hAnsi="Arial" w:cs="Arial"/>
        </w:rPr>
        <w:t xml:space="preserve"> the Council needs to carefully consider whether it is able to meet the outputs and outcomes required from external grant support</w:t>
      </w:r>
      <w:r w:rsidR="002C207C" w:rsidRPr="006F7789">
        <w:rPr>
          <w:rFonts w:ascii="Arial" w:hAnsi="Arial" w:cs="Arial"/>
        </w:rPr>
        <w:t xml:space="preserve"> and in the current economic climate it must consider how any </w:t>
      </w:r>
      <w:r w:rsidR="004E64B8" w:rsidRPr="006F7789">
        <w:rPr>
          <w:rFonts w:ascii="Arial" w:hAnsi="Arial" w:cs="Arial"/>
        </w:rPr>
        <w:t>cost increases above grant allocations would be managed.</w:t>
      </w:r>
    </w:p>
    <w:p w14:paraId="4A706E15" w14:textId="77777777" w:rsidR="002A207B" w:rsidRPr="00B90B08" w:rsidRDefault="002A207B" w:rsidP="0095009A">
      <w:pPr>
        <w:autoSpaceDE w:val="0"/>
        <w:autoSpaceDN w:val="0"/>
        <w:adjustRightInd w:val="0"/>
        <w:jc w:val="both"/>
        <w:rPr>
          <w:rFonts w:ascii="Arial" w:hAnsi="Arial" w:cs="Arial"/>
          <w:b/>
          <w:highlight w:val="green"/>
        </w:rPr>
      </w:pPr>
    </w:p>
    <w:p w14:paraId="563BE6C8" w14:textId="77777777" w:rsidR="0095009A" w:rsidRPr="003D1725" w:rsidRDefault="0095009A" w:rsidP="0095009A">
      <w:pPr>
        <w:autoSpaceDE w:val="0"/>
        <w:autoSpaceDN w:val="0"/>
        <w:adjustRightInd w:val="0"/>
        <w:jc w:val="both"/>
        <w:rPr>
          <w:rFonts w:ascii="Arial" w:hAnsi="Arial" w:cs="Arial"/>
          <w:b/>
        </w:rPr>
      </w:pPr>
      <w:r w:rsidRPr="003D1725">
        <w:rPr>
          <w:rFonts w:ascii="Arial" w:hAnsi="Arial" w:cs="Arial"/>
          <w:b/>
        </w:rPr>
        <w:t>Capital Receipts</w:t>
      </w:r>
    </w:p>
    <w:p w14:paraId="5311679D" w14:textId="77777777" w:rsidR="0095009A" w:rsidRPr="003D1725" w:rsidRDefault="0095009A" w:rsidP="0095009A">
      <w:pPr>
        <w:autoSpaceDE w:val="0"/>
        <w:autoSpaceDN w:val="0"/>
        <w:adjustRightInd w:val="0"/>
        <w:jc w:val="both"/>
        <w:rPr>
          <w:rFonts w:ascii="Arial" w:hAnsi="Arial" w:cs="Arial"/>
        </w:rPr>
      </w:pPr>
    </w:p>
    <w:p w14:paraId="5DC0CD85" w14:textId="75E789FC" w:rsidR="0095009A" w:rsidRPr="003D1725" w:rsidRDefault="0095009A" w:rsidP="0095009A">
      <w:pPr>
        <w:autoSpaceDE w:val="0"/>
        <w:autoSpaceDN w:val="0"/>
        <w:adjustRightInd w:val="0"/>
        <w:jc w:val="both"/>
        <w:rPr>
          <w:rFonts w:ascii="Arial" w:hAnsi="Arial" w:cs="Arial"/>
        </w:rPr>
      </w:pPr>
      <w:r w:rsidRPr="003D1725">
        <w:rPr>
          <w:rFonts w:ascii="Arial" w:hAnsi="Arial" w:cs="Arial"/>
        </w:rPr>
        <w:t xml:space="preserve">As part of the </w:t>
      </w:r>
      <w:r w:rsidR="004600DD" w:rsidRPr="003D1725">
        <w:rPr>
          <w:rFonts w:ascii="Arial" w:hAnsi="Arial" w:cs="Arial"/>
        </w:rPr>
        <w:t>Be</w:t>
      </w:r>
      <w:r w:rsidR="00706FB9" w:rsidRPr="003D1725">
        <w:rPr>
          <w:rFonts w:ascii="Arial" w:hAnsi="Arial" w:cs="Arial"/>
        </w:rPr>
        <w:t>tter</w:t>
      </w:r>
      <w:r w:rsidR="004600DD" w:rsidRPr="003D1725">
        <w:rPr>
          <w:rFonts w:ascii="Arial" w:hAnsi="Arial" w:cs="Arial"/>
        </w:rPr>
        <w:t xml:space="preserve"> Use of Assets pillar of the One Council programme</w:t>
      </w:r>
      <w:r w:rsidRPr="003D1725">
        <w:rPr>
          <w:rFonts w:ascii="Arial" w:hAnsi="Arial" w:cs="Arial"/>
        </w:rPr>
        <w:t xml:space="preserve"> </w:t>
      </w:r>
      <w:r w:rsidR="00696593" w:rsidRPr="003D1725">
        <w:rPr>
          <w:rFonts w:ascii="Arial" w:hAnsi="Arial" w:cs="Arial"/>
        </w:rPr>
        <w:t>and as sound asset management practice</w:t>
      </w:r>
      <w:r w:rsidR="000C492B" w:rsidRPr="003D1725">
        <w:rPr>
          <w:rFonts w:ascii="Arial" w:hAnsi="Arial" w:cs="Arial"/>
        </w:rPr>
        <w:t>,</w:t>
      </w:r>
      <w:r w:rsidR="00696593" w:rsidRPr="003D1725">
        <w:rPr>
          <w:rFonts w:ascii="Arial" w:hAnsi="Arial" w:cs="Arial"/>
        </w:rPr>
        <w:t xml:space="preserve"> </w:t>
      </w:r>
      <w:r w:rsidRPr="003D1725">
        <w:rPr>
          <w:rFonts w:ascii="Arial" w:hAnsi="Arial" w:cs="Arial"/>
        </w:rPr>
        <w:t xml:space="preserve">the Council </w:t>
      </w:r>
      <w:r w:rsidR="00696593" w:rsidRPr="003D1725">
        <w:rPr>
          <w:rFonts w:ascii="Arial" w:hAnsi="Arial" w:cs="Arial"/>
        </w:rPr>
        <w:t>continually</w:t>
      </w:r>
      <w:r w:rsidRPr="003D1725">
        <w:rPr>
          <w:rFonts w:ascii="Arial" w:hAnsi="Arial" w:cs="Arial"/>
        </w:rPr>
        <w:t xml:space="preserve"> review</w:t>
      </w:r>
      <w:r w:rsidR="00696593" w:rsidRPr="003D1725">
        <w:rPr>
          <w:rFonts w:ascii="Arial" w:hAnsi="Arial" w:cs="Arial"/>
        </w:rPr>
        <w:t>s</w:t>
      </w:r>
      <w:r w:rsidRPr="003D1725">
        <w:rPr>
          <w:rFonts w:ascii="Arial" w:hAnsi="Arial" w:cs="Arial"/>
        </w:rPr>
        <w:t xml:space="preserve"> its land and property assets </w:t>
      </w:r>
      <w:r w:rsidR="00696593" w:rsidRPr="003D1725">
        <w:rPr>
          <w:rFonts w:ascii="Arial" w:hAnsi="Arial" w:cs="Arial"/>
        </w:rPr>
        <w:t xml:space="preserve">in order </w:t>
      </w:r>
      <w:r w:rsidR="00327C89" w:rsidRPr="003D1725">
        <w:rPr>
          <w:rFonts w:ascii="Arial" w:hAnsi="Arial" w:cs="Arial"/>
        </w:rPr>
        <w:t>to: -</w:t>
      </w:r>
    </w:p>
    <w:p w14:paraId="48995F34" w14:textId="77777777" w:rsidR="0095009A" w:rsidRPr="003D1725" w:rsidRDefault="0095009A" w:rsidP="0095009A">
      <w:pPr>
        <w:autoSpaceDE w:val="0"/>
        <w:autoSpaceDN w:val="0"/>
        <w:adjustRightInd w:val="0"/>
        <w:jc w:val="both"/>
        <w:rPr>
          <w:rFonts w:ascii="Arial" w:hAnsi="Arial" w:cs="Arial"/>
        </w:rPr>
      </w:pPr>
    </w:p>
    <w:p w14:paraId="3EE61958" w14:textId="77777777" w:rsidR="0095009A" w:rsidRPr="003D1725" w:rsidRDefault="00696593" w:rsidP="00CF25BB">
      <w:pPr>
        <w:numPr>
          <w:ilvl w:val="0"/>
          <w:numId w:val="27"/>
        </w:numPr>
        <w:autoSpaceDE w:val="0"/>
        <w:autoSpaceDN w:val="0"/>
        <w:adjustRightInd w:val="0"/>
        <w:jc w:val="both"/>
        <w:rPr>
          <w:rFonts w:ascii="Arial" w:hAnsi="Arial" w:cs="Arial"/>
        </w:rPr>
      </w:pPr>
      <w:r w:rsidRPr="003D1725">
        <w:rPr>
          <w:rFonts w:ascii="Arial" w:hAnsi="Arial" w:cs="Arial"/>
        </w:rPr>
        <w:t>reduce</w:t>
      </w:r>
      <w:r w:rsidR="0095009A" w:rsidRPr="003D1725">
        <w:rPr>
          <w:rFonts w:ascii="Arial" w:hAnsi="Arial" w:cs="Arial"/>
        </w:rPr>
        <w:t xml:space="preserve"> revenue costs,</w:t>
      </w:r>
    </w:p>
    <w:p w14:paraId="1C671B70" w14:textId="77777777" w:rsidR="0095009A" w:rsidRPr="003D1725" w:rsidRDefault="00696593" w:rsidP="00CF25BB">
      <w:pPr>
        <w:numPr>
          <w:ilvl w:val="0"/>
          <w:numId w:val="27"/>
        </w:numPr>
        <w:autoSpaceDE w:val="0"/>
        <w:autoSpaceDN w:val="0"/>
        <w:adjustRightInd w:val="0"/>
        <w:jc w:val="both"/>
        <w:rPr>
          <w:rFonts w:ascii="Arial" w:hAnsi="Arial" w:cs="Arial"/>
        </w:rPr>
      </w:pPr>
      <w:r w:rsidRPr="003D1725">
        <w:rPr>
          <w:rFonts w:ascii="Arial" w:hAnsi="Arial" w:cs="Arial"/>
        </w:rPr>
        <w:t>increase</w:t>
      </w:r>
      <w:r w:rsidR="0095009A" w:rsidRPr="003D1725">
        <w:rPr>
          <w:rFonts w:ascii="Arial" w:hAnsi="Arial" w:cs="Arial"/>
        </w:rPr>
        <w:t xml:space="preserve"> rental income, </w:t>
      </w:r>
    </w:p>
    <w:p w14:paraId="3A9462B1" w14:textId="77777777" w:rsidR="0095009A" w:rsidRPr="003D1725" w:rsidRDefault="00696593" w:rsidP="00CF25BB">
      <w:pPr>
        <w:numPr>
          <w:ilvl w:val="0"/>
          <w:numId w:val="27"/>
        </w:numPr>
        <w:autoSpaceDE w:val="0"/>
        <w:autoSpaceDN w:val="0"/>
        <w:adjustRightInd w:val="0"/>
        <w:jc w:val="both"/>
        <w:rPr>
          <w:rFonts w:ascii="Arial" w:hAnsi="Arial" w:cs="Arial"/>
        </w:rPr>
      </w:pPr>
      <w:r w:rsidRPr="003D1725">
        <w:rPr>
          <w:rFonts w:ascii="Arial" w:hAnsi="Arial" w:cs="Arial"/>
        </w:rPr>
        <w:t xml:space="preserve">generate </w:t>
      </w:r>
      <w:r w:rsidR="0095009A" w:rsidRPr="003D1725">
        <w:rPr>
          <w:rFonts w:ascii="Arial" w:hAnsi="Arial" w:cs="Arial"/>
        </w:rPr>
        <w:t xml:space="preserve">capital receipts, </w:t>
      </w:r>
    </w:p>
    <w:p w14:paraId="699AF352" w14:textId="77777777" w:rsidR="0095009A" w:rsidRPr="003D1725" w:rsidRDefault="00696593" w:rsidP="00CF25BB">
      <w:pPr>
        <w:numPr>
          <w:ilvl w:val="0"/>
          <w:numId w:val="27"/>
        </w:numPr>
        <w:autoSpaceDE w:val="0"/>
        <w:autoSpaceDN w:val="0"/>
        <w:adjustRightInd w:val="0"/>
        <w:jc w:val="both"/>
        <w:rPr>
          <w:rFonts w:ascii="Arial" w:hAnsi="Arial" w:cs="Arial"/>
        </w:rPr>
      </w:pPr>
      <w:r w:rsidRPr="003D1725">
        <w:rPr>
          <w:rFonts w:ascii="Arial" w:hAnsi="Arial" w:cs="Arial"/>
        </w:rPr>
        <w:t>reduce</w:t>
      </w:r>
      <w:r w:rsidR="0095009A" w:rsidRPr="003D1725">
        <w:rPr>
          <w:rFonts w:ascii="Arial" w:hAnsi="Arial" w:cs="Arial"/>
        </w:rPr>
        <w:t xml:space="preserve"> repairs liabilities</w:t>
      </w:r>
    </w:p>
    <w:p w14:paraId="78757484" w14:textId="77777777" w:rsidR="0095009A" w:rsidRPr="003D1725" w:rsidRDefault="0095009A" w:rsidP="00CF25BB">
      <w:pPr>
        <w:numPr>
          <w:ilvl w:val="0"/>
          <w:numId w:val="27"/>
        </w:numPr>
        <w:autoSpaceDE w:val="0"/>
        <w:autoSpaceDN w:val="0"/>
        <w:adjustRightInd w:val="0"/>
        <w:jc w:val="both"/>
        <w:rPr>
          <w:rFonts w:ascii="Arial" w:hAnsi="Arial" w:cs="Arial"/>
        </w:rPr>
      </w:pPr>
      <w:r w:rsidRPr="003D1725">
        <w:rPr>
          <w:rFonts w:ascii="Arial" w:hAnsi="Arial" w:cs="Arial"/>
        </w:rPr>
        <w:t xml:space="preserve">use assets </w:t>
      </w:r>
      <w:r w:rsidR="00696593" w:rsidRPr="003D1725">
        <w:rPr>
          <w:rFonts w:ascii="Arial" w:hAnsi="Arial" w:cs="Arial"/>
        </w:rPr>
        <w:t>to support the</w:t>
      </w:r>
      <w:r w:rsidRPr="003D1725">
        <w:rPr>
          <w:rFonts w:ascii="Arial" w:hAnsi="Arial" w:cs="Arial"/>
        </w:rPr>
        <w:t xml:space="preserve"> Council’s growth plans. </w:t>
      </w:r>
    </w:p>
    <w:p w14:paraId="4D03E317" w14:textId="77777777" w:rsidR="0095009A" w:rsidRPr="003D1725" w:rsidRDefault="0095009A" w:rsidP="0095009A">
      <w:pPr>
        <w:autoSpaceDE w:val="0"/>
        <w:autoSpaceDN w:val="0"/>
        <w:adjustRightInd w:val="0"/>
        <w:ind w:left="60"/>
        <w:jc w:val="both"/>
        <w:rPr>
          <w:rFonts w:ascii="Arial" w:hAnsi="Arial" w:cs="Arial"/>
        </w:rPr>
      </w:pPr>
    </w:p>
    <w:p w14:paraId="3A3303A1" w14:textId="670E25E5" w:rsidR="00696593" w:rsidRPr="003D1725" w:rsidRDefault="00732B44" w:rsidP="0095009A">
      <w:pPr>
        <w:autoSpaceDE w:val="0"/>
        <w:autoSpaceDN w:val="0"/>
        <w:adjustRightInd w:val="0"/>
        <w:ind w:left="60"/>
        <w:jc w:val="both"/>
        <w:rPr>
          <w:rFonts w:ascii="Arial" w:hAnsi="Arial" w:cs="Arial"/>
        </w:rPr>
      </w:pPr>
      <w:r w:rsidRPr="003D1725">
        <w:rPr>
          <w:rFonts w:ascii="Arial" w:hAnsi="Arial" w:cs="Arial"/>
        </w:rPr>
        <w:t>Whilst there are no specific c</w:t>
      </w:r>
      <w:r w:rsidR="00BB2DAB" w:rsidRPr="003D1725">
        <w:rPr>
          <w:rFonts w:ascii="Arial" w:hAnsi="Arial" w:cs="Arial"/>
        </w:rPr>
        <w:t>apital</w:t>
      </w:r>
      <w:r w:rsidR="00781FE8" w:rsidRPr="003D1725">
        <w:rPr>
          <w:rFonts w:ascii="Arial" w:hAnsi="Arial" w:cs="Arial"/>
        </w:rPr>
        <w:t xml:space="preserve"> receipts forecast from land/property disposals</w:t>
      </w:r>
      <w:r w:rsidRPr="003D1725">
        <w:rPr>
          <w:rFonts w:ascii="Arial" w:hAnsi="Arial" w:cs="Arial"/>
        </w:rPr>
        <w:t xml:space="preserve"> as part of the Better Use of Assets pillar</w:t>
      </w:r>
      <w:r w:rsidR="00EF5A71" w:rsidRPr="003D1725">
        <w:rPr>
          <w:rFonts w:ascii="Arial" w:hAnsi="Arial" w:cs="Arial"/>
        </w:rPr>
        <w:t>,</w:t>
      </w:r>
      <w:r w:rsidRPr="003D1725">
        <w:rPr>
          <w:rFonts w:ascii="Arial" w:hAnsi="Arial" w:cs="Arial"/>
        </w:rPr>
        <w:t xml:space="preserve"> there are significant capital receipts forecast from the </w:t>
      </w:r>
      <w:r w:rsidR="002C0B9C" w:rsidRPr="003D1725">
        <w:rPr>
          <w:rFonts w:ascii="Arial" w:hAnsi="Arial" w:cs="Arial"/>
        </w:rPr>
        <w:t>sale</w:t>
      </w:r>
      <w:r w:rsidRPr="003D1725">
        <w:rPr>
          <w:rFonts w:ascii="Arial" w:hAnsi="Arial" w:cs="Arial"/>
        </w:rPr>
        <w:t xml:space="preserve"> of market homes </w:t>
      </w:r>
      <w:r w:rsidR="00FA3421" w:rsidRPr="003D1725">
        <w:rPr>
          <w:rFonts w:ascii="Arial" w:hAnsi="Arial" w:cs="Arial"/>
        </w:rPr>
        <w:t>built as par</w:t>
      </w:r>
      <w:r w:rsidR="00B13C4D" w:rsidRPr="003D1725">
        <w:rPr>
          <w:rFonts w:ascii="Arial" w:hAnsi="Arial" w:cs="Arial"/>
        </w:rPr>
        <w:t xml:space="preserve">t of the </w:t>
      </w:r>
      <w:r w:rsidR="00C3172B" w:rsidRPr="003D1725">
        <w:rPr>
          <w:rFonts w:ascii="Arial" w:hAnsi="Arial" w:cs="Arial"/>
        </w:rPr>
        <w:t>Charterholme development</w:t>
      </w:r>
      <w:r w:rsidR="00A073B9" w:rsidRPr="003D1725">
        <w:rPr>
          <w:rFonts w:ascii="Arial" w:hAnsi="Arial" w:cs="Arial"/>
        </w:rPr>
        <w:t>.</w:t>
      </w:r>
      <w:r w:rsidRPr="003D1725">
        <w:rPr>
          <w:rFonts w:ascii="Arial" w:hAnsi="Arial" w:cs="Arial"/>
        </w:rPr>
        <w:t xml:space="preserve"> Income will be received from house sales</w:t>
      </w:r>
      <w:r w:rsidR="00670BD0" w:rsidRPr="003D1725">
        <w:rPr>
          <w:rFonts w:ascii="Arial" w:hAnsi="Arial" w:cs="Arial"/>
        </w:rPr>
        <w:t xml:space="preserve"> </w:t>
      </w:r>
      <w:r w:rsidR="00BB23FE">
        <w:rPr>
          <w:rFonts w:ascii="Arial" w:hAnsi="Arial" w:cs="Arial"/>
        </w:rPr>
        <w:t xml:space="preserve">(with the first receipts received in 2025) </w:t>
      </w:r>
      <w:r w:rsidR="00670BD0" w:rsidRPr="003D1725">
        <w:rPr>
          <w:rFonts w:ascii="Arial" w:hAnsi="Arial" w:cs="Arial"/>
        </w:rPr>
        <w:t>via a</w:t>
      </w:r>
      <w:r w:rsidRPr="003D1725">
        <w:rPr>
          <w:rFonts w:ascii="Arial" w:hAnsi="Arial" w:cs="Arial"/>
        </w:rPr>
        <w:t xml:space="preserve"> development agreement</w:t>
      </w:r>
      <w:r w:rsidR="00670BD0" w:rsidRPr="003D1725">
        <w:rPr>
          <w:rFonts w:ascii="Arial" w:hAnsi="Arial" w:cs="Arial"/>
        </w:rPr>
        <w:t>, with a minimum land value return for the Council along with a profit share.</w:t>
      </w:r>
      <w:r w:rsidR="00781FE8" w:rsidRPr="003D1725">
        <w:rPr>
          <w:rFonts w:ascii="Arial" w:hAnsi="Arial" w:cs="Arial"/>
        </w:rPr>
        <w:t xml:space="preserve"> The</w:t>
      </w:r>
      <w:r w:rsidR="00670BD0" w:rsidRPr="003D1725">
        <w:rPr>
          <w:rFonts w:ascii="Arial" w:hAnsi="Arial" w:cs="Arial"/>
        </w:rPr>
        <w:t xml:space="preserve"> development is forecasted to generate net receipts of</w:t>
      </w:r>
      <w:r w:rsidR="00A12F61" w:rsidRPr="003D1725">
        <w:rPr>
          <w:rFonts w:ascii="Arial" w:hAnsi="Arial" w:cs="Arial"/>
        </w:rPr>
        <w:t xml:space="preserve"> £</w:t>
      </w:r>
      <w:r w:rsidR="006E6FB2" w:rsidRPr="003D1725">
        <w:rPr>
          <w:rFonts w:ascii="Arial" w:hAnsi="Arial" w:cs="Arial"/>
        </w:rPr>
        <w:t>1</w:t>
      </w:r>
      <w:r w:rsidR="00E41410" w:rsidRPr="003D1725">
        <w:rPr>
          <w:rFonts w:ascii="Arial" w:hAnsi="Arial" w:cs="Arial"/>
        </w:rPr>
        <w:t>.</w:t>
      </w:r>
      <w:r w:rsidR="000506D1" w:rsidRPr="003D1725">
        <w:rPr>
          <w:rFonts w:ascii="Arial" w:hAnsi="Arial" w:cs="Arial"/>
        </w:rPr>
        <w:t>008m</w:t>
      </w:r>
      <w:r w:rsidR="0070181C" w:rsidRPr="003D1725">
        <w:rPr>
          <w:rFonts w:ascii="Arial" w:hAnsi="Arial" w:cs="Arial"/>
        </w:rPr>
        <w:t xml:space="preserve"> which</w:t>
      </w:r>
      <w:r w:rsidR="00A12F61" w:rsidRPr="003D1725">
        <w:rPr>
          <w:rFonts w:ascii="Arial" w:hAnsi="Arial" w:cs="Arial"/>
        </w:rPr>
        <w:t xml:space="preserve"> </w:t>
      </w:r>
      <w:r w:rsidR="00781FE8" w:rsidRPr="003D1725">
        <w:rPr>
          <w:rFonts w:ascii="Arial" w:hAnsi="Arial" w:cs="Arial"/>
        </w:rPr>
        <w:t>will be retained within the scheme to contribute towards the capital costs of the development.</w:t>
      </w:r>
    </w:p>
    <w:p w14:paraId="62E55C9C" w14:textId="77777777" w:rsidR="006A5A09" w:rsidRPr="003D1725" w:rsidRDefault="006A5A09" w:rsidP="0095009A">
      <w:pPr>
        <w:autoSpaceDE w:val="0"/>
        <w:autoSpaceDN w:val="0"/>
        <w:adjustRightInd w:val="0"/>
        <w:ind w:left="60"/>
        <w:jc w:val="both"/>
        <w:rPr>
          <w:rFonts w:ascii="Arial" w:hAnsi="Arial" w:cs="Arial"/>
        </w:rPr>
      </w:pPr>
    </w:p>
    <w:p w14:paraId="791A27E9" w14:textId="60BFA23A" w:rsidR="006A5A09" w:rsidRPr="003D1725" w:rsidRDefault="006A5A09" w:rsidP="0095009A">
      <w:pPr>
        <w:autoSpaceDE w:val="0"/>
        <w:autoSpaceDN w:val="0"/>
        <w:adjustRightInd w:val="0"/>
        <w:ind w:left="60"/>
        <w:jc w:val="both"/>
        <w:rPr>
          <w:rFonts w:ascii="Arial" w:hAnsi="Arial" w:cs="Arial"/>
        </w:rPr>
      </w:pPr>
      <w:r w:rsidRPr="003D1725">
        <w:rPr>
          <w:rFonts w:ascii="Arial" w:hAnsi="Arial" w:cs="Arial"/>
        </w:rPr>
        <w:t>In addition</w:t>
      </w:r>
      <w:r w:rsidR="000506D1" w:rsidRPr="003D1725">
        <w:rPr>
          <w:rFonts w:ascii="Arial" w:hAnsi="Arial" w:cs="Arial"/>
        </w:rPr>
        <w:t>,</w:t>
      </w:r>
      <w:r w:rsidRPr="003D1725">
        <w:rPr>
          <w:rFonts w:ascii="Arial" w:hAnsi="Arial" w:cs="Arial"/>
        </w:rPr>
        <w:t xml:space="preserve"> there remains </w:t>
      </w:r>
      <w:r w:rsidR="00386AFE">
        <w:rPr>
          <w:rFonts w:ascii="Arial" w:hAnsi="Arial" w:cs="Arial"/>
        </w:rPr>
        <w:t>general</w:t>
      </w:r>
      <w:r w:rsidRPr="003D1725">
        <w:rPr>
          <w:rFonts w:ascii="Arial" w:hAnsi="Arial" w:cs="Arial"/>
        </w:rPr>
        <w:t xml:space="preserve"> unallocated capital receipts of </w:t>
      </w:r>
      <w:r w:rsidR="000506D1" w:rsidRPr="003D1725">
        <w:rPr>
          <w:rFonts w:ascii="Arial" w:hAnsi="Arial" w:cs="Arial"/>
        </w:rPr>
        <w:t>£</w:t>
      </w:r>
      <w:r w:rsidR="0098395C" w:rsidRPr="003D1725">
        <w:rPr>
          <w:rFonts w:ascii="Arial" w:hAnsi="Arial" w:cs="Arial"/>
        </w:rPr>
        <w:t>0.82</w:t>
      </w:r>
      <w:r w:rsidR="007D6F1D">
        <w:rPr>
          <w:rFonts w:ascii="Arial" w:hAnsi="Arial" w:cs="Arial"/>
        </w:rPr>
        <w:t>6</w:t>
      </w:r>
      <w:r w:rsidR="00443BA3" w:rsidRPr="003D1725">
        <w:rPr>
          <w:rFonts w:ascii="Arial" w:hAnsi="Arial" w:cs="Arial"/>
        </w:rPr>
        <w:t>m</w:t>
      </w:r>
      <w:r w:rsidR="00D36787" w:rsidRPr="003D1725">
        <w:rPr>
          <w:rFonts w:ascii="Arial" w:hAnsi="Arial" w:cs="Arial"/>
        </w:rPr>
        <w:t>.</w:t>
      </w:r>
    </w:p>
    <w:p w14:paraId="521F081C" w14:textId="77777777" w:rsidR="00904750" w:rsidRPr="003D1725" w:rsidRDefault="00904750" w:rsidP="0095009A">
      <w:pPr>
        <w:jc w:val="both"/>
        <w:rPr>
          <w:rFonts w:ascii="Arial" w:hAnsi="Arial" w:cs="Arial"/>
          <w:b/>
        </w:rPr>
      </w:pPr>
    </w:p>
    <w:p w14:paraId="0B870519" w14:textId="77777777" w:rsidR="0095009A" w:rsidRPr="003D1725" w:rsidRDefault="0095009A" w:rsidP="0095009A">
      <w:pPr>
        <w:jc w:val="both"/>
        <w:rPr>
          <w:rFonts w:ascii="Arial" w:hAnsi="Arial" w:cs="Arial"/>
          <w:b/>
        </w:rPr>
      </w:pPr>
      <w:r w:rsidRPr="003D1725">
        <w:rPr>
          <w:rFonts w:ascii="Arial" w:hAnsi="Arial" w:cs="Arial"/>
          <w:b/>
        </w:rPr>
        <w:t>Prudential Borrowing</w:t>
      </w:r>
    </w:p>
    <w:p w14:paraId="55DB4B46" w14:textId="77777777" w:rsidR="0095009A" w:rsidRPr="003D1725" w:rsidRDefault="0095009A" w:rsidP="0095009A">
      <w:pPr>
        <w:jc w:val="both"/>
        <w:rPr>
          <w:rFonts w:ascii="Arial" w:hAnsi="Arial" w:cs="Arial"/>
        </w:rPr>
      </w:pPr>
    </w:p>
    <w:p w14:paraId="58E3A94D" w14:textId="3628CE72" w:rsidR="0095009A" w:rsidRDefault="0095009A" w:rsidP="0095009A">
      <w:pPr>
        <w:autoSpaceDE w:val="0"/>
        <w:autoSpaceDN w:val="0"/>
        <w:adjustRightInd w:val="0"/>
        <w:jc w:val="both"/>
        <w:rPr>
          <w:rFonts w:ascii="Arial" w:hAnsi="Arial" w:cs="Arial"/>
        </w:rPr>
      </w:pPr>
      <w:r w:rsidRPr="003D1725">
        <w:rPr>
          <w:rFonts w:ascii="Arial" w:hAnsi="Arial" w:cs="Arial"/>
        </w:rPr>
        <w:t xml:space="preserve">The basic principle of the Prudential System is that local authorities are free to invest so long as their capital spending plans are affordable, prudent and sustainable. The Council will need to meet the whole of the capital financing costs associated with any level of extra borrowing through its revenue account.  </w:t>
      </w:r>
    </w:p>
    <w:p w14:paraId="6166490E" w14:textId="77777777" w:rsidR="007C023C" w:rsidRDefault="007C023C" w:rsidP="0095009A">
      <w:pPr>
        <w:autoSpaceDE w:val="0"/>
        <w:autoSpaceDN w:val="0"/>
        <w:adjustRightInd w:val="0"/>
        <w:jc w:val="both"/>
        <w:rPr>
          <w:rFonts w:ascii="Arial" w:hAnsi="Arial" w:cs="Arial"/>
        </w:rPr>
      </w:pPr>
    </w:p>
    <w:p w14:paraId="0E721576" w14:textId="354FF211" w:rsidR="007C023C" w:rsidRDefault="007C023C" w:rsidP="007C023C">
      <w:pPr>
        <w:jc w:val="both"/>
        <w:rPr>
          <w:rFonts w:ascii="Arial" w:hAnsi="Arial" w:cs="Arial"/>
        </w:rPr>
      </w:pPr>
      <w:r w:rsidRPr="003D1725">
        <w:rPr>
          <w:rFonts w:ascii="Arial" w:hAnsi="Arial" w:cs="Arial"/>
        </w:rPr>
        <w:t>The use of long-term prudential borrowing will only be used as a funding mechanism for key projects following a full financial assessment</w:t>
      </w:r>
      <w:r w:rsidR="00825A01">
        <w:rPr>
          <w:rFonts w:ascii="Arial" w:hAnsi="Arial" w:cs="Arial"/>
        </w:rPr>
        <w:t>.</w:t>
      </w:r>
      <w:r w:rsidR="00825A01" w:rsidRPr="00825A01">
        <w:rPr>
          <w:rFonts w:ascii="Arial" w:hAnsi="Arial" w:cs="Arial"/>
        </w:rPr>
        <w:t xml:space="preserve"> </w:t>
      </w:r>
      <w:r w:rsidR="00825A01" w:rsidRPr="005C7678">
        <w:rPr>
          <w:rFonts w:ascii="Arial" w:hAnsi="Arial" w:cs="Arial"/>
        </w:rPr>
        <w:t>Due to revisions in the Public Works Loan Board (PWLB) lending terms, local authorities can now no longer borrow from the PWLB with the intention to buy assets for yield.  Authorities can still access the PWLB for spending to improve or maintain existing properties, for housing, for regeneration purposes and for preventative action.</w:t>
      </w:r>
      <w:r w:rsidR="00825A01" w:rsidRPr="00825A01">
        <w:rPr>
          <w:rFonts w:ascii="Arial" w:hAnsi="Arial" w:cs="Arial"/>
        </w:rPr>
        <w:t xml:space="preserve"> </w:t>
      </w:r>
      <w:r w:rsidR="00825A01" w:rsidRPr="005C7678">
        <w:rPr>
          <w:rFonts w:ascii="Arial" w:hAnsi="Arial" w:cs="Arial"/>
        </w:rPr>
        <w:t>In the absence of other funding the Council will consider prudential borrowing for these purposes</w:t>
      </w:r>
      <w:r w:rsidR="00825A01">
        <w:rPr>
          <w:rFonts w:ascii="Arial" w:hAnsi="Arial" w:cs="Arial"/>
        </w:rPr>
        <w:t xml:space="preserve">,  </w:t>
      </w:r>
      <w:r w:rsidRPr="003D1725">
        <w:rPr>
          <w:rFonts w:ascii="Arial" w:hAnsi="Arial" w:cs="Arial"/>
        </w:rPr>
        <w:t xml:space="preserve">with priority for income generating/sustaining schemes.  </w:t>
      </w:r>
      <w:r w:rsidR="00825A01">
        <w:rPr>
          <w:rFonts w:ascii="Arial" w:hAnsi="Arial" w:cs="Arial"/>
        </w:rPr>
        <w:t>Borrowing</w:t>
      </w:r>
      <w:r w:rsidRPr="003D1725">
        <w:rPr>
          <w:rFonts w:ascii="Arial" w:hAnsi="Arial" w:cs="Arial"/>
        </w:rPr>
        <w:t xml:space="preserve"> may however be used as a short-term measure to fund capital expenditure prior to a capital receipt being received, or in the absence of any other funding source.  </w:t>
      </w:r>
    </w:p>
    <w:p w14:paraId="1D07FCA3" w14:textId="77777777" w:rsidR="00A61FC6" w:rsidRDefault="00A61FC6" w:rsidP="007C023C">
      <w:pPr>
        <w:jc w:val="both"/>
        <w:rPr>
          <w:rFonts w:ascii="Arial" w:hAnsi="Arial" w:cs="Arial"/>
        </w:rPr>
      </w:pPr>
    </w:p>
    <w:p w14:paraId="30EDFA5E" w14:textId="4F870752" w:rsidR="00A61FC6" w:rsidRPr="003D1725" w:rsidRDefault="00A61FC6" w:rsidP="007C023C">
      <w:pPr>
        <w:jc w:val="both"/>
        <w:rPr>
          <w:rFonts w:ascii="Arial" w:hAnsi="Arial" w:cs="Arial"/>
        </w:rPr>
      </w:pPr>
      <w:r>
        <w:rPr>
          <w:rFonts w:ascii="Arial" w:hAnsi="Arial" w:cs="Arial"/>
        </w:rPr>
        <w:t>Any new long term borrowing commitments, in excess of the Council’s Capital Financing Requirement</w:t>
      </w:r>
      <w:r w:rsidR="002F619A">
        <w:rPr>
          <w:rFonts w:ascii="Arial" w:hAnsi="Arial" w:cs="Arial"/>
        </w:rPr>
        <w:t xml:space="preserve">, </w:t>
      </w:r>
      <w:r>
        <w:rPr>
          <w:rFonts w:ascii="Arial" w:hAnsi="Arial" w:cs="Arial"/>
        </w:rPr>
        <w:t>will need careful consideration in light of LGR.</w:t>
      </w:r>
    </w:p>
    <w:p w14:paraId="30E2C5E4" w14:textId="77777777" w:rsidR="0095009A" w:rsidRPr="00B90B08" w:rsidRDefault="0095009A" w:rsidP="0095009A">
      <w:pPr>
        <w:autoSpaceDE w:val="0"/>
        <w:autoSpaceDN w:val="0"/>
        <w:adjustRightInd w:val="0"/>
        <w:jc w:val="both"/>
        <w:rPr>
          <w:rFonts w:ascii="Arial" w:hAnsi="Arial" w:cs="Arial"/>
          <w:highlight w:val="green"/>
        </w:rPr>
      </w:pPr>
    </w:p>
    <w:p w14:paraId="06CE8A48" w14:textId="4348A8A4" w:rsidR="0095009A" w:rsidRPr="003D1725" w:rsidRDefault="0095009A" w:rsidP="0095009A">
      <w:pPr>
        <w:jc w:val="both"/>
        <w:rPr>
          <w:rFonts w:ascii="Arial" w:hAnsi="Arial" w:cs="Arial"/>
        </w:rPr>
      </w:pPr>
      <w:r w:rsidRPr="003D1725">
        <w:rPr>
          <w:rFonts w:ascii="Arial" w:hAnsi="Arial" w:cs="Arial"/>
        </w:rPr>
        <w:t xml:space="preserve">The MTFS includes an unsupported prudential borrowing requirement </w:t>
      </w:r>
      <w:r w:rsidRPr="00AE0A81">
        <w:rPr>
          <w:rFonts w:ascii="Arial" w:hAnsi="Arial" w:cs="Arial"/>
        </w:rPr>
        <w:t>of £</w:t>
      </w:r>
      <w:r w:rsidR="008872A3" w:rsidRPr="00AE0A81">
        <w:rPr>
          <w:rFonts w:ascii="Arial" w:hAnsi="Arial" w:cs="Arial"/>
        </w:rPr>
        <w:t>1.84</w:t>
      </w:r>
      <w:r w:rsidR="10D0138D" w:rsidRPr="00AE0A81">
        <w:rPr>
          <w:rFonts w:ascii="Arial" w:hAnsi="Arial" w:cs="Arial"/>
        </w:rPr>
        <w:t>9</w:t>
      </w:r>
      <w:r w:rsidR="00D933E1" w:rsidRPr="00AE0A81">
        <w:rPr>
          <w:rFonts w:ascii="Arial" w:hAnsi="Arial" w:cs="Arial"/>
        </w:rPr>
        <w:t>m</w:t>
      </w:r>
      <w:r w:rsidRPr="003D1725">
        <w:rPr>
          <w:rFonts w:ascii="Arial" w:hAnsi="Arial" w:cs="Arial"/>
        </w:rPr>
        <w:t xml:space="preserve"> over the period 20</w:t>
      </w:r>
      <w:r w:rsidR="006A08D6" w:rsidRPr="003D1725">
        <w:rPr>
          <w:rFonts w:ascii="Arial" w:hAnsi="Arial" w:cs="Arial"/>
        </w:rPr>
        <w:t>2</w:t>
      </w:r>
      <w:r w:rsidR="00255AC7" w:rsidRPr="003D1725">
        <w:rPr>
          <w:rFonts w:ascii="Arial" w:hAnsi="Arial" w:cs="Arial"/>
        </w:rPr>
        <w:t>6/27</w:t>
      </w:r>
      <w:r w:rsidRPr="003D1725">
        <w:rPr>
          <w:rFonts w:ascii="Arial" w:hAnsi="Arial" w:cs="Arial"/>
        </w:rPr>
        <w:t>-20</w:t>
      </w:r>
      <w:r w:rsidR="00255AC7" w:rsidRPr="003D1725">
        <w:rPr>
          <w:rFonts w:ascii="Arial" w:hAnsi="Arial" w:cs="Arial"/>
        </w:rPr>
        <w:t>30/31</w:t>
      </w:r>
      <w:r w:rsidR="008872A3" w:rsidRPr="003D1725">
        <w:rPr>
          <w:rFonts w:ascii="Arial" w:hAnsi="Arial" w:cs="Arial"/>
        </w:rPr>
        <w:t>.</w:t>
      </w:r>
    </w:p>
    <w:p w14:paraId="3C9BA673" w14:textId="77777777" w:rsidR="0006011A" w:rsidRDefault="0006011A" w:rsidP="0095009A">
      <w:pPr>
        <w:jc w:val="both"/>
        <w:rPr>
          <w:rFonts w:ascii="Arial" w:hAnsi="Arial" w:cs="Arial"/>
        </w:rPr>
      </w:pPr>
    </w:p>
    <w:p w14:paraId="70946C37" w14:textId="77777777" w:rsidR="0095009A" w:rsidRPr="003D1725" w:rsidRDefault="0095009A" w:rsidP="0095009A">
      <w:pPr>
        <w:autoSpaceDE w:val="0"/>
        <w:autoSpaceDN w:val="0"/>
        <w:adjustRightInd w:val="0"/>
        <w:jc w:val="both"/>
        <w:rPr>
          <w:rFonts w:ascii="Arial" w:hAnsi="Arial" w:cs="Arial"/>
        </w:rPr>
      </w:pPr>
      <w:r w:rsidRPr="003D1725">
        <w:rPr>
          <w:rFonts w:ascii="Arial" w:hAnsi="Arial" w:cs="Arial"/>
        </w:rPr>
        <w:t>Further details about the Council’s borrowing requirements and the Prudential Indicators can be found in the Council’s Treasury Management Strategy.</w:t>
      </w:r>
    </w:p>
    <w:p w14:paraId="09085E8A" w14:textId="77777777" w:rsidR="0095009A" w:rsidRPr="003D1725" w:rsidRDefault="0095009A" w:rsidP="0095009A">
      <w:pPr>
        <w:jc w:val="both"/>
        <w:rPr>
          <w:rFonts w:ascii="Arial" w:hAnsi="Arial" w:cs="Arial"/>
        </w:rPr>
      </w:pPr>
    </w:p>
    <w:p w14:paraId="211F7E9F" w14:textId="77777777" w:rsidR="0095009A" w:rsidRPr="003D1725" w:rsidRDefault="0095009A" w:rsidP="0095009A">
      <w:pPr>
        <w:autoSpaceDE w:val="0"/>
        <w:autoSpaceDN w:val="0"/>
        <w:adjustRightInd w:val="0"/>
        <w:jc w:val="both"/>
        <w:rPr>
          <w:rFonts w:ascii="Arial" w:hAnsi="Arial" w:cs="Arial"/>
          <w:b/>
        </w:rPr>
      </w:pPr>
      <w:r w:rsidRPr="003D1725">
        <w:rPr>
          <w:rFonts w:ascii="Arial" w:hAnsi="Arial" w:cs="Arial"/>
          <w:b/>
        </w:rPr>
        <w:t>Capital Grants</w:t>
      </w:r>
    </w:p>
    <w:p w14:paraId="50494CDD" w14:textId="77777777" w:rsidR="0095009A" w:rsidRPr="003D1725" w:rsidRDefault="0095009A" w:rsidP="0095009A">
      <w:pPr>
        <w:autoSpaceDE w:val="0"/>
        <w:autoSpaceDN w:val="0"/>
        <w:adjustRightInd w:val="0"/>
        <w:jc w:val="both"/>
        <w:rPr>
          <w:rFonts w:ascii="Arial" w:hAnsi="Arial" w:cs="Arial"/>
          <w:b/>
        </w:rPr>
      </w:pPr>
    </w:p>
    <w:p w14:paraId="27168F7B" w14:textId="6EBF5248" w:rsidR="0095009A" w:rsidRPr="003D1725" w:rsidRDefault="0095009A" w:rsidP="0095009A">
      <w:pPr>
        <w:autoSpaceDE w:val="0"/>
        <w:autoSpaceDN w:val="0"/>
        <w:adjustRightInd w:val="0"/>
        <w:jc w:val="both"/>
        <w:rPr>
          <w:rFonts w:ascii="Arial" w:hAnsi="Arial" w:cs="Arial"/>
        </w:rPr>
      </w:pPr>
      <w:r w:rsidRPr="003D1725">
        <w:rPr>
          <w:rFonts w:ascii="Arial" w:hAnsi="Arial" w:cs="Arial"/>
        </w:rPr>
        <w:t>The Council receives a number of external capital grants from a variety of sources which are either secured via a bidding process or are automatically allocated through government departments for specific purposes. Generally</w:t>
      </w:r>
      <w:r w:rsidR="00E96082" w:rsidRPr="003D1725">
        <w:rPr>
          <w:rFonts w:ascii="Arial" w:hAnsi="Arial" w:cs="Arial"/>
        </w:rPr>
        <w:t>,</w:t>
      </w:r>
      <w:r w:rsidRPr="003D1725">
        <w:rPr>
          <w:rFonts w:ascii="Arial" w:hAnsi="Arial" w:cs="Arial"/>
        </w:rPr>
        <w:t xml:space="preserve"> th</w:t>
      </w:r>
      <w:r w:rsidR="0045097A" w:rsidRPr="003D1725">
        <w:rPr>
          <w:rFonts w:ascii="Arial" w:hAnsi="Arial" w:cs="Arial"/>
        </w:rPr>
        <w:t>e</w:t>
      </w:r>
      <w:r w:rsidRPr="003D1725">
        <w:rPr>
          <w:rFonts w:ascii="Arial" w:hAnsi="Arial" w:cs="Arial"/>
        </w:rPr>
        <w:t xml:space="preserve"> capital schemes that are funded by these sources can only be progressed subject to the funding being secured.</w:t>
      </w:r>
    </w:p>
    <w:p w14:paraId="278B2951" w14:textId="77777777" w:rsidR="0095009A" w:rsidRPr="003D1725" w:rsidRDefault="0095009A" w:rsidP="0095009A">
      <w:pPr>
        <w:autoSpaceDE w:val="0"/>
        <w:autoSpaceDN w:val="0"/>
        <w:adjustRightInd w:val="0"/>
        <w:jc w:val="both"/>
        <w:rPr>
          <w:rFonts w:ascii="Arial" w:hAnsi="Arial" w:cs="Arial"/>
        </w:rPr>
      </w:pPr>
    </w:p>
    <w:p w14:paraId="20BCD4C8" w14:textId="52C31EA9" w:rsidR="0095009A" w:rsidRPr="003D1725" w:rsidRDefault="0095009A" w:rsidP="0095009A">
      <w:pPr>
        <w:autoSpaceDE w:val="0"/>
        <w:autoSpaceDN w:val="0"/>
        <w:adjustRightInd w:val="0"/>
        <w:jc w:val="both"/>
        <w:rPr>
          <w:rFonts w:ascii="Arial" w:hAnsi="Arial" w:cs="Arial"/>
        </w:rPr>
      </w:pPr>
      <w:r w:rsidRPr="003D1725">
        <w:rPr>
          <w:rFonts w:ascii="Arial" w:hAnsi="Arial" w:cs="Arial"/>
        </w:rPr>
        <w:t>Over the 5</w:t>
      </w:r>
      <w:r w:rsidR="00475219" w:rsidRPr="003D1725">
        <w:rPr>
          <w:rFonts w:ascii="Arial" w:hAnsi="Arial" w:cs="Arial"/>
        </w:rPr>
        <w:t>-</w:t>
      </w:r>
      <w:r w:rsidRPr="003D1725">
        <w:rPr>
          <w:rFonts w:ascii="Arial" w:hAnsi="Arial" w:cs="Arial"/>
        </w:rPr>
        <w:t xml:space="preserve">year planning period of the MTFS </w:t>
      </w:r>
      <w:r w:rsidR="00184C6F" w:rsidRPr="003D1725">
        <w:rPr>
          <w:rFonts w:ascii="Arial" w:hAnsi="Arial" w:cs="Arial"/>
        </w:rPr>
        <w:t>the</w:t>
      </w:r>
      <w:r w:rsidR="00D66CC3">
        <w:rPr>
          <w:rFonts w:ascii="Arial" w:hAnsi="Arial" w:cs="Arial"/>
        </w:rPr>
        <w:t xml:space="preserve">re are </w:t>
      </w:r>
      <w:r w:rsidR="00D66CC3" w:rsidRPr="007E62B0">
        <w:rPr>
          <w:rFonts w:ascii="Arial" w:hAnsi="Arial" w:cs="Arial"/>
        </w:rPr>
        <w:t>currently no further externally</w:t>
      </w:r>
      <w:r w:rsidR="003E0792" w:rsidRPr="007E62B0">
        <w:rPr>
          <w:rFonts w:ascii="Arial" w:hAnsi="Arial" w:cs="Arial"/>
        </w:rPr>
        <w:t>-</w:t>
      </w:r>
      <w:r w:rsidR="00D66CC3" w:rsidRPr="007E62B0">
        <w:rPr>
          <w:rFonts w:ascii="Arial" w:hAnsi="Arial" w:cs="Arial"/>
        </w:rPr>
        <w:t>funded capital schemes include in the General Investment Programme</w:t>
      </w:r>
      <w:r w:rsidR="00CB2760">
        <w:rPr>
          <w:rFonts w:ascii="Arial" w:hAnsi="Arial" w:cs="Arial"/>
        </w:rPr>
        <w:t>, other than the annual Disabled Facilities Grant (Better Care Fund) allocation</w:t>
      </w:r>
      <w:r w:rsidR="00D66CC3" w:rsidRPr="007E62B0">
        <w:rPr>
          <w:rFonts w:ascii="Arial" w:hAnsi="Arial" w:cs="Arial"/>
        </w:rPr>
        <w:t>.</w:t>
      </w:r>
      <w:r w:rsidR="00D66CC3">
        <w:rPr>
          <w:rFonts w:ascii="Arial" w:hAnsi="Arial" w:cs="Arial"/>
        </w:rPr>
        <w:t xml:space="preserve">  However as set out in Capital Spending Plans, the Council continues to seek to secure grant funding for Charterholme and has recently been</w:t>
      </w:r>
      <w:r w:rsidR="0091712C">
        <w:rPr>
          <w:rFonts w:ascii="Arial" w:hAnsi="Arial" w:cs="Arial"/>
        </w:rPr>
        <w:t xml:space="preserve"> awarded £20m of funding, over a 10-year period, through the PiPP.  In addition, the Council will continue to seek</w:t>
      </w:r>
      <w:r w:rsidR="002F7D11" w:rsidRPr="003D1725">
        <w:rPr>
          <w:rFonts w:ascii="Arial" w:hAnsi="Arial" w:cs="Arial"/>
        </w:rPr>
        <w:t xml:space="preserve"> </w:t>
      </w:r>
      <w:r w:rsidR="007435D6" w:rsidRPr="003D1725">
        <w:rPr>
          <w:rFonts w:ascii="Arial" w:hAnsi="Arial" w:cs="Arial"/>
        </w:rPr>
        <w:t xml:space="preserve">opportunities </w:t>
      </w:r>
      <w:r w:rsidR="0091712C">
        <w:rPr>
          <w:rFonts w:ascii="Arial" w:hAnsi="Arial" w:cs="Arial"/>
        </w:rPr>
        <w:t>to attract external funding to deliver against it’s vision and strategic priorities.</w:t>
      </w:r>
    </w:p>
    <w:p w14:paraId="073BB3A8" w14:textId="77777777" w:rsidR="0095009A" w:rsidRPr="00B90B08" w:rsidRDefault="0095009A" w:rsidP="0095009A">
      <w:pPr>
        <w:autoSpaceDE w:val="0"/>
        <w:autoSpaceDN w:val="0"/>
        <w:adjustRightInd w:val="0"/>
        <w:jc w:val="both"/>
        <w:rPr>
          <w:rFonts w:ascii="Arial" w:hAnsi="Arial" w:cs="Arial"/>
          <w:highlight w:val="green"/>
        </w:rPr>
      </w:pPr>
    </w:p>
    <w:p w14:paraId="1867F3F3" w14:textId="61C8D017" w:rsidR="0095009A" w:rsidRPr="003D1725" w:rsidRDefault="0095009A" w:rsidP="0095009A">
      <w:pPr>
        <w:autoSpaceDE w:val="0"/>
        <w:autoSpaceDN w:val="0"/>
        <w:adjustRightInd w:val="0"/>
        <w:jc w:val="both"/>
        <w:rPr>
          <w:rFonts w:ascii="Arial" w:hAnsi="Arial" w:cs="Arial"/>
          <w:b/>
        </w:rPr>
      </w:pPr>
      <w:r w:rsidRPr="003D1725">
        <w:rPr>
          <w:rFonts w:ascii="Arial" w:hAnsi="Arial" w:cs="Arial"/>
          <w:b/>
        </w:rPr>
        <w:t>Projected Capital Resources</w:t>
      </w:r>
    </w:p>
    <w:p w14:paraId="6706626E" w14:textId="77777777" w:rsidR="0095009A" w:rsidRPr="003D1725" w:rsidRDefault="0095009A" w:rsidP="0095009A">
      <w:pPr>
        <w:autoSpaceDE w:val="0"/>
        <w:autoSpaceDN w:val="0"/>
        <w:adjustRightInd w:val="0"/>
        <w:jc w:val="both"/>
        <w:rPr>
          <w:rFonts w:ascii="Arial" w:hAnsi="Arial" w:cs="Arial"/>
          <w:b/>
        </w:rPr>
      </w:pPr>
    </w:p>
    <w:p w14:paraId="7AFAF5CA" w14:textId="4CF5420C" w:rsidR="0095009A" w:rsidRPr="001902C5" w:rsidRDefault="0095009A" w:rsidP="0095009A">
      <w:pPr>
        <w:autoSpaceDE w:val="0"/>
        <w:autoSpaceDN w:val="0"/>
        <w:adjustRightInd w:val="0"/>
        <w:jc w:val="both"/>
        <w:rPr>
          <w:rFonts w:ascii="Arial" w:hAnsi="Arial" w:cs="Arial"/>
        </w:rPr>
      </w:pPr>
      <w:r w:rsidRPr="003D1725">
        <w:rPr>
          <w:rFonts w:ascii="Arial" w:hAnsi="Arial" w:cs="Arial"/>
        </w:rPr>
        <w:t>Resources to fund the General Investment Programme 20</w:t>
      </w:r>
      <w:r w:rsidR="006A08D6" w:rsidRPr="003D1725">
        <w:rPr>
          <w:rFonts w:ascii="Arial" w:hAnsi="Arial" w:cs="Arial"/>
        </w:rPr>
        <w:t>2</w:t>
      </w:r>
      <w:r w:rsidR="005F44AB" w:rsidRPr="003D1725">
        <w:rPr>
          <w:rFonts w:ascii="Arial" w:hAnsi="Arial" w:cs="Arial"/>
        </w:rPr>
        <w:t>6/27</w:t>
      </w:r>
      <w:r w:rsidRPr="003D1725">
        <w:rPr>
          <w:rFonts w:ascii="Arial" w:hAnsi="Arial" w:cs="Arial"/>
        </w:rPr>
        <w:t>-20</w:t>
      </w:r>
      <w:r w:rsidR="00C50711" w:rsidRPr="003D1725">
        <w:rPr>
          <w:rFonts w:ascii="Arial" w:hAnsi="Arial" w:cs="Arial"/>
        </w:rPr>
        <w:t>30</w:t>
      </w:r>
      <w:r w:rsidR="005F44AB" w:rsidRPr="003D1725">
        <w:rPr>
          <w:rFonts w:ascii="Arial" w:hAnsi="Arial" w:cs="Arial"/>
        </w:rPr>
        <w:t>/31</w:t>
      </w:r>
      <w:r w:rsidRPr="003D1725">
        <w:rPr>
          <w:rFonts w:ascii="Arial" w:hAnsi="Arial" w:cs="Arial"/>
        </w:rPr>
        <w:t xml:space="preserve"> are estimated to be </w:t>
      </w:r>
      <w:r w:rsidRPr="001902C5">
        <w:rPr>
          <w:rFonts w:ascii="Arial" w:hAnsi="Arial" w:cs="Arial"/>
        </w:rPr>
        <w:t>approximately £</w:t>
      </w:r>
      <w:r w:rsidR="005B32D7" w:rsidRPr="00547761">
        <w:rPr>
          <w:rFonts w:ascii="Arial" w:hAnsi="Arial" w:cs="Arial"/>
        </w:rPr>
        <w:t>1</w:t>
      </w:r>
      <w:r w:rsidR="30B21820" w:rsidRPr="00547761">
        <w:rPr>
          <w:rFonts w:ascii="Arial" w:hAnsi="Arial" w:cs="Arial"/>
        </w:rPr>
        <w:t>1</w:t>
      </w:r>
      <w:r w:rsidR="005B32D7" w:rsidRPr="00547761">
        <w:rPr>
          <w:rFonts w:ascii="Arial" w:hAnsi="Arial" w:cs="Arial"/>
        </w:rPr>
        <w:t>.</w:t>
      </w:r>
      <w:r w:rsidR="003E0792" w:rsidRPr="00547761">
        <w:rPr>
          <w:rFonts w:ascii="Arial" w:hAnsi="Arial" w:cs="Arial"/>
        </w:rPr>
        <w:t>710</w:t>
      </w:r>
      <w:r w:rsidR="00397DFD" w:rsidRPr="00547761">
        <w:rPr>
          <w:rFonts w:ascii="Arial" w:hAnsi="Arial" w:cs="Arial"/>
        </w:rPr>
        <w:t>m</w:t>
      </w:r>
      <w:r w:rsidRPr="001902C5">
        <w:rPr>
          <w:rFonts w:ascii="Arial" w:hAnsi="Arial" w:cs="Arial"/>
        </w:rPr>
        <w:t>, as follows:</w:t>
      </w:r>
    </w:p>
    <w:tbl>
      <w:tblPr>
        <w:tblpPr w:leftFromText="180" w:rightFromText="180" w:vertAnchor="text" w:horzAnchor="margin" w:tblpXSpec="center" w:tblpY="99"/>
        <w:tblW w:w="0" w:type="auto"/>
        <w:tblLook w:val="0000" w:firstRow="0" w:lastRow="0" w:firstColumn="0" w:lastColumn="0" w:noHBand="0" w:noVBand="0"/>
      </w:tblPr>
      <w:tblGrid>
        <w:gridCol w:w="4428"/>
        <w:gridCol w:w="1440"/>
      </w:tblGrid>
      <w:tr w:rsidR="009639F7" w:rsidRPr="001902C5" w14:paraId="1241E292" w14:textId="77777777" w:rsidTr="00136565">
        <w:trPr>
          <w:trHeight w:val="562"/>
        </w:trPr>
        <w:tc>
          <w:tcPr>
            <w:tcW w:w="4428" w:type="dxa"/>
          </w:tcPr>
          <w:p w14:paraId="08B452CD" w14:textId="77777777" w:rsidR="0095009A" w:rsidRPr="001902C5" w:rsidRDefault="0095009A" w:rsidP="00696593">
            <w:pPr>
              <w:autoSpaceDE w:val="0"/>
              <w:autoSpaceDN w:val="0"/>
              <w:adjustRightInd w:val="0"/>
              <w:rPr>
                <w:rFonts w:ascii="Arial" w:hAnsi="Arial" w:cs="Arial"/>
                <w:b/>
              </w:rPr>
            </w:pPr>
          </w:p>
        </w:tc>
        <w:tc>
          <w:tcPr>
            <w:tcW w:w="1440" w:type="dxa"/>
          </w:tcPr>
          <w:p w14:paraId="08D9453D" w14:textId="6DB53F06" w:rsidR="0095009A" w:rsidRPr="001902C5" w:rsidRDefault="0095009A" w:rsidP="00696593">
            <w:pPr>
              <w:autoSpaceDE w:val="0"/>
              <w:autoSpaceDN w:val="0"/>
              <w:adjustRightInd w:val="0"/>
              <w:jc w:val="center"/>
              <w:rPr>
                <w:rFonts w:ascii="Arial" w:hAnsi="Arial" w:cs="Arial"/>
                <w:b/>
              </w:rPr>
            </w:pPr>
            <w:r w:rsidRPr="001902C5">
              <w:rPr>
                <w:rFonts w:ascii="Arial" w:hAnsi="Arial" w:cs="Arial"/>
                <w:b/>
              </w:rPr>
              <w:t>£</w:t>
            </w:r>
            <w:r w:rsidR="00E47D42" w:rsidRPr="001902C5">
              <w:rPr>
                <w:rFonts w:ascii="Arial" w:hAnsi="Arial" w:cs="Arial"/>
                <w:b/>
              </w:rPr>
              <w:t>m</w:t>
            </w:r>
          </w:p>
        </w:tc>
      </w:tr>
      <w:tr w:rsidR="009639F7" w:rsidRPr="001902C5" w14:paraId="0669BE5D" w14:textId="77777777" w:rsidTr="00696593">
        <w:tc>
          <w:tcPr>
            <w:tcW w:w="4428" w:type="dxa"/>
          </w:tcPr>
          <w:p w14:paraId="049DB15E" w14:textId="4F8F502C" w:rsidR="0095009A" w:rsidRPr="001902C5" w:rsidRDefault="00976CE4" w:rsidP="00696593">
            <w:pPr>
              <w:autoSpaceDE w:val="0"/>
              <w:autoSpaceDN w:val="0"/>
              <w:adjustRightInd w:val="0"/>
              <w:rPr>
                <w:rFonts w:ascii="Arial" w:hAnsi="Arial" w:cs="Arial"/>
              </w:rPr>
            </w:pPr>
            <w:r>
              <w:rPr>
                <w:rFonts w:ascii="Arial" w:hAnsi="Arial" w:cs="Arial"/>
              </w:rPr>
              <w:t>Revenue Contribution</w:t>
            </w:r>
          </w:p>
        </w:tc>
        <w:tc>
          <w:tcPr>
            <w:tcW w:w="1440" w:type="dxa"/>
            <w:tcMar>
              <w:right w:w="397" w:type="dxa"/>
            </w:tcMar>
          </w:tcPr>
          <w:p w14:paraId="30AA0AB6" w14:textId="29EB3C57" w:rsidR="0095009A" w:rsidRPr="001902C5" w:rsidRDefault="00945140" w:rsidP="00A6167E">
            <w:pPr>
              <w:autoSpaceDE w:val="0"/>
              <w:autoSpaceDN w:val="0"/>
              <w:adjustRightInd w:val="0"/>
              <w:jc w:val="right"/>
              <w:rPr>
                <w:rFonts w:ascii="Arial" w:hAnsi="Arial" w:cs="Arial"/>
              </w:rPr>
            </w:pPr>
            <w:r w:rsidRPr="001902C5">
              <w:rPr>
                <w:rFonts w:ascii="Arial" w:hAnsi="Arial" w:cs="Arial"/>
              </w:rPr>
              <w:t>0</w:t>
            </w:r>
          </w:p>
        </w:tc>
      </w:tr>
      <w:tr w:rsidR="009639F7" w:rsidRPr="001902C5" w14:paraId="506563A7" w14:textId="77777777" w:rsidTr="00696593">
        <w:tc>
          <w:tcPr>
            <w:tcW w:w="4428" w:type="dxa"/>
          </w:tcPr>
          <w:p w14:paraId="21B8ABE3" w14:textId="77777777" w:rsidR="0095009A" w:rsidRPr="001902C5" w:rsidRDefault="0095009A" w:rsidP="00696593">
            <w:pPr>
              <w:autoSpaceDE w:val="0"/>
              <w:autoSpaceDN w:val="0"/>
              <w:adjustRightInd w:val="0"/>
              <w:rPr>
                <w:rFonts w:ascii="Arial" w:hAnsi="Arial" w:cs="Arial"/>
              </w:rPr>
            </w:pPr>
            <w:r w:rsidRPr="001902C5">
              <w:rPr>
                <w:rFonts w:ascii="Arial" w:hAnsi="Arial" w:cs="Arial"/>
              </w:rPr>
              <w:t>Capital Receipts</w:t>
            </w:r>
          </w:p>
        </w:tc>
        <w:tc>
          <w:tcPr>
            <w:tcW w:w="1440" w:type="dxa"/>
            <w:tcMar>
              <w:right w:w="397" w:type="dxa"/>
            </w:tcMar>
          </w:tcPr>
          <w:p w14:paraId="44A6DC7C" w14:textId="69D48A87" w:rsidR="0095009A" w:rsidRPr="001902C5" w:rsidRDefault="3A9CA194" w:rsidP="00A6167E">
            <w:pPr>
              <w:autoSpaceDE w:val="0"/>
              <w:autoSpaceDN w:val="0"/>
              <w:adjustRightInd w:val="0"/>
              <w:jc w:val="right"/>
              <w:rPr>
                <w:rFonts w:ascii="Arial" w:hAnsi="Arial" w:cs="Arial"/>
              </w:rPr>
            </w:pPr>
            <w:r w:rsidRPr="001902C5">
              <w:rPr>
                <w:rFonts w:ascii="Arial" w:hAnsi="Arial" w:cs="Arial"/>
              </w:rPr>
              <w:t>3</w:t>
            </w:r>
            <w:r w:rsidR="00E47D42" w:rsidRPr="001902C5">
              <w:rPr>
                <w:rFonts w:ascii="Arial" w:hAnsi="Arial" w:cs="Arial"/>
              </w:rPr>
              <w:t>.</w:t>
            </w:r>
            <w:r w:rsidR="615791E6" w:rsidRPr="001902C5">
              <w:rPr>
                <w:rFonts w:ascii="Arial" w:hAnsi="Arial" w:cs="Arial"/>
              </w:rPr>
              <w:t>565</w:t>
            </w:r>
          </w:p>
        </w:tc>
      </w:tr>
      <w:tr w:rsidR="009639F7" w:rsidRPr="001902C5" w14:paraId="2A429461" w14:textId="77777777" w:rsidTr="00E715E5">
        <w:trPr>
          <w:trHeight w:val="73"/>
        </w:trPr>
        <w:tc>
          <w:tcPr>
            <w:tcW w:w="4428" w:type="dxa"/>
          </w:tcPr>
          <w:p w14:paraId="28074545" w14:textId="77777777" w:rsidR="0095009A" w:rsidRPr="001902C5" w:rsidRDefault="0095009A" w:rsidP="00696593">
            <w:pPr>
              <w:autoSpaceDE w:val="0"/>
              <w:autoSpaceDN w:val="0"/>
              <w:adjustRightInd w:val="0"/>
              <w:rPr>
                <w:rFonts w:ascii="Arial" w:hAnsi="Arial" w:cs="Arial"/>
              </w:rPr>
            </w:pPr>
            <w:r w:rsidRPr="001902C5">
              <w:rPr>
                <w:rFonts w:ascii="Arial" w:hAnsi="Arial" w:cs="Arial"/>
              </w:rPr>
              <w:t>Prudential borrowing</w:t>
            </w:r>
          </w:p>
        </w:tc>
        <w:tc>
          <w:tcPr>
            <w:tcW w:w="1440" w:type="dxa"/>
            <w:tcMar>
              <w:right w:w="397" w:type="dxa"/>
            </w:tcMar>
          </w:tcPr>
          <w:p w14:paraId="39F94115" w14:textId="5A9C235A" w:rsidR="0095009A" w:rsidRPr="001902C5" w:rsidRDefault="00C33DB2" w:rsidP="009009FC">
            <w:pPr>
              <w:autoSpaceDE w:val="0"/>
              <w:autoSpaceDN w:val="0"/>
              <w:adjustRightInd w:val="0"/>
              <w:jc w:val="right"/>
              <w:rPr>
                <w:rFonts w:ascii="Arial" w:hAnsi="Arial" w:cs="Arial"/>
              </w:rPr>
            </w:pPr>
            <w:r w:rsidRPr="001902C5">
              <w:rPr>
                <w:rFonts w:ascii="Arial" w:hAnsi="Arial" w:cs="Arial"/>
              </w:rPr>
              <w:t>1</w:t>
            </w:r>
            <w:r w:rsidR="00E47D42" w:rsidRPr="001902C5">
              <w:rPr>
                <w:rFonts w:ascii="Arial" w:hAnsi="Arial" w:cs="Arial"/>
              </w:rPr>
              <w:t>.</w:t>
            </w:r>
            <w:r w:rsidR="26C748B5" w:rsidRPr="001902C5">
              <w:rPr>
                <w:rFonts w:ascii="Arial" w:hAnsi="Arial" w:cs="Arial"/>
              </w:rPr>
              <w:t>84</w:t>
            </w:r>
            <w:r w:rsidR="30626C3E" w:rsidRPr="001902C5">
              <w:rPr>
                <w:rFonts w:ascii="Arial" w:hAnsi="Arial" w:cs="Arial"/>
              </w:rPr>
              <w:t>9</w:t>
            </w:r>
          </w:p>
        </w:tc>
      </w:tr>
      <w:tr w:rsidR="009639F7" w:rsidRPr="001902C5" w14:paraId="0E9183DF" w14:textId="77777777" w:rsidTr="00696593">
        <w:tc>
          <w:tcPr>
            <w:tcW w:w="4428" w:type="dxa"/>
          </w:tcPr>
          <w:p w14:paraId="53949D21" w14:textId="234BA7DA" w:rsidR="00803EDA" w:rsidRPr="001902C5" w:rsidRDefault="00976CE4" w:rsidP="00696593">
            <w:pPr>
              <w:autoSpaceDE w:val="0"/>
              <w:autoSpaceDN w:val="0"/>
              <w:adjustRightInd w:val="0"/>
              <w:rPr>
                <w:rFonts w:ascii="Arial" w:hAnsi="Arial" w:cs="Arial"/>
              </w:rPr>
            </w:pPr>
            <w:r>
              <w:rPr>
                <w:rFonts w:ascii="Arial" w:hAnsi="Arial" w:cs="Arial"/>
              </w:rPr>
              <w:t>Grant Funding</w:t>
            </w:r>
          </w:p>
        </w:tc>
        <w:tc>
          <w:tcPr>
            <w:tcW w:w="1440" w:type="dxa"/>
            <w:tcMar>
              <w:right w:w="397" w:type="dxa"/>
            </w:tcMar>
          </w:tcPr>
          <w:p w14:paraId="075CCF83" w14:textId="36D7C81A" w:rsidR="00803EDA" w:rsidRPr="001902C5" w:rsidRDefault="005C2766" w:rsidP="009009FC">
            <w:pPr>
              <w:autoSpaceDE w:val="0"/>
              <w:autoSpaceDN w:val="0"/>
              <w:adjustRightInd w:val="0"/>
              <w:jc w:val="right"/>
              <w:rPr>
                <w:rFonts w:ascii="Arial" w:hAnsi="Arial" w:cs="Arial"/>
              </w:rPr>
            </w:pPr>
            <w:r w:rsidRPr="001902C5">
              <w:rPr>
                <w:rFonts w:ascii="Arial" w:hAnsi="Arial" w:cs="Arial"/>
              </w:rPr>
              <w:t>6</w:t>
            </w:r>
            <w:r w:rsidR="00E47D42" w:rsidRPr="001902C5">
              <w:rPr>
                <w:rFonts w:ascii="Arial" w:hAnsi="Arial" w:cs="Arial"/>
              </w:rPr>
              <w:t>.</w:t>
            </w:r>
            <w:r w:rsidRPr="001902C5">
              <w:rPr>
                <w:rFonts w:ascii="Arial" w:hAnsi="Arial" w:cs="Arial"/>
              </w:rPr>
              <w:t>2</w:t>
            </w:r>
            <w:r w:rsidR="003E0792" w:rsidRPr="001902C5">
              <w:rPr>
                <w:rFonts w:ascii="Arial" w:hAnsi="Arial" w:cs="Arial"/>
              </w:rPr>
              <w:t>96</w:t>
            </w:r>
          </w:p>
        </w:tc>
      </w:tr>
      <w:tr w:rsidR="009639F7" w:rsidRPr="00D009B6" w14:paraId="666E340B" w14:textId="77777777" w:rsidTr="00696593">
        <w:trPr>
          <w:trHeight w:val="314"/>
        </w:trPr>
        <w:tc>
          <w:tcPr>
            <w:tcW w:w="4428" w:type="dxa"/>
          </w:tcPr>
          <w:p w14:paraId="5743073B" w14:textId="77777777" w:rsidR="0095009A" w:rsidRPr="001902C5" w:rsidRDefault="0095009A" w:rsidP="00696593">
            <w:pPr>
              <w:autoSpaceDE w:val="0"/>
              <w:autoSpaceDN w:val="0"/>
              <w:adjustRightInd w:val="0"/>
              <w:rPr>
                <w:rFonts w:ascii="Arial" w:hAnsi="Arial" w:cs="Arial"/>
                <w:b/>
              </w:rPr>
            </w:pPr>
            <w:r w:rsidRPr="001902C5">
              <w:rPr>
                <w:rFonts w:ascii="Arial" w:hAnsi="Arial" w:cs="Arial"/>
                <w:b/>
              </w:rPr>
              <w:t>TOTAL</w:t>
            </w:r>
          </w:p>
        </w:tc>
        <w:tc>
          <w:tcPr>
            <w:tcW w:w="1440" w:type="dxa"/>
            <w:tcMar>
              <w:right w:w="397" w:type="dxa"/>
            </w:tcMar>
          </w:tcPr>
          <w:p w14:paraId="417952E7" w14:textId="1081798D" w:rsidR="0095009A" w:rsidRPr="001902C5" w:rsidRDefault="02594D8F" w:rsidP="009F7B50">
            <w:pPr>
              <w:autoSpaceDE w:val="0"/>
              <w:autoSpaceDN w:val="0"/>
              <w:adjustRightInd w:val="0"/>
              <w:jc w:val="right"/>
              <w:rPr>
                <w:rFonts w:ascii="Arial" w:hAnsi="Arial" w:cs="Arial"/>
                <w:b/>
              </w:rPr>
            </w:pPr>
            <w:r w:rsidRPr="001902C5">
              <w:rPr>
                <w:rFonts w:ascii="Arial" w:hAnsi="Arial" w:cs="Arial"/>
                <w:b/>
              </w:rPr>
              <w:t>1</w:t>
            </w:r>
            <w:r w:rsidR="3552C8D9" w:rsidRPr="001902C5">
              <w:rPr>
                <w:rFonts w:ascii="Arial" w:hAnsi="Arial" w:cs="Arial"/>
                <w:b/>
              </w:rPr>
              <w:t>1</w:t>
            </w:r>
            <w:r w:rsidRPr="001902C5">
              <w:rPr>
                <w:rFonts w:ascii="Arial" w:hAnsi="Arial" w:cs="Arial"/>
                <w:b/>
              </w:rPr>
              <w:t>.</w:t>
            </w:r>
            <w:r w:rsidR="003E0792" w:rsidRPr="001902C5">
              <w:rPr>
                <w:rFonts w:ascii="Arial" w:hAnsi="Arial" w:cs="Arial"/>
                <w:b/>
              </w:rPr>
              <w:t>710</w:t>
            </w:r>
          </w:p>
        </w:tc>
      </w:tr>
    </w:tbl>
    <w:p w14:paraId="2CCF78D1" w14:textId="77777777" w:rsidR="0095009A" w:rsidRPr="00957AE9" w:rsidRDefault="0095009A" w:rsidP="0095009A">
      <w:pPr>
        <w:autoSpaceDE w:val="0"/>
        <w:autoSpaceDN w:val="0"/>
        <w:adjustRightInd w:val="0"/>
        <w:rPr>
          <w:rFonts w:ascii="Arial" w:hAnsi="Arial" w:cs="Arial"/>
          <w:b/>
        </w:rPr>
      </w:pPr>
    </w:p>
    <w:p w14:paraId="2E5AB634" w14:textId="77777777" w:rsidR="0095009A" w:rsidRPr="00957AE9" w:rsidRDefault="0095009A" w:rsidP="0095009A">
      <w:pPr>
        <w:autoSpaceDE w:val="0"/>
        <w:autoSpaceDN w:val="0"/>
        <w:adjustRightInd w:val="0"/>
        <w:rPr>
          <w:rFonts w:ascii="Arial" w:hAnsi="Arial" w:cs="Arial"/>
          <w:b/>
        </w:rPr>
      </w:pPr>
      <w:r w:rsidRPr="00957AE9">
        <w:rPr>
          <w:rFonts w:ascii="Arial" w:hAnsi="Arial" w:cs="Arial"/>
          <w:b/>
        </w:rPr>
        <w:tab/>
      </w:r>
      <w:r w:rsidRPr="00957AE9">
        <w:rPr>
          <w:rFonts w:ascii="Arial" w:hAnsi="Arial" w:cs="Arial"/>
          <w:b/>
        </w:rPr>
        <w:tab/>
      </w:r>
      <w:r w:rsidRPr="00957AE9">
        <w:rPr>
          <w:rFonts w:ascii="Arial" w:hAnsi="Arial" w:cs="Arial"/>
          <w:b/>
        </w:rPr>
        <w:tab/>
      </w:r>
      <w:r w:rsidRPr="00957AE9">
        <w:rPr>
          <w:rFonts w:ascii="Arial" w:hAnsi="Arial" w:cs="Arial"/>
          <w:b/>
        </w:rPr>
        <w:tab/>
      </w:r>
      <w:r w:rsidRPr="00957AE9">
        <w:rPr>
          <w:rFonts w:ascii="Arial" w:hAnsi="Arial" w:cs="Arial"/>
          <w:b/>
        </w:rPr>
        <w:tab/>
      </w:r>
      <w:r w:rsidRPr="00957AE9">
        <w:rPr>
          <w:rFonts w:ascii="Arial" w:hAnsi="Arial" w:cs="Arial"/>
          <w:b/>
        </w:rPr>
        <w:tab/>
      </w:r>
    </w:p>
    <w:p w14:paraId="690CBF48" w14:textId="77777777" w:rsidR="0095009A" w:rsidRPr="00957AE9" w:rsidRDefault="0095009A" w:rsidP="0095009A">
      <w:pPr>
        <w:autoSpaceDE w:val="0"/>
        <w:autoSpaceDN w:val="0"/>
        <w:adjustRightInd w:val="0"/>
        <w:rPr>
          <w:rFonts w:ascii="Arial" w:hAnsi="Arial" w:cs="Arial"/>
          <w:b/>
        </w:rPr>
      </w:pPr>
    </w:p>
    <w:p w14:paraId="2913178E" w14:textId="77777777" w:rsidR="0095009A" w:rsidRPr="00957AE9" w:rsidRDefault="0095009A" w:rsidP="0095009A">
      <w:pPr>
        <w:autoSpaceDE w:val="0"/>
        <w:autoSpaceDN w:val="0"/>
        <w:adjustRightInd w:val="0"/>
        <w:rPr>
          <w:rFonts w:ascii="Arial" w:hAnsi="Arial" w:cs="Arial"/>
        </w:rPr>
      </w:pPr>
    </w:p>
    <w:p w14:paraId="5C7B79BA" w14:textId="77777777" w:rsidR="0095009A" w:rsidRPr="00957AE9" w:rsidRDefault="0095009A" w:rsidP="0095009A">
      <w:pPr>
        <w:autoSpaceDE w:val="0"/>
        <w:autoSpaceDN w:val="0"/>
        <w:adjustRightInd w:val="0"/>
        <w:rPr>
          <w:rFonts w:ascii="Arial" w:hAnsi="Arial" w:cs="Arial"/>
        </w:rPr>
      </w:pPr>
    </w:p>
    <w:p w14:paraId="07F9B7EE" w14:textId="77777777" w:rsidR="0095009A" w:rsidRPr="002B172D" w:rsidRDefault="0095009A" w:rsidP="0095009A">
      <w:pPr>
        <w:pStyle w:val="Heading8"/>
        <w:rPr>
          <w:color w:val="0000FF"/>
          <w:sz w:val="28"/>
          <w:highlight w:val="cyan"/>
        </w:rPr>
      </w:pPr>
    </w:p>
    <w:p w14:paraId="08580785" w14:textId="77777777" w:rsidR="00AB5C97" w:rsidRPr="0074468C" w:rsidRDefault="00AB5C97" w:rsidP="00AB5C97"/>
    <w:p w14:paraId="3F030A3E" w14:textId="5E4D0437" w:rsidR="00AB5C97" w:rsidRPr="0074468C" w:rsidRDefault="00655537" w:rsidP="0074468C">
      <w:pPr>
        <w:jc w:val="both"/>
        <w:rPr>
          <w:rFonts w:ascii="Arial" w:hAnsi="Arial" w:cs="Arial"/>
        </w:rPr>
      </w:pPr>
      <w:r w:rsidRPr="0074468C">
        <w:rPr>
          <w:rFonts w:ascii="Arial" w:hAnsi="Arial" w:cs="Arial"/>
        </w:rPr>
        <w:t xml:space="preserve">In addition to the capital receipts of £3.565m used to fund the programme, further receipts </w:t>
      </w:r>
      <w:r w:rsidRPr="000B047A">
        <w:rPr>
          <w:rFonts w:ascii="Arial" w:hAnsi="Arial" w:cs="Arial"/>
        </w:rPr>
        <w:t>of £</w:t>
      </w:r>
      <w:r w:rsidR="00775794" w:rsidRPr="00E8227B">
        <w:rPr>
          <w:rFonts w:ascii="Arial" w:hAnsi="Arial" w:cs="Arial"/>
        </w:rPr>
        <w:t>9.302m</w:t>
      </w:r>
      <w:r w:rsidR="009D266A" w:rsidRPr="000B047A">
        <w:rPr>
          <w:rFonts w:ascii="Arial" w:hAnsi="Arial" w:cs="Arial"/>
        </w:rPr>
        <w:t xml:space="preserve"> are</w:t>
      </w:r>
      <w:r w:rsidR="009D266A" w:rsidRPr="0074468C">
        <w:rPr>
          <w:rFonts w:ascii="Arial" w:hAnsi="Arial" w:cs="Arial"/>
        </w:rPr>
        <w:t xml:space="preserve"> expected to </w:t>
      </w:r>
      <w:r w:rsidR="0074468C">
        <w:rPr>
          <w:rFonts w:ascii="Arial" w:hAnsi="Arial" w:cs="Arial"/>
        </w:rPr>
        <w:t xml:space="preserve">be </w:t>
      </w:r>
      <w:r w:rsidR="009055D5" w:rsidRPr="0074468C">
        <w:rPr>
          <w:rFonts w:ascii="Arial" w:hAnsi="Arial" w:cs="Arial"/>
        </w:rPr>
        <w:t>recei</w:t>
      </w:r>
      <w:r w:rsidR="00775794" w:rsidRPr="0074468C">
        <w:rPr>
          <w:rFonts w:ascii="Arial" w:hAnsi="Arial" w:cs="Arial"/>
        </w:rPr>
        <w:t xml:space="preserve">ved </w:t>
      </w:r>
      <w:r w:rsidR="004736A3" w:rsidRPr="0074468C">
        <w:rPr>
          <w:rFonts w:ascii="Arial" w:hAnsi="Arial" w:cs="Arial"/>
        </w:rPr>
        <w:t xml:space="preserve">during the period from the sale of houses on the Charterholme Development.  </w:t>
      </w:r>
      <w:r w:rsidR="00FD1E62">
        <w:rPr>
          <w:rFonts w:ascii="Arial" w:hAnsi="Arial" w:cs="Arial"/>
        </w:rPr>
        <w:t>The majority of t</w:t>
      </w:r>
      <w:r w:rsidR="004736A3" w:rsidRPr="0074468C">
        <w:rPr>
          <w:rFonts w:ascii="Arial" w:hAnsi="Arial" w:cs="Arial"/>
        </w:rPr>
        <w:t xml:space="preserve">hese receipts will be </w:t>
      </w:r>
      <w:r w:rsidR="0074468C" w:rsidRPr="0074468C">
        <w:rPr>
          <w:rFonts w:ascii="Arial" w:hAnsi="Arial" w:cs="Arial"/>
        </w:rPr>
        <w:t>appropriated to reduce the Capital Financing Requirement as previous expenditure on the scheme was funded through internal borrowing</w:t>
      </w:r>
      <w:r w:rsidR="009639F7">
        <w:rPr>
          <w:rFonts w:ascii="Arial" w:hAnsi="Arial" w:cs="Arial"/>
        </w:rPr>
        <w:t xml:space="preserve"> with the balance retained to support further </w:t>
      </w:r>
      <w:r w:rsidR="0083053B">
        <w:rPr>
          <w:rFonts w:ascii="Arial" w:hAnsi="Arial" w:cs="Arial"/>
        </w:rPr>
        <w:t>development on the site</w:t>
      </w:r>
      <w:r w:rsidR="0074468C" w:rsidRPr="0074468C">
        <w:rPr>
          <w:rFonts w:ascii="Arial" w:hAnsi="Arial" w:cs="Arial"/>
        </w:rPr>
        <w:t>.</w:t>
      </w:r>
    </w:p>
    <w:p w14:paraId="3AA675C2" w14:textId="77777777" w:rsidR="00655537" w:rsidRPr="00AB5C97" w:rsidRDefault="00655537" w:rsidP="00AB5C97">
      <w:pPr>
        <w:rPr>
          <w:highlight w:val="cyan"/>
        </w:rPr>
      </w:pPr>
    </w:p>
    <w:p w14:paraId="1211D365" w14:textId="3F37DE4B" w:rsidR="00F71115" w:rsidRPr="00E90A13" w:rsidRDefault="00F71115" w:rsidP="00F71115">
      <w:pPr>
        <w:pStyle w:val="Heading8"/>
        <w:rPr>
          <w:color w:val="C45911"/>
        </w:rPr>
      </w:pPr>
      <w:r w:rsidRPr="00E90A13">
        <w:rPr>
          <w:color w:val="C45911"/>
          <w:sz w:val="28"/>
        </w:rPr>
        <w:t>General Investment Programme Forecast</w:t>
      </w:r>
    </w:p>
    <w:p w14:paraId="50E78A6E" w14:textId="77777777" w:rsidR="00F71115" w:rsidRPr="00C078E1" w:rsidRDefault="00F71115" w:rsidP="00F71115">
      <w:pPr>
        <w:rPr>
          <w:rFonts w:ascii="Arial" w:hAnsi="Arial" w:cs="Arial"/>
          <w:b/>
        </w:rPr>
      </w:pPr>
    </w:p>
    <w:p w14:paraId="5DB67567" w14:textId="6081EE0A" w:rsidR="00F71115" w:rsidRPr="00C078E1" w:rsidRDefault="00F71115" w:rsidP="00F71115">
      <w:pPr>
        <w:jc w:val="both"/>
        <w:rPr>
          <w:rFonts w:ascii="Arial" w:hAnsi="Arial" w:cs="Arial"/>
        </w:rPr>
      </w:pPr>
      <w:r w:rsidRPr="003D1725">
        <w:rPr>
          <w:rFonts w:ascii="Arial" w:hAnsi="Arial" w:cs="Arial"/>
        </w:rPr>
        <w:t>Based on the spending requirements and resource assumptions</w:t>
      </w:r>
      <w:r w:rsidRPr="00304AE5">
        <w:rPr>
          <w:rFonts w:ascii="Arial" w:hAnsi="Arial" w:cs="Arial"/>
        </w:rPr>
        <w:t xml:space="preserve">, Appendix </w:t>
      </w:r>
      <w:r w:rsidR="00F926A5" w:rsidRPr="00304AE5">
        <w:rPr>
          <w:rFonts w:ascii="Arial" w:hAnsi="Arial" w:cs="Arial"/>
        </w:rPr>
        <w:t>4</w:t>
      </w:r>
      <w:r w:rsidRPr="00304AE5">
        <w:rPr>
          <w:rFonts w:ascii="Arial" w:hAnsi="Arial" w:cs="Arial"/>
        </w:rPr>
        <w:t xml:space="preserve"> provides</w:t>
      </w:r>
      <w:r w:rsidRPr="003D1725">
        <w:rPr>
          <w:rFonts w:ascii="Arial" w:hAnsi="Arial" w:cs="Arial"/>
        </w:rPr>
        <w:t xml:space="preserve"> a summary five-year GIP for the Council.</w:t>
      </w:r>
      <w:r w:rsidRPr="00C078E1">
        <w:rPr>
          <w:rFonts w:ascii="Arial" w:hAnsi="Arial" w:cs="Arial"/>
        </w:rPr>
        <w:t xml:space="preserve"> </w:t>
      </w:r>
    </w:p>
    <w:p w14:paraId="3BC2C949" w14:textId="77777777" w:rsidR="00F71115" w:rsidRPr="002B172D" w:rsidRDefault="00F71115" w:rsidP="00F71115">
      <w:pPr>
        <w:jc w:val="both"/>
        <w:rPr>
          <w:rFonts w:ascii="Arial" w:hAnsi="Arial" w:cs="Arial"/>
          <w:b/>
          <w:highlight w:val="cyan"/>
        </w:rPr>
      </w:pPr>
    </w:p>
    <w:p w14:paraId="3AB0B955" w14:textId="77777777" w:rsidR="0095009A" w:rsidRPr="00472A8E" w:rsidRDefault="0095009A" w:rsidP="0095009A">
      <w:pPr>
        <w:pStyle w:val="Heading8"/>
        <w:rPr>
          <w:color w:val="C45911"/>
          <w:sz w:val="28"/>
        </w:rPr>
      </w:pPr>
      <w:r w:rsidRPr="00472A8E">
        <w:rPr>
          <w:color w:val="C45911"/>
          <w:sz w:val="28"/>
        </w:rPr>
        <w:t>Risks to the General Investment Programme</w:t>
      </w:r>
    </w:p>
    <w:p w14:paraId="28C2B41E" w14:textId="77777777" w:rsidR="0095009A" w:rsidRPr="002B172D" w:rsidRDefault="0095009A" w:rsidP="0095009A">
      <w:pPr>
        <w:rPr>
          <w:rFonts w:ascii="Arial" w:hAnsi="Arial" w:cs="Arial"/>
          <w:highlight w:val="cyan"/>
        </w:rPr>
      </w:pPr>
    </w:p>
    <w:p w14:paraId="5084AC41" w14:textId="2B41EA07" w:rsidR="0095009A" w:rsidRPr="0034733B" w:rsidRDefault="0095009A" w:rsidP="0095009A">
      <w:pPr>
        <w:jc w:val="both"/>
        <w:rPr>
          <w:rFonts w:ascii="Arial" w:hAnsi="Arial" w:cs="Arial"/>
        </w:rPr>
      </w:pPr>
      <w:r w:rsidRPr="0034733B">
        <w:rPr>
          <w:rFonts w:ascii="Arial" w:hAnsi="Arial" w:cs="Arial"/>
        </w:rPr>
        <w:t xml:space="preserve">The Council has adopted a corporate approach to risk management and financial risk management is integrated into the Council’s overall management and decision-making processes.  </w:t>
      </w:r>
    </w:p>
    <w:p w14:paraId="0CD10CCA" w14:textId="77777777" w:rsidR="0095009A" w:rsidRPr="0034733B" w:rsidRDefault="0095009A" w:rsidP="0095009A">
      <w:pPr>
        <w:jc w:val="both"/>
        <w:rPr>
          <w:rFonts w:ascii="Arial" w:hAnsi="Arial" w:cs="Arial"/>
        </w:rPr>
      </w:pPr>
    </w:p>
    <w:p w14:paraId="4AE44652" w14:textId="77777777" w:rsidR="0095009A" w:rsidRPr="0034733B" w:rsidRDefault="0095009A" w:rsidP="0095009A">
      <w:pPr>
        <w:pStyle w:val="BodyText"/>
        <w:jc w:val="both"/>
        <w:rPr>
          <w:b w:val="0"/>
        </w:rPr>
      </w:pPr>
      <w:r w:rsidRPr="0034733B">
        <w:rPr>
          <w:b w:val="0"/>
        </w:rPr>
        <w:t>A number of key high-level risks have been identified which could have a positive impact but conversely some risks may have a negative impact and result in a reduction of resources. These key risks are action planned and continually reviewed as the MTFS develops.  The main areas they cover are:</w:t>
      </w:r>
    </w:p>
    <w:p w14:paraId="326AA6AF" w14:textId="77777777" w:rsidR="0095009A" w:rsidRPr="0034733B" w:rsidRDefault="0095009A" w:rsidP="0095009A">
      <w:pPr>
        <w:ind w:left="394"/>
        <w:jc w:val="both"/>
        <w:rPr>
          <w:rFonts w:ascii="Arial" w:hAnsi="Arial" w:cs="Arial"/>
          <w:color w:val="FF0000"/>
        </w:rPr>
      </w:pPr>
    </w:p>
    <w:p w14:paraId="40895AD2" w14:textId="77777777" w:rsidR="00E96082" w:rsidRPr="0034733B" w:rsidRDefault="00E96082" w:rsidP="00CF25BB">
      <w:pPr>
        <w:numPr>
          <w:ilvl w:val="0"/>
          <w:numId w:val="1"/>
        </w:numPr>
        <w:jc w:val="both"/>
        <w:rPr>
          <w:rFonts w:ascii="Arial" w:hAnsi="Arial" w:cs="Arial"/>
        </w:rPr>
      </w:pPr>
      <w:r w:rsidRPr="0034733B">
        <w:rPr>
          <w:rFonts w:ascii="Arial" w:hAnsi="Arial" w:cs="Arial"/>
        </w:rPr>
        <w:t>Loss of anticipated external resources</w:t>
      </w:r>
      <w:r w:rsidR="00144EDD" w:rsidRPr="0034733B">
        <w:rPr>
          <w:rFonts w:ascii="Arial" w:hAnsi="Arial" w:cs="Arial"/>
        </w:rPr>
        <w:t>,</w:t>
      </w:r>
    </w:p>
    <w:p w14:paraId="706DFC8F" w14:textId="7D923CC3" w:rsidR="00E96082" w:rsidRPr="0034733B" w:rsidRDefault="00E96082" w:rsidP="00CF25BB">
      <w:pPr>
        <w:numPr>
          <w:ilvl w:val="0"/>
          <w:numId w:val="1"/>
        </w:numPr>
        <w:jc w:val="both"/>
        <w:rPr>
          <w:rFonts w:ascii="Arial" w:hAnsi="Arial" w:cs="Arial"/>
        </w:rPr>
      </w:pPr>
      <w:r w:rsidRPr="0034733B">
        <w:rPr>
          <w:rFonts w:ascii="Arial" w:hAnsi="Arial" w:cs="Arial"/>
        </w:rPr>
        <w:t>Inability to secure further external funding</w:t>
      </w:r>
      <w:r w:rsidR="00A528C0" w:rsidRPr="0034733B">
        <w:rPr>
          <w:rFonts w:ascii="Arial" w:hAnsi="Arial" w:cs="Arial"/>
        </w:rPr>
        <w:t>.</w:t>
      </w:r>
    </w:p>
    <w:p w14:paraId="105A0459" w14:textId="415B45B1" w:rsidR="00A528C0" w:rsidRPr="002A718D" w:rsidRDefault="00A528C0" w:rsidP="00CF25BB">
      <w:pPr>
        <w:numPr>
          <w:ilvl w:val="0"/>
          <w:numId w:val="1"/>
        </w:numPr>
        <w:jc w:val="both"/>
        <w:rPr>
          <w:rFonts w:ascii="Arial" w:hAnsi="Arial" w:cs="Arial"/>
        </w:rPr>
      </w:pPr>
      <w:r w:rsidRPr="002A718D">
        <w:rPr>
          <w:rFonts w:ascii="Arial" w:hAnsi="Arial" w:cs="Arial"/>
        </w:rPr>
        <w:t xml:space="preserve">Impact of the </w:t>
      </w:r>
      <w:r w:rsidR="00D346CB">
        <w:rPr>
          <w:rFonts w:ascii="Arial" w:hAnsi="Arial" w:cs="Arial"/>
        </w:rPr>
        <w:t>Mayoral Com</w:t>
      </w:r>
      <w:r w:rsidR="00A8356B">
        <w:rPr>
          <w:rFonts w:ascii="Arial" w:hAnsi="Arial" w:cs="Arial"/>
        </w:rPr>
        <w:t>b</w:t>
      </w:r>
      <w:r w:rsidR="00D346CB">
        <w:rPr>
          <w:rFonts w:ascii="Arial" w:hAnsi="Arial" w:cs="Arial"/>
        </w:rPr>
        <w:t xml:space="preserve">ined Authority </w:t>
      </w:r>
      <w:r w:rsidR="00A8356B">
        <w:rPr>
          <w:rFonts w:ascii="Arial" w:hAnsi="Arial" w:cs="Arial"/>
        </w:rPr>
        <w:t>on the allocation of funding pots,</w:t>
      </w:r>
      <w:r w:rsidRPr="002A718D">
        <w:rPr>
          <w:rFonts w:ascii="Arial" w:hAnsi="Arial" w:cs="Arial"/>
        </w:rPr>
        <w:t xml:space="preserve"> </w:t>
      </w:r>
      <w:r w:rsidR="00A8356B">
        <w:rPr>
          <w:rFonts w:ascii="Arial" w:hAnsi="Arial" w:cs="Arial"/>
        </w:rPr>
        <w:t>with resources diverted away from the Council</w:t>
      </w:r>
      <w:r w:rsidR="009E3B32" w:rsidRPr="002A718D">
        <w:rPr>
          <w:rFonts w:ascii="Arial" w:hAnsi="Arial" w:cs="Arial"/>
        </w:rPr>
        <w:t>.</w:t>
      </w:r>
    </w:p>
    <w:p w14:paraId="467EE4B9" w14:textId="6908F09A" w:rsidR="0095009A" w:rsidRPr="0034733B" w:rsidRDefault="0095009A" w:rsidP="00CF25BB">
      <w:pPr>
        <w:numPr>
          <w:ilvl w:val="0"/>
          <w:numId w:val="1"/>
        </w:numPr>
        <w:jc w:val="both"/>
        <w:rPr>
          <w:rFonts w:ascii="Arial" w:hAnsi="Arial" w:cs="Arial"/>
        </w:rPr>
      </w:pPr>
      <w:r w:rsidRPr="002A718D">
        <w:rPr>
          <w:rFonts w:ascii="Arial" w:hAnsi="Arial" w:cs="Arial"/>
        </w:rPr>
        <w:t>Increased project costs</w:t>
      </w:r>
      <w:r w:rsidR="0069693B" w:rsidRPr="0034733B">
        <w:rPr>
          <w:rFonts w:ascii="Arial" w:hAnsi="Arial" w:cs="Arial"/>
        </w:rPr>
        <w:t xml:space="preserve">, </w:t>
      </w:r>
      <w:r w:rsidR="00F34B8E" w:rsidRPr="0034733B">
        <w:rPr>
          <w:rFonts w:ascii="Arial" w:hAnsi="Arial" w:cs="Arial"/>
        </w:rPr>
        <w:t>particularly</w:t>
      </w:r>
      <w:r w:rsidR="0069693B" w:rsidRPr="0034733B">
        <w:rPr>
          <w:rFonts w:ascii="Arial" w:hAnsi="Arial" w:cs="Arial"/>
        </w:rPr>
        <w:t xml:space="preserve"> in light of </w:t>
      </w:r>
      <w:r w:rsidR="00667514" w:rsidRPr="0034733B">
        <w:rPr>
          <w:rFonts w:ascii="Arial" w:hAnsi="Arial" w:cs="Arial"/>
        </w:rPr>
        <w:t xml:space="preserve">inflationary increases in recent years and </w:t>
      </w:r>
      <w:r w:rsidR="0069693B" w:rsidRPr="0034733B">
        <w:rPr>
          <w:rFonts w:ascii="Arial" w:hAnsi="Arial" w:cs="Arial"/>
        </w:rPr>
        <w:t>the current challenges in the construction sector</w:t>
      </w:r>
    </w:p>
    <w:p w14:paraId="33BBDAF5" w14:textId="2BA4D377" w:rsidR="00601937" w:rsidRPr="0034733B" w:rsidRDefault="008B1C48" w:rsidP="00CF25BB">
      <w:pPr>
        <w:numPr>
          <w:ilvl w:val="0"/>
          <w:numId w:val="1"/>
        </w:numPr>
        <w:jc w:val="both"/>
        <w:rPr>
          <w:rFonts w:ascii="Arial" w:hAnsi="Arial" w:cs="Arial"/>
        </w:rPr>
      </w:pPr>
      <w:r>
        <w:rPr>
          <w:rFonts w:ascii="Arial" w:hAnsi="Arial" w:cs="Arial"/>
        </w:rPr>
        <w:t>I</w:t>
      </w:r>
      <w:r w:rsidR="00601937" w:rsidRPr="0034733B">
        <w:rPr>
          <w:rFonts w:ascii="Arial" w:hAnsi="Arial" w:cs="Arial"/>
        </w:rPr>
        <w:t>nterest rate</w:t>
      </w:r>
      <w:r w:rsidR="00667514" w:rsidRPr="0034733B">
        <w:rPr>
          <w:rFonts w:ascii="Arial" w:hAnsi="Arial" w:cs="Arial"/>
        </w:rPr>
        <w:t>s</w:t>
      </w:r>
      <w:r w:rsidR="00601937" w:rsidRPr="0034733B">
        <w:rPr>
          <w:rFonts w:ascii="Arial" w:hAnsi="Arial" w:cs="Arial"/>
        </w:rPr>
        <w:t xml:space="preserve"> impacting on future borrowing costs</w:t>
      </w:r>
    </w:p>
    <w:p w14:paraId="02820C75" w14:textId="34B45537" w:rsidR="00E023E6" w:rsidRPr="0034733B" w:rsidRDefault="00E023E6" w:rsidP="00CF25BB">
      <w:pPr>
        <w:numPr>
          <w:ilvl w:val="0"/>
          <w:numId w:val="1"/>
        </w:numPr>
        <w:jc w:val="both"/>
        <w:rPr>
          <w:rFonts w:ascii="Arial" w:hAnsi="Arial" w:cs="Arial"/>
        </w:rPr>
      </w:pPr>
      <w:r w:rsidRPr="0034733B">
        <w:rPr>
          <w:rFonts w:ascii="Arial" w:hAnsi="Arial" w:cs="Arial"/>
        </w:rPr>
        <w:t>Sustainability of contractors in construction industry</w:t>
      </w:r>
      <w:r w:rsidR="00691EA3" w:rsidRPr="0034733B">
        <w:rPr>
          <w:rFonts w:ascii="Arial" w:hAnsi="Arial" w:cs="Arial"/>
        </w:rPr>
        <w:t>, particularly in light of current economic factors</w:t>
      </w:r>
    </w:p>
    <w:p w14:paraId="0D1960E8" w14:textId="77777777" w:rsidR="0095009A" w:rsidRPr="0034733B" w:rsidRDefault="0095009A" w:rsidP="00CF25BB">
      <w:pPr>
        <w:numPr>
          <w:ilvl w:val="0"/>
          <w:numId w:val="1"/>
        </w:numPr>
        <w:jc w:val="both"/>
        <w:rPr>
          <w:rFonts w:ascii="Arial" w:hAnsi="Arial" w:cs="Arial"/>
        </w:rPr>
      </w:pPr>
      <w:r w:rsidRPr="0034733B">
        <w:rPr>
          <w:rFonts w:ascii="Arial" w:hAnsi="Arial" w:cs="Arial"/>
        </w:rPr>
        <w:t>Unplanned emergency maintenance to Council’s corporate properties</w:t>
      </w:r>
      <w:r w:rsidR="00144EDD" w:rsidRPr="0034733B">
        <w:rPr>
          <w:rFonts w:ascii="Arial" w:hAnsi="Arial" w:cs="Arial"/>
        </w:rPr>
        <w:t>.</w:t>
      </w:r>
    </w:p>
    <w:p w14:paraId="21A753A3" w14:textId="77777777" w:rsidR="0095009A" w:rsidRPr="00B90B08" w:rsidRDefault="0095009A" w:rsidP="0095009A">
      <w:pPr>
        <w:jc w:val="both"/>
        <w:rPr>
          <w:rFonts w:ascii="Arial" w:hAnsi="Arial" w:cs="Arial"/>
          <w:highlight w:val="green"/>
        </w:rPr>
      </w:pPr>
    </w:p>
    <w:p w14:paraId="2B406643" w14:textId="34843826" w:rsidR="0095009A" w:rsidRPr="005C6861" w:rsidRDefault="0095009A" w:rsidP="0095009A">
      <w:pPr>
        <w:jc w:val="both"/>
        <w:rPr>
          <w:rFonts w:ascii="Arial" w:hAnsi="Arial" w:cs="Arial"/>
        </w:rPr>
      </w:pPr>
      <w:r w:rsidRPr="0034733B">
        <w:rPr>
          <w:rFonts w:ascii="Arial" w:hAnsi="Arial" w:cs="Arial"/>
        </w:rPr>
        <w:t xml:space="preserve">Appendix </w:t>
      </w:r>
      <w:r w:rsidR="00F926A5">
        <w:rPr>
          <w:rFonts w:ascii="Arial" w:hAnsi="Arial" w:cs="Arial"/>
        </w:rPr>
        <w:t>6</w:t>
      </w:r>
      <w:r w:rsidRPr="0034733B">
        <w:rPr>
          <w:rFonts w:ascii="Arial" w:hAnsi="Arial" w:cs="Arial"/>
        </w:rPr>
        <w:t xml:space="preserve"> of the MTFS details the risk action plans for the internal and external risks. Officers will continually monitor and appraise these risks as part of the on-going budget monitoring and reporting to Members.</w:t>
      </w:r>
    </w:p>
    <w:p w14:paraId="439E4BC1" w14:textId="77777777" w:rsidR="004F742F" w:rsidRPr="00F02A69" w:rsidRDefault="00744321" w:rsidP="004F742F">
      <w:pPr>
        <w:jc w:val="both"/>
        <w:rPr>
          <w:rFonts w:ascii="Arial" w:hAnsi="Arial" w:cs="Arial"/>
          <w:color w:val="C45911"/>
          <w:sz w:val="32"/>
          <w:szCs w:val="32"/>
        </w:rPr>
      </w:pPr>
      <w:r w:rsidRPr="005C6861">
        <w:rPr>
          <w:rFonts w:ascii="Arial" w:hAnsi="Arial" w:cs="Arial"/>
          <w:b/>
          <w:bCs/>
          <w:color w:val="C45911"/>
          <w:sz w:val="32"/>
          <w:szCs w:val="32"/>
        </w:rPr>
        <w:br w:type="page"/>
      </w:r>
      <w:r w:rsidR="004F742F" w:rsidRPr="00F02A69">
        <w:rPr>
          <w:rFonts w:ascii="Arial" w:hAnsi="Arial" w:cs="Arial"/>
          <w:b/>
          <w:bCs/>
          <w:color w:val="C45911"/>
          <w:sz w:val="32"/>
          <w:szCs w:val="32"/>
        </w:rPr>
        <w:t xml:space="preserve">Section </w:t>
      </w:r>
      <w:r w:rsidR="00DB5668" w:rsidRPr="00F02A69">
        <w:rPr>
          <w:rFonts w:ascii="Arial" w:hAnsi="Arial" w:cs="Arial"/>
          <w:b/>
          <w:bCs/>
          <w:color w:val="C45911"/>
          <w:sz w:val="32"/>
          <w:szCs w:val="32"/>
        </w:rPr>
        <w:t>5</w:t>
      </w:r>
      <w:r w:rsidR="004F742F" w:rsidRPr="00F02A69">
        <w:rPr>
          <w:rFonts w:ascii="Arial" w:hAnsi="Arial" w:cs="Arial"/>
          <w:b/>
          <w:bCs/>
          <w:color w:val="C45911"/>
          <w:sz w:val="32"/>
          <w:szCs w:val="32"/>
        </w:rPr>
        <w:t xml:space="preserve"> – Housing Revenue Account (HRA)</w:t>
      </w:r>
    </w:p>
    <w:p w14:paraId="2ACCF1B3" w14:textId="77777777" w:rsidR="004F742F" w:rsidRPr="00F02A69" w:rsidRDefault="004F742F" w:rsidP="004F742F">
      <w:pPr>
        <w:rPr>
          <w:rFonts w:ascii="Arial" w:hAnsi="Arial" w:cs="Arial"/>
        </w:rPr>
      </w:pPr>
    </w:p>
    <w:p w14:paraId="1361178D" w14:textId="77777777" w:rsidR="004F742F" w:rsidRPr="005C6861" w:rsidRDefault="004F742F" w:rsidP="004F742F">
      <w:pPr>
        <w:autoSpaceDE w:val="0"/>
        <w:autoSpaceDN w:val="0"/>
        <w:adjustRightInd w:val="0"/>
        <w:jc w:val="both"/>
        <w:rPr>
          <w:rFonts w:ascii="Arial" w:hAnsi="Arial" w:cs="Arial"/>
        </w:rPr>
      </w:pPr>
      <w:r w:rsidRPr="009E1738">
        <w:rPr>
          <w:rFonts w:ascii="Arial" w:hAnsi="Arial" w:cs="Arial"/>
        </w:rPr>
        <w:t>The Housing Revenue Account shows all expenditure and income relating to the Council’s responsibilities as landlord of dwellings and associated property.  It is a ‘ring-fenced’ account within the Council’s General Fund.</w:t>
      </w:r>
    </w:p>
    <w:p w14:paraId="0ED1468E" w14:textId="77777777" w:rsidR="004F742F" w:rsidRPr="005C6861" w:rsidRDefault="004F742F" w:rsidP="004F742F">
      <w:pPr>
        <w:autoSpaceDE w:val="0"/>
        <w:autoSpaceDN w:val="0"/>
        <w:adjustRightInd w:val="0"/>
        <w:jc w:val="both"/>
        <w:rPr>
          <w:rFonts w:ascii="Arial" w:hAnsi="Arial" w:cs="Arial"/>
        </w:rPr>
      </w:pPr>
    </w:p>
    <w:p w14:paraId="0D8C7042" w14:textId="77777777" w:rsidR="004F742F" w:rsidRPr="005C6861" w:rsidRDefault="004F742F" w:rsidP="004F742F">
      <w:pPr>
        <w:pStyle w:val="Heading7"/>
        <w:autoSpaceDE w:val="0"/>
        <w:autoSpaceDN w:val="0"/>
        <w:adjustRightInd w:val="0"/>
        <w:rPr>
          <w:color w:val="C45911"/>
          <w:sz w:val="28"/>
        </w:rPr>
      </w:pPr>
      <w:r w:rsidRPr="005C6861">
        <w:rPr>
          <w:color w:val="C45911"/>
          <w:sz w:val="28"/>
        </w:rPr>
        <w:t>Housing Revenue Account Business Planning</w:t>
      </w:r>
    </w:p>
    <w:p w14:paraId="5FBB5011" w14:textId="77777777" w:rsidR="004F742F" w:rsidRPr="005C6861" w:rsidRDefault="004F742F" w:rsidP="004F742F">
      <w:pPr>
        <w:autoSpaceDE w:val="0"/>
        <w:autoSpaceDN w:val="0"/>
        <w:adjustRightInd w:val="0"/>
        <w:jc w:val="both"/>
        <w:rPr>
          <w:rFonts w:ascii="Arial" w:hAnsi="Arial" w:cs="Arial"/>
        </w:rPr>
      </w:pPr>
    </w:p>
    <w:p w14:paraId="2FFB8FF1" w14:textId="4F042CB3" w:rsidR="004F742F" w:rsidRPr="00933DD4" w:rsidRDefault="00D97B26" w:rsidP="004F742F">
      <w:pPr>
        <w:autoSpaceDE w:val="0"/>
        <w:autoSpaceDN w:val="0"/>
        <w:adjustRightInd w:val="0"/>
        <w:jc w:val="both"/>
        <w:rPr>
          <w:rFonts w:ascii="Arial" w:hAnsi="Arial" w:cs="Arial"/>
          <w:lang w:eastAsia="en-GB"/>
        </w:rPr>
      </w:pPr>
      <w:r w:rsidRPr="00933DD4">
        <w:rPr>
          <w:rFonts w:ascii="Arial" w:hAnsi="Arial" w:cs="Arial"/>
          <w:lang w:eastAsia="en-GB"/>
        </w:rPr>
        <w:t xml:space="preserve">The current </w:t>
      </w:r>
      <w:r w:rsidR="001E0BA9" w:rsidRPr="00933DD4">
        <w:rPr>
          <w:rFonts w:ascii="Arial" w:hAnsi="Arial" w:cs="Arial"/>
          <w:lang w:eastAsia="en-GB"/>
        </w:rPr>
        <w:t>HRA Self-f</w:t>
      </w:r>
      <w:r w:rsidR="004F742F" w:rsidRPr="00933DD4">
        <w:rPr>
          <w:rFonts w:ascii="Arial" w:hAnsi="Arial" w:cs="Arial"/>
          <w:lang w:eastAsia="en-GB"/>
        </w:rPr>
        <w:t xml:space="preserve">inancing </w:t>
      </w:r>
      <w:r w:rsidRPr="00933DD4">
        <w:rPr>
          <w:rFonts w:ascii="Arial" w:hAnsi="Arial" w:cs="Arial"/>
          <w:lang w:eastAsia="en-GB"/>
        </w:rPr>
        <w:t>system has been in place since 2012 and incentivises social housing</w:t>
      </w:r>
      <w:r w:rsidR="004F742F" w:rsidRPr="00933DD4">
        <w:rPr>
          <w:rFonts w:ascii="Arial" w:hAnsi="Arial" w:cs="Arial"/>
          <w:lang w:eastAsia="en-GB"/>
        </w:rPr>
        <w:t xml:space="preserve"> landlords to manage their assets well and yield efficiency savings. </w:t>
      </w:r>
      <w:r w:rsidR="00ED46C9">
        <w:rPr>
          <w:rFonts w:ascii="Arial" w:hAnsi="Arial" w:cs="Arial"/>
          <w:lang w:eastAsia="en-GB"/>
        </w:rPr>
        <w:t xml:space="preserve">The system </w:t>
      </w:r>
      <w:r w:rsidR="00ED46C9" w:rsidRPr="00ED46C9">
        <w:rPr>
          <w:rFonts w:ascii="Arial" w:hAnsi="Arial" w:cs="Arial"/>
          <w:lang w:eastAsia="en-GB"/>
        </w:rPr>
        <w:t xml:space="preserve">allows local authorities to keep their council housing rental income to manage and invest in their own housing stock, ending the previous central government subsidy system and giving councils greater financial autonomy for long-term planning, maintenance, and new build projects, funded by local rents </w:t>
      </w:r>
      <w:r w:rsidR="001872DE">
        <w:rPr>
          <w:rFonts w:ascii="Arial" w:hAnsi="Arial" w:cs="Arial"/>
          <w:lang w:eastAsia="en-GB"/>
        </w:rPr>
        <w:t xml:space="preserve">and prudential borrowing.  </w:t>
      </w:r>
      <w:r w:rsidR="00DD5AB3">
        <w:rPr>
          <w:rFonts w:ascii="Arial" w:hAnsi="Arial" w:cs="Arial"/>
          <w:lang w:eastAsia="en-GB"/>
        </w:rPr>
        <w:t xml:space="preserve">It enables </w:t>
      </w:r>
      <w:r w:rsidR="004F742F" w:rsidRPr="00933DD4">
        <w:rPr>
          <w:rFonts w:ascii="Arial" w:hAnsi="Arial" w:cs="Arial"/>
          <w:lang w:eastAsia="en-GB"/>
        </w:rPr>
        <w:t>Council landlords to have greater flexibility to manage their stock in the way that best suits local need with more opportunity for tenants to have a real say in setting priorities looking to the longer term</w:t>
      </w:r>
      <w:r w:rsidRPr="00933DD4">
        <w:rPr>
          <w:rFonts w:ascii="Arial" w:hAnsi="Arial" w:cs="Arial"/>
          <w:lang w:eastAsia="en-GB"/>
        </w:rPr>
        <w:t>.</w:t>
      </w:r>
    </w:p>
    <w:p w14:paraId="60CDDC60" w14:textId="77777777" w:rsidR="00D97B26" w:rsidRPr="00933DD4" w:rsidRDefault="00D97B26" w:rsidP="004F742F">
      <w:pPr>
        <w:autoSpaceDE w:val="0"/>
        <w:autoSpaceDN w:val="0"/>
        <w:adjustRightInd w:val="0"/>
        <w:jc w:val="both"/>
        <w:rPr>
          <w:rFonts w:ascii="Arial" w:hAnsi="Arial" w:cs="Arial"/>
          <w:lang w:eastAsia="en-GB"/>
        </w:rPr>
      </w:pPr>
    </w:p>
    <w:p w14:paraId="548C482F" w14:textId="4020835B" w:rsidR="004F742F" w:rsidRPr="00933DD4" w:rsidRDefault="001E0BA9" w:rsidP="004F742F">
      <w:pPr>
        <w:autoSpaceDE w:val="0"/>
        <w:autoSpaceDN w:val="0"/>
        <w:adjustRightInd w:val="0"/>
        <w:jc w:val="both"/>
        <w:rPr>
          <w:rFonts w:ascii="Arial" w:hAnsi="Arial" w:cs="Arial"/>
          <w:lang w:eastAsia="en-GB"/>
        </w:rPr>
      </w:pPr>
      <w:r w:rsidRPr="00933DD4">
        <w:rPr>
          <w:rFonts w:ascii="Arial" w:hAnsi="Arial" w:cs="Arial"/>
          <w:lang w:eastAsia="en-GB"/>
        </w:rPr>
        <w:t>Self-</w:t>
      </w:r>
      <w:r w:rsidR="004F742F" w:rsidRPr="00933DD4">
        <w:rPr>
          <w:rFonts w:ascii="Arial" w:hAnsi="Arial" w:cs="Arial"/>
          <w:lang w:eastAsia="en-GB"/>
        </w:rPr>
        <w:t xml:space="preserve">financing, however, also </w:t>
      </w:r>
      <w:r w:rsidR="00DA44A2">
        <w:rPr>
          <w:rFonts w:ascii="Arial" w:hAnsi="Arial" w:cs="Arial"/>
          <w:lang w:eastAsia="en-GB"/>
        </w:rPr>
        <w:t xml:space="preserve">entails </w:t>
      </w:r>
      <w:r w:rsidRPr="00933DD4">
        <w:rPr>
          <w:rFonts w:ascii="Arial" w:hAnsi="Arial" w:cs="Arial"/>
          <w:lang w:eastAsia="en-GB"/>
        </w:rPr>
        <w:t>significantly increased</w:t>
      </w:r>
      <w:r w:rsidR="004F742F" w:rsidRPr="00933DD4">
        <w:rPr>
          <w:rFonts w:ascii="Arial" w:hAnsi="Arial" w:cs="Arial"/>
          <w:lang w:eastAsia="en-GB"/>
        </w:rPr>
        <w:t xml:space="preserve"> risks </w:t>
      </w:r>
      <w:r w:rsidR="00DA44A2">
        <w:rPr>
          <w:rFonts w:ascii="Arial" w:hAnsi="Arial" w:cs="Arial"/>
          <w:lang w:eastAsia="en-GB"/>
        </w:rPr>
        <w:t>for</w:t>
      </w:r>
      <w:r w:rsidR="004F742F" w:rsidRPr="00933DD4">
        <w:rPr>
          <w:rFonts w:ascii="Arial" w:hAnsi="Arial" w:cs="Arial"/>
          <w:lang w:eastAsia="en-GB"/>
        </w:rPr>
        <w:t xml:space="preserve"> local authorities, meaning that the Council:</w:t>
      </w:r>
    </w:p>
    <w:p w14:paraId="24BA0FD6" w14:textId="77777777" w:rsidR="004F742F" w:rsidRPr="00933DD4" w:rsidRDefault="004F742F" w:rsidP="004F742F">
      <w:pPr>
        <w:autoSpaceDE w:val="0"/>
        <w:autoSpaceDN w:val="0"/>
        <w:adjustRightInd w:val="0"/>
        <w:jc w:val="both"/>
        <w:rPr>
          <w:rFonts w:ascii="Arial" w:hAnsi="Arial" w:cs="Arial"/>
          <w:lang w:eastAsia="en-GB"/>
        </w:rPr>
      </w:pPr>
    </w:p>
    <w:p w14:paraId="10FE59A4" w14:textId="3A5C1F70" w:rsidR="004F742F" w:rsidRPr="00933DD4" w:rsidRDefault="004F742F" w:rsidP="00CF25BB">
      <w:pPr>
        <w:numPr>
          <w:ilvl w:val="0"/>
          <w:numId w:val="20"/>
        </w:numPr>
        <w:autoSpaceDE w:val="0"/>
        <w:autoSpaceDN w:val="0"/>
        <w:adjustRightInd w:val="0"/>
        <w:jc w:val="both"/>
        <w:rPr>
          <w:rFonts w:ascii="Arial" w:hAnsi="Arial" w:cs="Arial"/>
          <w:lang w:eastAsia="en-GB"/>
        </w:rPr>
      </w:pPr>
      <w:r w:rsidRPr="00933DD4">
        <w:rPr>
          <w:rFonts w:ascii="Arial" w:hAnsi="Arial" w:cs="Arial"/>
          <w:lang w:eastAsia="en-GB"/>
        </w:rPr>
        <w:t xml:space="preserve">bears the responsibility for the </w:t>
      </w:r>
      <w:r w:rsidR="006E5A01" w:rsidRPr="00933DD4">
        <w:rPr>
          <w:rFonts w:ascii="Arial" w:hAnsi="Arial" w:cs="Arial"/>
          <w:lang w:eastAsia="en-GB"/>
        </w:rPr>
        <w:t>long-term</w:t>
      </w:r>
      <w:r w:rsidRPr="00933DD4">
        <w:rPr>
          <w:rFonts w:ascii="Arial" w:hAnsi="Arial" w:cs="Arial"/>
          <w:lang w:eastAsia="en-GB"/>
        </w:rPr>
        <w:t xml:space="preserve"> security and viability of council housing in Lincoln.</w:t>
      </w:r>
    </w:p>
    <w:p w14:paraId="08C19457" w14:textId="77777777" w:rsidR="004F742F" w:rsidRPr="00933DD4" w:rsidRDefault="004F742F" w:rsidP="00CF25BB">
      <w:pPr>
        <w:numPr>
          <w:ilvl w:val="0"/>
          <w:numId w:val="20"/>
        </w:numPr>
        <w:autoSpaceDE w:val="0"/>
        <w:autoSpaceDN w:val="0"/>
        <w:adjustRightInd w:val="0"/>
        <w:jc w:val="both"/>
        <w:rPr>
          <w:rFonts w:ascii="Arial" w:hAnsi="Arial" w:cs="Arial"/>
          <w:lang w:eastAsia="en-GB"/>
        </w:rPr>
      </w:pPr>
      <w:r w:rsidRPr="00933DD4">
        <w:rPr>
          <w:rFonts w:ascii="Arial" w:hAnsi="Arial" w:cs="Arial"/>
          <w:lang w:eastAsia="en-GB"/>
        </w:rPr>
        <w:t xml:space="preserve">has to fund all activity related to council housing, from the income generated from rents, through to long term business planning.  </w:t>
      </w:r>
    </w:p>
    <w:p w14:paraId="05648415" w14:textId="77777777" w:rsidR="004F742F" w:rsidRPr="00933DD4" w:rsidRDefault="004F742F" w:rsidP="00CF25BB">
      <w:pPr>
        <w:numPr>
          <w:ilvl w:val="0"/>
          <w:numId w:val="20"/>
        </w:numPr>
        <w:autoSpaceDE w:val="0"/>
        <w:autoSpaceDN w:val="0"/>
        <w:adjustRightInd w:val="0"/>
        <w:jc w:val="both"/>
        <w:rPr>
          <w:rFonts w:ascii="Arial" w:hAnsi="Arial" w:cs="Arial"/>
          <w:lang w:eastAsia="en-GB"/>
        </w:rPr>
      </w:pPr>
      <w:r w:rsidRPr="00933DD4">
        <w:rPr>
          <w:rFonts w:ascii="Arial" w:hAnsi="Arial" w:cs="Arial"/>
          <w:lang w:eastAsia="en-GB"/>
        </w:rPr>
        <w:t>is more exposed to changes in interest rates, high inflation and the financial impact of falling stock numbers</w:t>
      </w:r>
    </w:p>
    <w:p w14:paraId="37B5F2FD" w14:textId="0E16AB98" w:rsidR="004F742F" w:rsidRPr="00933DD4" w:rsidRDefault="004F742F" w:rsidP="00CF25BB">
      <w:pPr>
        <w:numPr>
          <w:ilvl w:val="0"/>
          <w:numId w:val="20"/>
        </w:numPr>
        <w:autoSpaceDE w:val="0"/>
        <w:autoSpaceDN w:val="0"/>
        <w:adjustRightInd w:val="0"/>
        <w:jc w:val="both"/>
        <w:rPr>
          <w:rFonts w:ascii="Arial" w:hAnsi="Arial" w:cs="Arial"/>
          <w:lang w:eastAsia="en-GB"/>
        </w:rPr>
      </w:pPr>
      <w:r w:rsidRPr="00933DD4">
        <w:rPr>
          <w:rFonts w:ascii="Arial" w:hAnsi="Arial" w:cs="Arial"/>
          <w:lang w:eastAsia="en-GB"/>
        </w:rPr>
        <w:t xml:space="preserve">still needs to factor in the impact of changes in government policy e.g. </w:t>
      </w:r>
      <w:r w:rsidR="00D97B26" w:rsidRPr="00933DD4">
        <w:rPr>
          <w:rFonts w:ascii="Arial" w:hAnsi="Arial" w:cs="Arial"/>
          <w:lang w:eastAsia="en-GB"/>
        </w:rPr>
        <w:t>Government Rent Policy</w:t>
      </w:r>
      <w:r w:rsidR="00835C4B" w:rsidRPr="00933DD4">
        <w:rPr>
          <w:rFonts w:ascii="Arial" w:hAnsi="Arial" w:cs="Arial"/>
          <w:lang w:eastAsia="en-GB"/>
        </w:rPr>
        <w:t>.</w:t>
      </w:r>
    </w:p>
    <w:p w14:paraId="1AE1C278" w14:textId="77777777" w:rsidR="00835C4B" w:rsidRPr="00933DD4" w:rsidRDefault="00835C4B" w:rsidP="00835C4B">
      <w:pPr>
        <w:autoSpaceDE w:val="0"/>
        <w:autoSpaceDN w:val="0"/>
        <w:adjustRightInd w:val="0"/>
        <w:ind w:left="855"/>
        <w:jc w:val="both"/>
        <w:rPr>
          <w:rFonts w:ascii="Arial" w:hAnsi="Arial" w:cs="Arial"/>
          <w:lang w:eastAsia="en-GB"/>
        </w:rPr>
      </w:pPr>
    </w:p>
    <w:p w14:paraId="5A37B132" w14:textId="77777777" w:rsidR="004F742F" w:rsidRPr="007A05DF" w:rsidRDefault="004F742F" w:rsidP="00CB10AE">
      <w:pPr>
        <w:autoSpaceDE w:val="0"/>
        <w:autoSpaceDN w:val="0"/>
        <w:adjustRightInd w:val="0"/>
        <w:jc w:val="both"/>
        <w:rPr>
          <w:rFonts w:ascii="Arial" w:hAnsi="Arial" w:cs="Arial"/>
          <w:lang w:eastAsia="en-GB"/>
        </w:rPr>
      </w:pPr>
      <w:r w:rsidRPr="00933DD4">
        <w:rPr>
          <w:rFonts w:ascii="Arial" w:hAnsi="Arial" w:cs="Arial"/>
          <w:lang w:eastAsia="en-GB"/>
        </w:rPr>
        <w:t>This places a greater emphasis on the need for long-term planning for the management, maintenance and investment in the housing service and housing stock.</w:t>
      </w:r>
      <w:r w:rsidRPr="007A05DF">
        <w:rPr>
          <w:rFonts w:ascii="Arial" w:hAnsi="Arial" w:cs="Arial"/>
          <w:lang w:eastAsia="en-GB"/>
        </w:rPr>
        <w:t xml:space="preserve">  </w:t>
      </w:r>
    </w:p>
    <w:p w14:paraId="2595AA7A" w14:textId="77777777" w:rsidR="004F742F" w:rsidRPr="00933DD4" w:rsidRDefault="004F742F" w:rsidP="004F742F">
      <w:pPr>
        <w:autoSpaceDE w:val="0"/>
        <w:autoSpaceDN w:val="0"/>
        <w:adjustRightInd w:val="0"/>
        <w:jc w:val="both"/>
        <w:rPr>
          <w:rFonts w:ascii="Arial" w:hAnsi="Arial" w:cs="Arial"/>
          <w:lang w:eastAsia="en-GB"/>
        </w:rPr>
      </w:pPr>
    </w:p>
    <w:p w14:paraId="79B9BF97" w14:textId="37191D8A" w:rsidR="00F02A69" w:rsidRPr="00826BD2" w:rsidRDefault="001664FC" w:rsidP="00F02A69">
      <w:pPr>
        <w:jc w:val="both"/>
      </w:pPr>
      <w:r w:rsidRPr="00826BD2">
        <w:rPr>
          <w:rFonts w:ascii="Arial" w:hAnsi="Arial" w:cs="Arial"/>
          <w:b/>
          <w:bCs/>
          <w:color w:val="C45911"/>
          <w:sz w:val="28"/>
          <w:szCs w:val="28"/>
        </w:rPr>
        <w:t>Spending Pressures</w:t>
      </w:r>
    </w:p>
    <w:p w14:paraId="65F809AD" w14:textId="77777777" w:rsidR="00F02A69" w:rsidRPr="00826BD2" w:rsidRDefault="00F02A69" w:rsidP="00F02A69">
      <w:pPr>
        <w:jc w:val="both"/>
        <w:rPr>
          <w:rFonts w:ascii="Arial" w:hAnsi="Arial" w:cs="Arial"/>
        </w:rPr>
      </w:pPr>
    </w:p>
    <w:p w14:paraId="33A40154" w14:textId="144A29DC" w:rsidR="003C7A5D" w:rsidRPr="007E0E80" w:rsidRDefault="002C307C" w:rsidP="00A81F0D">
      <w:pPr>
        <w:jc w:val="both"/>
        <w:rPr>
          <w:rFonts w:ascii="Arial" w:hAnsi="Arial" w:cs="Arial"/>
        </w:rPr>
      </w:pPr>
      <w:r w:rsidRPr="007E0E80">
        <w:rPr>
          <w:rFonts w:ascii="Arial" w:hAnsi="Arial" w:cs="Arial"/>
        </w:rPr>
        <w:t>Like</w:t>
      </w:r>
      <w:r w:rsidR="00F02A69" w:rsidRPr="007E0E80">
        <w:rPr>
          <w:rFonts w:ascii="Arial" w:hAnsi="Arial" w:cs="Arial"/>
        </w:rPr>
        <w:t xml:space="preserve"> the General Fund, </w:t>
      </w:r>
      <w:r w:rsidR="000D358F" w:rsidRPr="007E0E80">
        <w:rPr>
          <w:rFonts w:ascii="Arial" w:hAnsi="Arial" w:cs="Arial"/>
        </w:rPr>
        <w:t xml:space="preserve">the HRA </w:t>
      </w:r>
      <w:r w:rsidR="00A906DF" w:rsidRPr="007E0E80">
        <w:rPr>
          <w:rFonts w:ascii="Arial" w:hAnsi="Arial" w:cs="Arial"/>
        </w:rPr>
        <w:t>continue</w:t>
      </w:r>
      <w:r w:rsidR="007D3641" w:rsidRPr="007E0E80">
        <w:rPr>
          <w:rFonts w:ascii="Arial" w:hAnsi="Arial" w:cs="Arial"/>
        </w:rPr>
        <w:t>s</w:t>
      </w:r>
      <w:r w:rsidR="00A906DF" w:rsidRPr="007E0E80">
        <w:rPr>
          <w:rFonts w:ascii="Arial" w:hAnsi="Arial" w:cs="Arial"/>
        </w:rPr>
        <w:t xml:space="preserve"> to face cost and demand </w:t>
      </w:r>
      <w:r w:rsidR="007D3641" w:rsidRPr="007E0E80">
        <w:rPr>
          <w:rFonts w:ascii="Arial" w:hAnsi="Arial" w:cs="Arial"/>
        </w:rPr>
        <w:t>pressures, along with new statutory requirements</w:t>
      </w:r>
      <w:r w:rsidR="00577872" w:rsidRPr="007E0E80">
        <w:rPr>
          <w:rFonts w:ascii="Arial" w:hAnsi="Arial" w:cs="Arial"/>
        </w:rPr>
        <w:t>. I</w:t>
      </w:r>
      <w:r w:rsidR="007D7E78" w:rsidRPr="007E0E80">
        <w:rPr>
          <w:rFonts w:ascii="Arial" w:hAnsi="Arial" w:cs="Arial"/>
        </w:rPr>
        <w:t xml:space="preserve">nflation, </w:t>
      </w:r>
      <w:r w:rsidR="00577872" w:rsidRPr="007E0E80">
        <w:rPr>
          <w:rFonts w:ascii="Arial" w:hAnsi="Arial" w:cs="Arial"/>
        </w:rPr>
        <w:t>pay awards, national insurance contribution</w:t>
      </w:r>
      <w:r w:rsidR="00AE4C4C" w:rsidRPr="007E0E80">
        <w:rPr>
          <w:rFonts w:ascii="Arial" w:hAnsi="Arial" w:cs="Arial"/>
        </w:rPr>
        <w:t xml:space="preserve"> increases, </w:t>
      </w:r>
      <w:r w:rsidR="004412B7" w:rsidRPr="007E0E80">
        <w:rPr>
          <w:rFonts w:ascii="Arial" w:hAnsi="Arial" w:cs="Arial"/>
        </w:rPr>
        <w:t xml:space="preserve">higher </w:t>
      </w:r>
      <w:r w:rsidR="00AE4C4C" w:rsidRPr="007E0E80">
        <w:rPr>
          <w:rFonts w:ascii="Arial" w:hAnsi="Arial" w:cs="Arial"/>
        </w:rPr>
        <w:t>maintenance and constructions costs including</w:t>
      </w:r>
      <w:r w:rsidR="00290FBF" w:rsidRPr="007E0E80">
        <w:rPr>
          <w:rFonts w:ascii="Arial" w:hAnsi="Arial" w:cs="Arial"/>
        </w:rPr>
        <w:t xml:space="preserve"> </w:t>
      </w:r>
      <w:r w:rsidR="00CE2C87" w:rsidRPr="007E0E80">
        <w:rPr>
          <w:rFonts w:ascii="Arial" w:hAnsi="Arial" w:cs="Arial"/>
        </w:rPr>
        <w:t xml:space="preserve">material and labour </w:t>
      </w:r>
      <w:r w:rsidR="00826BD2" w:rsidRPr="007E0E80">
        <w:rPr>
          <w:rFonts w:ascii="Arial" w:hAnsi="Arial" w:cs="Arial"/>
        </w:rPr>
        <w:t>prices</w:t>
      </w:r>
      <w:r w:rsidR="00AE4C4C" w:rsidRPr="007E0E80">
        <w:rPr>
          <w:rFonts w:ascii="Arial" w:hAnsi="Arial" w:cs="Arial"/>
        </w:rPr>
        <w:t>,</w:t>
      </w:r>
      <w:r w:rsidR="00290FBF" w:rsidRPr="007E0E80">
        <w:rPr>
          <w:rFonts w:ascii="Arial" w:hAnsi="Arial" w:cs="Arial"/>
        </w:rPr>
        <w:t xml:space="preserve"> and </w:t>
      </w:r>
      <w:r w:rsidR="00B810EC" w:rsidRPr="007E0E80">
        <w:rPr>
          <w:rFonts w:ascii="Arial" w:hAnsi="Arial" w:cs="Arial"/>
        </w:rPr>
        <w:t xml:space="preserve">higher </w:t>
      </w:r>
      <w:r w:rsidR="00290FBF" w:rsidRPr="007E0E80">
        <w:rPr>
          <w:rFonts w:ascii="Arial" w:hAnsi="Arial" w:cs="Arial"/>
        </w:rPr>
        <w:t>borrowin</w:t>
      </w:r>
      <w:r w:rsidR="00C45FFF" w:rsidRPr="007E0E80">
        <w:rPr>
          <w:rFonts w:ascii="Arial" w:hAnsi="Arial" w:cs="Arial"/>
        </w:rPr>
        <w:t>g costs</w:t>
      </w:r>
      <w:r w:rsidR="00D1428B" w:rsidRPr="007E0E80">
        <w:rPr>
          <w:rFonts w:ascii="Arial" w:hAnsi="Arial" w:cs="Arial"/>
        </w:rPr>
        <w:t xml:space="preserve">, </w:t>
      </w:r>
      <w:r w:rsidR="00CF536A">
        <w:rPr>
          <w:rFonts w:ascii="Arial" w:hAnsi="Arial" w:cs="Arial"/>
        </w:rPr>
        <w:t>have</w:t>
      </w:r>
      <w:r w:rsidR="00D1428B" w:rsidRPr="007E0E80">
        <w:rPr>
          <w:rFonts w:ascii="Arial" w:hAnsi="Arial" w:cs="Arial"/>
        </w:rPr>
        <w:t xml:space="preserve"> </w:t>
      </w:r>
      <w:r w:rsidR="00826BD2" w:rsidRPr="007E0E80">
        <w:rPr>
          <w:rFonts w:ascii="Arial" w:hAnsi="Arial" w:cs="Arial"/>
        </w:rPr>
        <w:t>impact</w:t>
      </w:r>
      <w:r w:rsidR="00CF536A">
        <w:rPr>
          <w:rFonts w:ascii="Arial" w:hAnsi="Arial" w:cs="Arial"/>
        </w:rPr>
        <w:t>ed</w:t>
      </w:r>
      <w:r w:rsidR="00F02A69" w:rsidRPr="007E0E80">
        <w:rPr>
          <w:rFonts w:ascii="Arial" w:hAnsi="Arial" w:cs="Arial"/>
        </w:rPr>
        <w:t xml:space="preserve"> on the Housing Revenue Account</w:t>
      </w:r>
      <w:r w:rsidR="00826BD2" w:rsidRPr="007E0E80">
        <w:rPr>
          <w:rFonts w:ascii="Arial" w:hAnsi="Arial" w:cs="Arial"/>
        </w:rPr>
        <w:t>’s net cost base</w:t>
      </w:r>
      <w:r w:rsidR="00CF536A">
        <w:rPr>
          <w:rFonts w:ascii="Arial" w:hAnsi="Arial" w:cs="Arial"/>
        </w:rPr>
        <w:t xml:space="preserve"> in recent years and continue to present financial challenges</w:t>
      </w:r>
      <w:r w:rsidR="00DD7800" w:rsidRPr="007E0E80">
        <w:rPr>
          <w:rFonts w:ascii="Arial" w:hAnsi="Arial" w:cs="Arial"/>
        </w:rPr>
        <w:t xml:space="preserve">.  </w:t>
      </w:r>
      <w:r w:rsidR="006F6C13" w:rsidRPr="007E0E80">
        <w:rPr>
          <w:rFonts w:ascii="Arial" w:hAnsi="Arial" w:cs="Arial"/>
        </w:rPr>
        <w:t xml:space="preserve">Given the </w:t>
      </w:r>
      <w:r w:rsidR="008C7D42" w:rsidRPr="007E0E80">
        <w:rPr>
          <w:rFonts w:ascii="Arial" w:hAnsi="Arial" w:cs="Arial"/>
        </w:rPr>
        <w:t xml:space="preserve">level of </w:t>
      </w:r>
      <w:r w:rsidR="009922EA" w:rsidRPr="007E0E80">
        <w:rPr>
          <w:rFonts w:ascii="Arial" w:hAnsi="Arial" w:cs="Arial"/>
        </w:rPr>
        <w:t>annual repairs and maintenance and planned capital maintenance to the Council’s housing s</w:t>
      </w:r>
      <w:r w:rsidR="009D7C81" w:rsidRPr="007E0E80">
        <w:rPr>
          <w:rFonts w:ascii="Arial" w:hAnsi="Arial" w:cs="Arial"/>
        </w:rPr>
        <w:t>tock the impac</w:t>
      </w:r>
      <w:r w:rsidR="00453DB8" w:rsidRPr="007E0E80">
        <w:rPr>
          <w:rFonts w:ascii="Arial" w:hAnsi="Arial" w:cs="Arial"/>
        </w:rPr>
        <w:t xml:space="preserve">t of these </w:t>
      </w:r>
      <w:r w:rsidR="00A52A18" w:rsidRPr="007E0E80">
        <w:rPr>
          <w:rFonts w:ascii="Arial" w:hAnsi="Arial" w:cs="Arial"/>
        </w:rPr>
        <w:t>creates</w:t>
      </w:r>
      <w:r w:rsidR="00453DB8" w:rsidRPr="007E0E80">
        <w:rPr>
          <w:rFonts w:ascii="Arial" w:hAnsi="Arial" w:cs="Arial"/>
        </w:rPr>
        <w:t xml:space="preserve"> </w:t>
      </w:r>
      <w:r w:rsidR="00877A42" w:rsidRPr="007E0E80">
        <w:rPr>
          <w:rFonts w:ascii="Arial" w:hAnsi="Arial" w:cs="Arial"/>
        </w:rPr>
        <w:t xml:space="preserve">significant </w:t>
      </w:r>
      <w:r w:rsidR="00453DB8" w:rsidRPr="007E0E80">
        <w:rPr>
          <w:rFonts w:ascii="Arial" w:hAnsi="Arial" w:cs="Arial"/>
        </w:rPr>
        <w:t>cost increases for the HRA</w:t>
      </w:r>
      <w:r w:rsidR="006F6C13" w:rsidRPr="007E0E80">
        <w:rPr>
          <w:rFonts w:ascii="Arial" w:hAnsi="Arial" w:cs="Arial"/>
        </w:rPr>
        <w:t>.</w:t>
      </w:r>
    </w:p>
    <w:p w14:paraId="2FB6F942" w14:textId="77777777" w:rsidR="006F6C13" w:rsidRPr="00B91350" w:rsidRDefault="006F6C13" w:rsidP="00A81F0D">
      <w:pPr>
        <w:jc w:val="both"/>
        <w:rPr>
          <w:rFonts w:ascii="Arial" w:hAnsi="Arial" w:cs="Arial"/>
          <w:highlight w:val="yellow"/>
        </w:rPr>
      </w:pPr>
    </w:p>
    <w:p w14:paraId="3D32FEDE" w14:textId="77777777" w:rsidR="006F6C13" w:rsidRPr="00F46A28" w:rsidRDefault="006F6C13" w:rsidP="006F6C13">
      <w:pPr>
        <w:jc w:val="both"/>
        <w:rPr>
          <w:rFonts w:ascii="Arial" w:hAnsi="Arial" w:cs="Arial"/>
        </w:rPr>
      </w:pPr>
      <w:r w:rsidRPr="00F46A28">
        <w:rPr>
          <w:rFonts w:ascii="Arial" w:hAnsi="Arial" w:cs="Arial"/>
        </w:rPr>
        <w:t>These escalating cost, demand and income pressures have arisen across a number of key areas:</w:t>
      </w:r>
    </w:p>
    <w:p w14:paraId="1807356B" w14:textId="77777777" w:rsidR="003C7A5D" w:rsidRPr="007B6CCC" w:rsidRDefault="003C7A5D" w:rsidP="00A81F0D">
      <w:pPr>
        <w:jc w:val="both"/>
        <w:rPr>
          <w:rFonts w:ascii="Arial" w:hAnsi="Arial" w:cs="Arial"/>
        </w:rPr>
      </w:pPr>
    </w:p>
    <w:p w14:paraId="26F84CE2" w14:textId="68AE3216" w:rsidR="0036060E" w:rsidRPr="007B6CCC" w:rsidRDefault="00942B89" w:rsidP="00CF25BB">
      <w:pPr>
        <w:pStyle w:val="ListParagraph"/>
        <w:numPr>
          <w:ilvl w:val="0"/>
          <w:numId w:val="35"/>
        </w:numPr>
        <w:spacing w:after="0" w:line="240" w:lineRule="auto"/>
        <w:jc w:val="both"/>
        <w:rPr>
          <w:rFonts w:ascii="Arial" w:hAnsi="Arial" w:cs="Arial"/>
          <w:sz w:val="24"/>
          <w:szCs w:val="24"/>
        </w:rPr>
      </w:pPr>
      <w:r w:rsidRPr="007B6CCC">
        <w:rPr>
          <w:rFonts w:ascii="Arial" w:hAnsi="Arial" w:cs="Arial"/>
          <w:sz w:val="24"/>
          <w:szCs w:val="24"/>
        </w:rPr>
        <w:t xml:space="preserve">Increased use of sub-contractors </w:t>
      </w:r>
      <w:r w:rsidR="00597A2A" w:rsidRPr="007B6CCC">
        <w:rPr>
          <w:rFonts w:ascii="Arial" w:hAnsi="Arial" w:cs="Arial"/>
          <w:sz w:val="24"/>
          <w:szCs w:val="24"/>
        </w:rPr>
        <w:t>–</w:t>
      </w:r>
      <w:r w:rsidR="00F5223D" w:rsidRPr="007B6CCC">
        <w:rPr>
          <w:rFonts w:ascii="Arial" w:hAnsi="Arial" w:cs="Arial"/>
          <w:sz w:val="24"/>
          <w:szCs w:val="24"/>
        </w:rPr>
        <w:t xml:space="preserve"> </w:t>
      </w:r>
      <w:r w:rsidR="00484A3D" w:rsidRPr="007B6CCC">
        <w:rPr>
          <w:rFonts w:ascii="Arial" w:hAnsi="Arial" w:cs="Arial"/>
          <w:sz w:val="24"/>
          <w:szCs w:val="24"/>
        </w:rPr>
        <w:t>the Housing Repairs Service (HRS)</w:t>
      </w:r>
      <w:r w:rsidR="00411D55" w:rsidRPr="007B6CCC">
        <w:rPr>
          <w:rFonts w:ascii="Arial" w:hAnsi="Arial" w:cs="Arial"/>
          <w:sz w:val="24"/>
          <w:szCs w:val="24"/>
        </w:rPr>
        <w:t xml:space="preserve"> is still </w:t>
      </w:r>
      <w:r w:rsidR="00811CE4" w:rsidRPr="007B6CCC">
        <w:rPr>
          <w:rFonts w:ascii="Arial" w:hAnsi="Arial" w:cs="Arial"/>
          <w:sz w:val="24"/>
          <w:szCs w:val="24"/>
        </w:rPr>
        <w:t>reliant</w:t>
      </w:r>
      <w:r w:rsidR="00411D55" w:rsidRPr="007B6CCC">
        <w:rPr>
          <w:rFonts w:ascii="Arial" w:hAnsi="Arial" w:cs="Arial"/>
          <w:sz w:val="24"/>
          <w:szCs w:val="24"/>
        </w:rPr>
        <w:t xml:space="preserve"> on the use of </w:t>
      </w:r>
      <w:r w:rsidR="0033271E" w:rsidRPr="007B6CCC">
        <w:rPr>
          <w:rFonts w:ascii="Arial" w:hAnsi="Arial" w:cs="Arial"/>
          <w:sz w:val="24"/>
          <w:szCs w:val="24"/>
        </w:rPr>
        <w:t xml:space="preserve">local </w:t>
      </w:r>
      <w:r w:rsidR="00411D55" w:rsidRPr="007B6CCC">
        <w:rPr>
          <w:rFonts w:ascii="Arial" w:hAnsi="Arial" w:cs="Arial"/>
          <w:sz w:val="24"/>
          <w:szCs w:val="24"/>
        </w:rPr>
        <w:t>sub-contractors to ensure that service demands are met</w:t>
      </w:r>
      <w:r w:rsidR="0033271E" w:rsidRPr="007B6CCC">
        <w:rPr>
          <w:rFonts w:ascii="Arial" w:hAnsi="Arial" w:cs="Arial"/>
          <w:sz w:val="24"/>
          <w:szCs w:val="24"/>
        </w:rPr>
        <w:t>.</w:t>
      </w:r>
      <w:r w:rsidR="0085296D" w:rsidRPr="007B6CCC">
        <w:rPr>
          <w:rFonts w:ascii="Arial" w:hAnsi="Arial" w:cs="Arial"/>
          <w:sz w:val="24"/>
          <w:szCs w:val="24"/>
        </w:rPr>
        <w:t xml:space="preserve"> </w:t>
      </w:r>
      <w:r w:rsidR="003D4844" w:rsidRPr="007B6CCC">
        <w:rPr>
          <w:rFonts w:ascii="Arial" w:hAnsi="Arial" w:cs="Arial"/>
          <w:sz w:val="24"/>
          <w:szCs w:val="24"/>
        </w:rPr>
        <w:t>T</w:t>
      </w:r>
      <w:r w:rsidR="00811CE4" w:rsidRPr="007B6CCC">
        <w:rPr>
          <w:rFonts w:ascii="Arial" w:hAnsi="Arial" w:cs="Arial"/>
          <w:sz w:val="24"/>
          <w:szCs w:val="24"/>
        </w:rPr>
        <w:t xml:space="preserve">his use has </w:t>
      </w:r>
      <w:r w:rsidR="00FF76F9" w:rsidRPr="007B6CCC">
        <w:rPr>
          <w:rFonts w:ascii="Arial" w:hAnsi="Arial" w:cs="Arial"/>
          <w:sz w:val="24"/>
          <w:szCs w:val="24"/>
        </w:rPr>
        <w:t>intensified</w:t>
      </w:r>
      <w:r w:rsidR="00811CE4" w:rsidRPr="007B6CCC">
        <w:rPr>
          <w:rFonts w:ascii="Arial" w:hAnsi="Arial" w:cs="Arial"/>
          <w:sz w:val="24"/>
          <w:szCs w:val="24"/>
        </w:rPr>
        <w:t xml:space="preserve"> recently due to the</w:t>
      </w:r>
      <w:r w:rsidR="003C6236" w:rsidRPr="007B6CCC">
        <w:rPr>
          <w:rFonts w:ascii="Arial" w:hAnsi="Arial" w:cs="Arial"/>
          <w:sz w:val="24"/>
          <w:szCs w:val="24"/>
        </w:rPr>
        <w:t xml:space="preserve"> increased level of repairs</w:t>
      </w:r>
      <w:r w:rsidR="002D232D" w:rsidRPr="007B6CCC">
        <w:rPr>
          <w:rFonts w:ascii="Arial" w:hAnsi="Arial" w:cs="Arial"/>
          <w:sz w:val="24"/>
          <w:szCs w:val="24"/>
        </w:rPr>
        <w:t xml:space="preserve"> required</w:t>
      </w:r>
      <w:r w:rsidR="00985A68" w:rsidRPr="007B6CCC">
        <w:rPr>
          <w:rFonts w:ascii="Arial" w:hAnsi="Arial" w:cs="Arial"/>
          <w:sz w:val="24"/>
          <w:szCs w:val="24"/>
        </w:rPr>
        <w:t xml:space="preserve"> to ensure compliance with new legislation and existing repair policies</w:t>
      </w:r>
      <w:r w:rsidR="00C37F31" w:rsidRPr="007B6CCC">
        <w:rPr>
          <w:rFonts w:ascii="Arial" w:hAnsi="Arial" w:cs="Arial"/>
          <w:sz w:val="24"/>
          <w:szCs w:val="24"/>
        </w:rPr>
        <w:t xml:space="preserve"> </w:t>
      </w:r>
      <w:r w:rsidR="003D4844" w:rsidRPr="007B6CCC">
        <w:rPr>
          <w:rFonts w:ascii="Arial" w:hAnsi="Arial" w:cs="Arial"/>
          <w:sz w:val="24"/>
          <w:szCs w:val="24"/>
        </w:rPr>
        <w:t xml:space="preserve">e.g. damp and mould remediation and installation of fire doors </w:t>
      </w:r>
      <w:r w:rsidR="000A6C8B" w:rsidRPr="007B6CCC">
        <w:rPr>
          <w:rFonts w:ascii="Arial" w:hAnsi="Arial" w:cs="Arial"/>
          <w:sz w:val="24"/>
          <w:szCs w:val="24"/>
        </w:rPr>
        <w:t xml:space="preserve">and to respond to the results of the  </w:t>
      </w:r>
      <w:r w:rsidR="005A11B7" w:rsidRPr="007B6CCC">
        <w:rPr>
          <w:rFonts w:ascii="Arial" w:hAnsi="Arial" w:cs="Arial"/>
          <w:sz w:val="24"/>
          <w:szCs w:val="24"/>
        </w:rPr>
        <w:t>accelerated 100% stock condition surveys</w:t>
      </w:r>
      <w:r w:rsidR="003D4844" w:rsidRPr="007B6CCC">
        <w:rPr>
          <w:rFonts w:ascii="Arial" w:hAnsi="Arial" w:cs="Arial"/>
          <w:sz w:val="24"/>
          <w:szCs w:val="24"/>
        </w:rPr>
        <w:t>.  S</w:t>
      </w:r>
      <w:r w:rsidR="00732BAF" w:rsidRPr="007B6CCC">
        <w:rPr>
          <w:rFonts w:ascii="Arial" w:hAnsi="Arial" w:cs="Arial"/>
          <w:sz w:val="24"/>
          <w:szCs w:val="24"/>
        </w:rPr>
        <w:t>ubcontractors</w:t>
      </w:r>
      <w:r w:rsidR="0085296D" w:rsidRPr="007B6CCC">
        <w:rPr>
          <w:rFonts w:ascii="Arial" w:hAnsi="Arial" w:cs="Arial"/>
          <w:sz w:val="24"/>
          <w:szCs w:val="24"/>
        </w:rPr>
        <w:t xml:space="preserve"> </w:t>
      </w:r>
      <w:r w:rsidR="003B4077" w:rsidRPr="007B6CCC">
        <w:rPr>
          <w:rFonts w:ascii="Arial" w:hAnsi="Arial" w:cs="Arial"/>
          <w:sz w:val="24"/>
          <w:szCs w:val="24"/>
        </w:rPr>
        <w:t xml:space="preserve">and supply chain partners </w:t>
      </w:r>
      <w:r w:rsidR="004B5CBD" w:rsidRPr="007B6CCC">
        <w:rPr>
          <w:rFonts w:ascii="Arial" w:hAnsi="Arial" w:cs="Arial"/>
          <w:sz w:val="24"/>
          <w:szCs w:val="24"/>
        </w:rPr>
        <w:t xml:space="preserve">continue </w:t>
      </w:r>
      <w:r w:rsidR="007B6CCC" w:rsidRPr="007B6CCC">
        <w:rPr>
          <w:rFonts w:ascii="Arial" w:hAnsi="Arial" w:cs="Arial"/>
          <w:sz w:val="24"/>
          <w:szCs w:val="24"/>
        </w:rPr>
        <w:t xml:space="preserve">however </w:t>
      </w:r>
      <w:r w:rsidR="004B5CBD" w:rsidRPr="007B6CCC">
        <w:rPr>
          <w:rFonts w:ascii="Arial" w:hAnsi="Arial" w:cs="Arial"/>
          <w:sz w:val="24"/>
          <w:szCs w:val="24"/>
        </w:rPr>
        <w:t>to be impacted by</w:t>
      </w:r>
      <w:r w:rsidR="0085296D" w:rsidRPr="007B6CCC">
        <w:rPr>
          <w:rFonts w:ascii="Arial" w:hAnsi="Arial" w:cs="Arial"/>
          <w:sz w:val="24"/>
          <w:szCs w:val="24"/>
        </w:rPr>
        <w:t xml:space="preserve"> labour shortages</w:t>
      </w:r>
      <w:r w:rsidR="00E575C6" w:rsidRPr="007B6CCC">
        <w:rPr>
          <w:rFonts w:ascii="Arial" w:hAnsi="Arial" w:cs="Arial"/>
          <w:sz w:val="24"/>
          <w:szCs w:val="24"/>
        </w:rPr>
        <w:t xml:space="preserve"> </w:t>
      </w:r>
      <w:r w:rsidR="00C91F90" w:rsidRPr="007B6CCC">
        <w:rPr>
          <w:rFonts w:ascii="Arial" w:hAnsi="Arial" w:cs="Arial"/>
          <w:sz w:val="24"/>
          <w:szCs w:val="24"/>
        </w:rPr>
        <w:t>and are struggling to meet the demands</w:t>
      </w:r>
      <w:r w:rsidR="00732BAF" w:rsidRPr="007B6CCC">
        <w:rPr>
          <w:rFonts w:ascii="Arial" w:hAnsi="Arial" w:cs="Arial"/>
          <w:sz w:val="24"/>
          <w:szCs w:val="24"/>
        </w:rPr>
        <w:t xml:space="preserve"> </w:t>
      </w:r>
      <w:r w:rsidR="007B6CCC" w:rsidRPr="007B6CCC">
        <w:rPr>
          <w:rFonts w:ascii="Arial" w:hAnsi="Arial" w:cs="Arial"/>
          <w:sz w:val="24"/>
          <w:szCs w:val="24"/>
        </w:rPr>
        <w:t>or the marketplace</w:t>
      </w:r>
      <w:r w:rsidR="00171409">
        <w:rPr>
          <w:rFonts w:ascii="Arial" w:hAnsi="Arial" w:cs="Arial"/>
          <w:sz w:val="24"/>
          <w:szCs w:val="24"/>
        </w:rPr>
        <w:t xml:space="preserve"> along</w:t>
      </w:r>
      <w:r w:rsidR="009679FC">
        <w:rPr>
          <w:rFonts w:ascii="Arial" w:hAnsi="Arial" w:cs="Arial"/>
          <w:sz w:val="24"/>
          <w:szCs w:val="24"/>
        </w:rPr>
        <w:t xml:space="preserve"> </w:t>
      </w:r>
      <w:r w:rsidR="00171409">
        <w:rPr>
          <w:rFonts w:ascii="Arial" w:hAnsi="Arial" w:cs="Arial"/>
          <w:sz w:val="24"/>
          <w:szCs w:val="24"/>
        </w:rPr>
        <w:t xml:space="preserve">with high costs in the </w:t>
      </w:r>
      <w:r w:rsidR="009679FC">
        <w:rPr>
          <w:rFonts w:ascii="Arial" w:hAnsi="Arial" w:cs="Arial"/>
          <w:sz w:val="24"/>
          <w:szCs w:val="24"/>
        </w:rPr>
        <w:t>construction industry</w:t>
      </w:r>
      <w:r w:rsidR="007B6CCC" w:rsidRPr="007B6CCC">
        <w:rPr>
          <w:rFonts w:ascii="Arial" w:hAnsi="Arial" w:cs="Arial"/>
          <w:sz w:val="24"/>
          <w:szCs w:val="24"/>
        </w:rPr>
        <w:t>, as such</w:t>
      </w:r>
      <w:r w:rsidR="00732BAF" w:rsidRPr="007B6CCC">
        <w:rPr>
          <w:rFonts w:ascii="Arial" w:hAnsi="Arial" w:cs="Arial"/>
          <w:sz w:val="24"/>
          <w:szCs w:val="24"/>
        </w:rPr>
        <w:t xml:space="preserve"> a</w:t>
      </w:r>
      <w:r w:rsidR="0085296D" w:rsidRPr="007B6CCC">
        <w:rPr>
          <w:rFonts w:ascii="Arial" w:hAnsi="Arial" w:cs="Arial"/>
          <w:sz w:val="24"/>
          <w:szCs w:val="24"/>
        </w:rPr>
        <w:t xml:space="preserve">ny contracts awarded to help alleviate the </w:t>
      </w:r>
      <w:r w:rsidR="007B6CCC" w:rsidRPr="007B6CCC">
        <w:rPr>
          <w:rFonts w:ascii="Arial" w:hAnsi="Arial" w:cs="Arial"/>
          <w:sz w:val="24"/>
          <w:szCs w:val="24"/>
        </w:rPr>
        <w:t>internal demands</w:t>
      </w:r>
      <w:r w:rsidR="0085296D" w:rsidRPr="007B6CCC">
        <w:rPr>
          <w:rFonts w:ascii="Arial" w:hAnsi="Arial" w:cs="Arial"/>
          <w:sz w:val="24"/>
          <w:szCs w:val="24"/>
        </w:rPr>
        <w:t xml:space="preserve"> are </w:t>
      </w:r>
      <w:r w:rsidR="007B6CCC" w:rsidRPr="007B6CCC">
        <w:rPr>
          <w:rFonts w:ascii="Arial" w:hAnsi="Arial" w:cs="Arial"/>
          <w:sz w:val="24"/>
          <w:szCs w:val="24"/>
        </w:rPr>
        <w:t>often</w:t>
      </w:r>
      <w:r w:rsidR="0085296D" w:rsidRPr="007B6CCC">
        <w:rPr>
          <w:rFonts w:ascii="Arial" w:hAnsi="Arial" w:cs="Arial"/>
          <w:sz w:val="24"/>
          <w:szCs w:val="24"/>
        </w:rPr>
        <w:t xml:space="preserve"> at inflated prices</w:t>
      </w:r>
      <w:r w:rsidR="00732BAF" w:rsidRPr="007B6CCC">
        <w:rPr>
          <w:rFonts w:ascii="Arial" w:hAnsi="Arial" w:cs="Arial"/>
          <w:sz w:val="24"/>
          <w:szCs w:val="24"/>
        </w:rPr>
        <w:t xml:space="preserve">. </w:t>
      </w:r>
      <w:r w:rsidR="0085296D" w:rsidRPr="007B6CCC">
        <w:rPr>
          <w:rFonts w:ascii="Arial" w:hAnsi="Arial" w:cs="Arial"/>
          <w:sz w:val="24"/>
          <w:szCs w:val="24"/>
        </w:rPr>
        <w:t xml:space="preserve"> </w:t>
      </w:r>
    </w:p>
    <w:p w14:paraId="12C4762E" w14:textId="77777777" w:rsidR="000B0364" w:rsidRPr="00B91350" w:rsidRDefault="000B0364" w:rsidP="00A81F0D">
      <w:pPr>
        <w:pStyle w:val="BodyTextIndent2"/>
        <w:tabs>
          <w:tab w:val="left" w:pos="7547"/>
          <w:tab w:val="left" w:pos="7689"/>
        </w:tabs>
        <w:ind w:left="0"/>
        <w:rPr>
          <w:highlight w:val="yellow"/>
        </w:rPr>
      </w:pPr>
    </w:p>
    <w:p w14:paraId="2AF2E32E" w14:textId="26F4423C" w:rsidR="000B0364" w:rsidRPr="00A00926" w:rsidRDefault="00D85715" w:rsidP="00CF25BB">
      <w:pPr>
        <w:pStyle w:val="BodyTextIndent2"/>
        <w:numPr>
          <w:ilvl w:val="0"/>
          <w:numId w:val="33"/>
        </w:numPr>
        <w:tabs>
          <w:tab w:val="left" w:pos="7547"/>
          <w:tab w:val="left" w:pos="7689"/>
        </w:tabs>
      </w:pPr>
      <w:r w:rsidRPr="00A00926">
        <w:t>Wage</w:t>
      </w:r>
      <w:r w:rsidR="000B0364" w:rsidRPr="00A00926">
        <w:t xml:space="preserve"> </w:t>
      </w:r>
      <w:r w:rsidR="00C66068" w:rsidRPr="00A00926">
        <w:t>i</w:t>
      </w:r>
      <w:r w:rsidR="000B0364" w:rsidRPr="00A00926">
        <w:t xml:space="preserve">nflation </w:t>
      </w:r>
      <w:r w:rsidR="00FE2873" w:rsidRPr="00A00926">
        <w:t>–</w:t>
      </w:r>
      <w:r w:rsidR="000B0364" w:rsidRPr="00A00926">
        <w:t xml:space="preserve"> </w:t>
      </w:r>
      <w:r w:rsidR="008E2827" w:rsidRPr="00A00926">
        <w:t xml:space="preserve">in line with the General Fund </w:t>
      </w:r>
      <w:r w:rsidR="001C4CA5" w:rsidRPr="00A00926">
        <w:t>recent</w:t>
      </w:r>
      <w:r w:rsidR="00FE2873" w:rsidRPr="00A00926">
        <w:t xml:space="preserve"> pay </w:t>
      </w:r>
      <w:r w:rsidR="001C4CA5" w:rsidRPr="00A00926">
        <w:t>agreements, negotiated</w:t>
      </w:r>
      <w:r w:rsidR="008E2827" w:rsidRPr="00A00926">
        <w:t xml:space="preserve"> by the National Employers side, </w:t>
      </w:r>
      <w:r w:rsidR="001C4CA5" w:rsidRPr="00A00926">
        <w:t>whilst recognising the below inflation pay increases of local government workers in recent years, have</w:t>
      </w:r>
      <w:r w:rsidR="008E2827" w:rsidRPr="00A00926">
        <w:t xml:space="preserve"> </w:t>
      </w:r>
      <w:r w:rsidR="006C614F" w:rsidRPr="00A00926">
        <w:t>placed a significant additional burden on the HRA</w:t>
      </w:r>
      <w:r w:rsidR="001C4CA5" w:rsidRPr="00A00926">
        <w:t xml:space="preserve">.  In addition, the increase Employer National Insurance contributions from April 2025 has also </w:t>
      </w:r>
      <w:r w:rsidR="006C614F" w:rsidRPr="00A00926">
        <w:t xml:space="preserve">significantly </w:t>
      </w:r>
      <w:r w:rsidR="001C4CA5" w:rsidRPr="00A00926">
        <w:t xml:space="preserve">increased the </w:t>
      </w:r>
      <w:r w:rsidR="00867C93" w:rsidRPr="00A00926">
        <w:t>HRA’s</w:t>
      </w:r>
      <w:r w:rsidR="001C4CA5" w:rsidRPr="00A00926">
        <w:t xml:space="preserve"> salary costs</w:t>
      </w:r>
      <w:r w:rsidR="00867C93" w:rsidRPr="00A00926">
        <w:t xml:space="preserve">.  Unlike the General Fund where compensation for these increased costs </w:t>
      </w:r>
      <w:r w:rsidR="00A00926" w:rsidRPr="00A00926">
        <w:t>was</w:t>
      </w:r>
      <w:r w:rsidR="00867C93" w:rsidRPr="00A00926">
        <w:t xml:space="preserve"> provided through </w:t>
      </w:r>
      <w:r w:rsidR="00F33343" w:rsidRPr="00A00926">
        <w:t xml:space="preserve">an additional </w:t>
      </w:r>
      <w:r w:rsidR="00B02E6A" w:rsidRPr="00A00926">
        <w:t>grant</w:t>
      </w:r>
      <w:r w:rsidR="00867C93" w:rsidRPr="00A00926">
        <w:t xml:space="preserve">, there </w:t>
      </w:r>
      <w:r w:rsidR="00A00926" w:rsidRPr="00A00926">
        <w:t>was</w:t>
      </w:r>
      <w:r w:rsidR="00867C93" w:rsidRPr="00A00926">
        <w:t xml:space="preserve"> no direction compensation for the HRA.</w:t>
      </w:r>
    </w:p>
    <w:p w14:paraId="77EE2CF0" w14:textId="77777777" w:rsidR="00300E62" w:rsidRPr="00B91350" w:rsidRDefault="00300E62" w:rsidP="00130FB2">
      <w:pPr>
        <w:pStyle w:val="BodyTextIndent2"/>
        <w:tabs>
          <w:tab w:val="left" w:pos="7547"/>
          <w:tab w:val="left" w:pos="7689"/>
        </w:tabs>
        <w:ind w:left="0"/>
        <w:rPr>
          <w:highlight w:val="yellow"/>
        </w:rPr>
      </w:pPr>
    </w:p>
    <w:p w14:paraId="5E34E330" w14:textId="28C4450F" w:rsidR="00300E62" w:rsidRPr="003C6236" w:rsidRDefault="00006505" w:rsidP="00CF25BB">
      <w:pPr>
        <w:pStyle w:val="BodyTextIndent2"/>
        <w:numPr>
          <w:ilvl w:val="0"/>
          <w:numId w:val="33"/>
        </w:numPr>
        <w:tabs>
          <w:tab w:val="left" w:pos="7547"/>
          <w:tab w:val="left" w:pos="7689"/>
        </w:tabs>
      </w:pPr>
      <w:r>
        <w:t>Cost inflation and c</w:t>
      </w:r>
      <w:r w:rsidR="00C66068" w:rsidRPr="003C6236">
        <w:t>ontractual commitments - i</w:t>
      </w:r>
      <w:r w:rsidR="00E75108" w:rsidRPr="003C6236">
        <w:t>n addition to an increased need to use sub-contractors</w:t>
      </w:r>
      <w:r w:rsidR="00AE13AE" w:rsidRPr="003C6236">
        <w:t xml:space="preserve"> (</w:t>
      </w:r>
      <w:r w:rsidR="00E75108" w:rsidRPr="003C6236">
        <w:t>at inflated prices</w:t>
      </w:r>
      <w:r w:rsidR="00AE13AE" w:rsidRPr="003C6236">
        <w:t>)</w:t>
      </w:r>
      <w:r w:rsidR="00E75108" w:rsidRPr="003C6236">
        <w:t xml:space="preserve"> the HRA has also experienced </w:t>
      </w:r>
      <w:r w:rsidR="0052012D" w:rsidRPr="003C6236">
        <w:t>inflationary</w:t>
      </w:r>
      <w:r w:rsidR="001D1BB9" w:rsidRPr="003C6236">
        <w:t xml:space="preserve"> costs </w:t>
      </w:r>
      <w:r w:rsidR="002A58A8" w:rsidRPr="003C6236">
        <w:t xml:space="preserve">as </w:t>
      </w:r>
      <w:r w:rsidR="00A233C6" w:rsidRPr="003C6236">
        <w:t>contract</w:t>
      </w:r>
      <w:r w:rsidR="00CB2DAA" w:rsidRPr="003C6236">
        <w:t>s</w:t>
      </w:r>
      <w:r w:rsidR="002A58A8" w:rsidRPr="003C6236">
        <w:t xml:space="preserve"> have expired and have been re-tendered</w:t>
      </w:r>
      <w:r w:rsidR="00A233C6" w:rsidRPr="003C6236">
        <w:t xml:space="preserve"> </w:t>
      </w:r>
      <w:r w:rsidR="0052012D" w:rsidRPr="003C6236">
        <w:t>as well as</w:t>
      </w:r>
      <w:r w:rsidR="00300E62" w:rsidRPr="003C6236">
        <w:t xml:space="preserve"> </w:t>
      </w:r>
      <w:r w:rsidR="00A233C6" w:rsidRPr="003C6236">
        <w:t>higher</w:t>
      </w:r>
      <w:r w:rsidR="00300E62" w:rsidRPr="003C6236">
        <w:t xml:space="preserve"> material prices</w:t>
      </w:r>
      <w:r w:rsidR="00A233C6" w:rsidRPr="003C6236">
        <w:t>.</w:t>
      </w:r>
      <w:r w:rsidR="00873DF9" w:rsidRPr="003C6236">
        <w:t xml:space="preserve"> </w:t>
      </w:r>
      <w:r w:rsidR="00BB59C5" w:rsidRPr="003C6236">
        <w:t>These c</w:t>
      </w:r>
      <w:r w:rsidR="00873DF9" w:rsidRPr="003C6236">
        <w:t xml:space="preserve">ontract prices </w:t>
      </w:r>
      <w:r w:rsidR="00AF0D3C" w:rsidRPr="003C6236">
        <w:t>have been affected by the persistently high costs in the construction industry, despite an easing from the peak volatility in 2020-2022.</w:t>
      </w:r>
    </w:p>
    <w:p w14:paraId="2187A039" w14:textId="77777777" w:rsidR="000443E6" w:rsidRPr="009578F0" w:rsidRDefault="000443E6" w:rsidP="000443E6">
      <w:pPr>
        <w:pStyle w:val="BodyTextIndent2"/>
        <w:tabs>
          <w:tab w:val="left" w:pos="7547"/>
          <w:tab w:val="left" w:pos="7689"/>
        </w:tabs>
      </w:pPr>
    </w:p>
    <w:p w14:paraId="58B3D99A" w14:textId="5B2BA492" w:rsidR="000443E6" w:rsidRPr="009578F0" w:rsidRDefault="000443E6" w:rsidP="00CF25BB">
      <w:pPr>
        <w:pStyle w:val="BodyTextIndent2"/>
        <w:numPr>
          <w:ilvl w:val="0"/>
          <w:numId w:val="33"/>
        </w:numPr>
        <w:tabs>
          <w:tab w:val="left" w:pos="7547"/>
          <w:tab w:val="left" w:pos="7689"/>
        </w:tabs>
      </w:pPr>
      <w:r w:rsidRPr="009578F0">
        <w:t xml:space="preserve">Capital costs - although the HRA </w:t>
      </w:r>
      <w:r w:rsidR="00A817EB" w:rsidRPr="009578F0">
        <w:t xml:space="preserve">can borrow from the PWLB at </w:t>
      </w:r>
      <w:r w:rsidR="00E835B6" w:rsidRPr="009578F0">
        <w:t xml:space="preserve">a concessionary rate, the </w:t>
      </w:r>
      <w:r w:rsidR="000D6B44" w:rsidRPr="009578F0">
        <w:t>sustained higher</w:t>
      </w:r>
      <w:r w:rsidR="00E835B6" w:rsidRPr="009578F0">
        <w:t xml:space="preserve"> interest rates </w:t>
      </w:r>
      <w:r w:rsidR="005B4B5F" w:rsidRPr="009578F0">
        <w:t>still affects the cost of borrowing to fund capital schemes and is increasingly impacting on the affordability of projects and the costs borne by the revenue account.</w:t>
      </w:r>
    </w:p>
    <w:p w14:paraId="69480B01" w14:textId="77777777" w:rsidR="002E2C74" w:rsidRDefault="002E2C74" w:rsidP="002E2C74">
      <w:pPr>
        <w:pStyle w:val="ListParagraph"/>
        <w:rPr>
          <w:highlight w:val="yellow"/>
        </w:rPr>
      </w:pPr>
    </w:p>
    <w:p w14:paraId="1AA5E4D2" w14:textId="3B4FEE15" w:rsidR="002E2C74" w:rsidRPr="007010EA" w:rsidRDefault="002E2C74" w:rsidP="00CF25BB">
      <w:pPr>
        <w:pStyle w:val="ListParagraph"/>
        <w:numPr>
          <w:ilvl w:val="0"/>
          <w:numId w:val="33"/>
        </w:numPr>
        <w:spacing w:after="0" w:line="240" w:lineRule="auto"/>
        <w:jc w:val="both"/>
        <w:rPr>
          <w:rFonts w:ascii="Arial" w:hAnsi="Arial" w:cs="Arial"/>
          <w:sz w:val="24"/>
          <w:szCs w:val="24"/>
        </w:rPr>
      </w:pPr>
      <w:r w:rsidRPr="009C4D1E">
        <w:rPr>
          <w:rFonts w:ascii="Arial" w:hAnsi="Arial" w:cs="Arial"/>
          <w:sz w:val="24"/>
          <w:szCs w:val="24"/>
        </w:rPr>
        <w:t>Additional burdens: over recent years there have been more and more new burdens placed on councils with little or no additional funding. New social housing regulations, primarily stemming from the Social Housing Act 2023</w:t>
      </w:r>
      <w:r w:rsidR="00CB6B41">
        <w:rPr>
          <w:rFonts w:ascii="Arial" w:hAnsi="Arial" w:cs="Arial"/>
          <w:sz w:val="24"/>
          <w:szCs w:val="24"/>
        </w:rPr>
        <w:t>,</w:t>
      </w:r>
      <w:r w:rsidR="00D753B1">
        <w:rPr>
          <w:rFonts w:ascii="Arial" w:hAnsi="Arial" w:cs="Arial"/>
          <w:sz w:val="24"/>
          <w:szCs w:val="24"/>
        </w:rPr>
        <w:t xml:space="preserve"> </w:t>
      </w:r>
      <w:r w:rsidRPr="009C4D1E">
        <w:rPr>
          <w:rFonts w:ascii="Arial" w:hAnsi="Arial" w:cs="Arial"/>
          <w:sz w:val="24"/>
          <w:szCs w:val="24"/>
        </w:rPr>
        <w:t xml:space="preserve">the Building Safety Act 2022 </w:t>
      </w:r>
      <w:r w:rsidR="00CB6B41">
        <w:rPr>
          <w:rFonts w:ascii="Arial" w:hAnsi="Arial" w:cs="Arial"/>
          <w:sz w:val="24"/>
          <w:szCs w:val="24"/>
        </w:rPr>
        <w:t xml:space="preserve">and Fire Safety Act 2021, </w:t>
      </w:r>
      <w:r w:rsidRPr="009C4D1E">
        <w:rPr>
          <w:rFonts w:ascii="Arial" w:hAnsi="Arial" w:cs="Arial"/>
          <w:sz w:val="24"/>
          <w:szCs w:val="24"/>
        </w:rPr>
        <w:t>are imposing significant new burdens on the HRA</w:t>
      </w:r>
      <w:r w:rsidR="00FC4FE3">
        <w:rPr>
          <w:rFonts w:ascii="Arial" w:hAnsi="Arial" w:cs="Arial"/>
          <w:sz w:val="24"/>
          <w:szCs w:val="24"/>
        </w:rPr>
        <w:t xml:space="preserve">.  </w:t>
      </w:r>
      <w:r w:rsidRPr="009C4D1E">
        <w:rPr>
          <w:rFonts w:ascii="Arial" w:hAnsi="Arial" w:cs="Arial"/>
          <w:sz w:val="24"/>
          <w:szCs w:val="24"/>
        </w:rPr>
        <w:t>These burdens primarily manifest as increased costs for building safety, damp and mould remediation, enhanced consumer standards compliance, and a new proactive regulatory regime. As HRA’s are self-financing in their nature, the additional costs incurred to ensure regulatory compliance need to be met from within the HRA, primarily through housing rents.</w:t>
      </w:r>
      <w:r w:rsidR="00FC4FE3" w:rsidRPr="00FC4FE3">
        <w:rPr>
          <w:rFonts w:ascii="Arial" w:hAnsi="Arial" w:cs="Arial"/>
          <w:sz w:val="24"/>
          <w:szCs w:val="24"/>
        </w:rPr>
        <w:t xml:space="preserve"> </w:t>
      </w:r>
      <w:r w:rsidR="00FC4FE3">
        <w:rPr>
          <w:rFonts w:ascii="Arial" w:hAnsi="Arial" w:cs="Arial"/>
          <w:sz w:val="24"/>
          <w:szCs w:val="24"/>
        </w:rPr>
        <w:t xml:space="preserve">In addition, during 2025 the Government consulted on a new Decent Homes Standard for social and private rented housing, which when implemented will have further </w:t>
      </w:r>
      <w:r w:rsidR="00DA2250">
        <w:rPr>
          <w:rFonts w:ascii="Arial" w:hAnsi="Arial" w:cs="Arial"/>
          <w:sz w:val="24"/>
          <w:szCs w:val="24"/>
        </w:rPr>
        <w:t>implications for the HRA,</w:t>
      </w:r>
      <w:r w:rsidR="007C5C67">
        <w:rPr>
          <w:rFonts w:ascii="Arial" w:hAnsi="Arial" w:cs="Arial"/>
          <w:sz w:val="24"/>
          <w:szCs w:val="24"/>
        </w:rPr>
        <w:t xml:space="preserve"> with stricter criteria especially for energy efficiency and new requirements like floor coverings.</w:t>
      </w:r>
    </w:p>
    <w:p w14:paraId="61C20EB6" w14:textId="6CBB4EAE" w:rsidR="00A829F4" w:rsidRPr="00B91350" w:rsidRDefault="00A829F4" w:rsidP="003B4175">
      <w:pPr>
        <w:pStyle w:val="BodyTextIndent2"/>
        <w:tabs>
          <w:tab w:val="left" w:pos="7547"/>
          <w:tab w:val="left" w:pos="7689"/>
        </w:tabs>
        <w:ind w:left="0"/>
        <w:rPr>
          <w:highlight w:val="yellow"/>
        </w:rPr>
      </w:pPr>
    </w:p>
    <w:p w14:paraId="7A147ED8" w14:textId="65891B68" w:rsidR="00C76F43" w:rsidRPr="009578F0" w:rsidRDefault="00C00FA5" w:rsidP="003B4175">
      <w:pPr>
        <w:jc w:val="both"/>
        <w:rPr>
          <w:rFonts w:ascii="Arial" w:hAnsi="Arial" w:cs="Arial"/>
          <w:lang w:eastAsia="en-GB"/>
        </w:rPr>
      </w:pPr>
      <w:r w:rsidRPr="009578F0">
        <w:rPr>
          <w:rFonts w:ascii="Arial" w:hAnsi="Arial" w:cs="Arial"/>
        </w:rPr>
        <w:t>Furthermore, i</w:t>
      </w:r>
      <w:r w:rsidR="00A25D2C" w:rsidRPr="009578F0">
        <w:rPr>
          <w:rFonts w:ascii="Arial" w:hAnsi="Arial" w:cs="Arial"/>
        </w:rPr>
        <w:t>n terms of service demands</w:t>
      </w:r>
      <w:r w:rsidR="00641CD3" w:rsidRPr="009578F0">
        <w:rPr>
          <w:rFonts w:ascii="Arial" w:hAnsi="Arial" w:cs="Arial"/>
        </w:rPr>
        <w:t xml:space="preserve"> </w:t>
      </w:r>
      <w:r w:rsidR="001E4949" w:rsidRPr="009578F0">
        <w:rPr>
          <w:rFonts w:ascii="Arial" w:hAnsi="Arial" w:cs="Arial"/>
        </w:rPr>
        <w:t>the UK is</w:t>
      </w:r>
      <w:r w:rsidR="00062011" w:rsidRPr="009578F0">
        <w:rPr>
          <w:rFonts w:ascii="Arial" w:hAnsi="Arial" w:cs="Arial"/>
        </w:rPr>
        <w:t xml:space="preserve"> currently </w:t>
      </w:r>
      <w:r w:rsidR="001E4949" w:rsidRPr="009578F0">
        <w:rPr>
          <w:rFonts w:ascii="Arial" w:hAnsi="Arial" w:cs="Arial"/>
        </w:rPr>
        <w:t xml:space="preserve">experiencing </w:t>
      </w:r>
      <w:r w:rsidR="00062011" w:rsidRPr="009578F0">
        <w:rPr>
          <w:rFonts w:ascii="Arial" w:hAnsi="Arial" w:cs="Arial"/>
        </w:rPr>
        <w:t>a housing crisis</w:t>
      </w:r>
      <w:r w:rsidR="001E4949" w:rsidRPr="009578F0">
        <w:rPr>
          <w:rFonts w:ascii="Arial" w:hAnsi="Arial" w:cs="Arial"/>
        </w:rPr>
        <w:t xml:space="preserve">, </w:t>
      </w:r>
      <w:r w:rsidR="00062011" w:rsidRPr="009578F0">
        <w:rPr>
          <w:rFonts w:ascii="Arial" w:hAnsi="Arial" w:cs="Arial"/>
        </w:rPr>
        <w:t>with an acute shortage of affordable housing. This housing crisis includes the City of Lincoln and is a challenging situation.</w:t>
      </w:r>
      <w:r w:rsidR="001E4949" w:rsidRPr="009578F0">
        <w:rPr>
          <w:rFonts w:ascii="Arial" w:hAnsi="Arial" w:cs="Arial"/>
          <w:lang w:eastAsia="en-GB"/>
        </w:rPr>
        <w:t xml:space="preserve"> </w:t>
      </w:r>
    </w:p>
    <w:p w14:paraId="11227AD7" w14:textId="77777777" w:rsidR="003B4175" w:rsidRPr="00B91350" w:rsidRDefault="003B4175" w:rsidP="003B4175">
      <w:pPr>
        <w:jc w:val="both"/>
        <w:rPr>
          <w:rFonts w:ascii="Arial" w:hAnsi="Arial" w:cs="Arial"/>
          <w:highlight w:val="yellow"/>
          <w:lang w:eastAsia="en-GB"/>
        </w:rPr>
      </w:pPr>
    </w:p>
    <w:p w14:paraId="50033DD1" w14:textId="7BDEFB87" w:rsidR="001E4949" w:rsidRPr="00B91350" w:rsidRDefault="00C76F43" w:rsidP="003B4175">
      <w:pPr>
        <w:jc w:val="both"/>
        <w:rPr>
          <w:rFonts w:ascii="Arial" w:hAnsi="Arial" w:cs="Arial"/>
          <w:highlight w:val="yellow"/>
          <w:lang w:eastAsia="en-GB"/>
        </w:rPr>
      </w:pPr>
      <w:r w:rsidRPr="00992C19">
        <w:rPr>
          <w:rFonts w:ascii="Arial" w:hAnsi="Arial" w:cs="Arial"/>
        </w:rPr>
        <w:t xml:space="preserve">Although the Council has been successful in delivering additional housing, </w:t>
      </w:r>
      <w:r w:rsidR="006A5AE1" w:rsidRPr="00992C19">
        <w:rPr>
          <w:rFonts w:ascii="Arial" w:hAnsi="Arial" w:cs="Arial"/>
        </w:rPr>
        <w:t xml:space="preserve">the </w:t>
      </w:r>
      <w:r w:rsidRPr="00992C19">
        <w:rPr>
          <w:rFonts w:ascii="Arial" w:hAnsi="Arial" w:cs="Arial"/>
        </w:rPr>
        <w:t xml:space="preserve">local housing market has worsened in terms of demand versus supply over the last few </w:t>
      </w:r>
      <w:r w:rsidRPr="000F50A5">
        <w:rPr>
          <w:rFonts w:ascii="Arial" w:hAnsi="Arial" w:cs="Arial"/>
        </w:rPr>
        <w:t xml:space="preserve">years. Whilst it can only be used as a proxy indicator the </w:t>
      </w:r>
      <w:r w:rsidR="00DC3693" w:rsidRPr="000F50A5">
        <w:rPr>
          <w:rFonts w:ascii="Arial" w:hAnsi="Arial" w:cs="Arial"/>
        </w:rPr>
        <w:t>C</w:t>
      </w:r>
      <w:r w:rsidRPr="000F50A5">
        <w:rPr>
          <w:rFonts w:ascii="Arial" w:hAnsi="Arial" w:cs="Arial"/>
        </w:rPr>
        <w:t>ouncil</w:t>
      </w:r>
      <w:r w:rsidR="00DC3693" w:rsidRPr="000F50A5">
        <w:rPr>
          <w:rFonts w:ascii="Arial" w:hAnsi="Arial" w:cs="Arial"/>
        </w:rPr>
        <w:t>’</w:t>
      </w:r>
      <w:r w:rsidRPr="000F50A5">
        <w:rPr>
          <w:rFonts w:ascii="Arial" w:hAnsi="Arial" w:cs="Arial"/>
        </w:rPr>
        <w:t xml:space="preserve">s own housing register now has around </w:t>
      </w:r>
      <w:r w:rsidR="00815600" w:rsidRPr="000F50A5">
        <w:rPr>
          <w:rFonts w:ascii="Arial" w:hAnsi="Arial" w:cs="Arial"/>
        </w:rPr>
        <w:t>2,</w:t>
      </w:r>
      <w:r w:rsidR="000F50A5" w:rsidRPr="000F50A5">
        <w:rPr>
          <w:rFonts w:ascii="Arial" w:hAnsi="Arial" w:cs="Arial"/>
        </w:rPr>
        <w:t>2</w:t>
      </w:r>
      <w:r w:rsidR="0000116F">
        <w:rPr>
          <w:rFonts w:ascii="Arial" w:hAnsi="Arial" w:cs="Arial"/>
        </w:rPr>
        <w:t>75</w:t>
      </w:r>
      <w:r w:rsidRPr="000F50A5">
        <w:rPr>
          <w:rFonts w:ascii="Arial" w:hAnsi="Arial" w:cs="Arial"/>
        </w:rPr>
        <w:t xml:space="preserve"> </w:t>
      </w:r>
      <w:r w:rsidR="00CC1D52" w:rsidRPr="000F50A5">
        <w:rPr>
          <w:rFonts w:ascii="Arial" w:hAnsi="Arial" w:cs="Arial"/>
        </w:rPr>
        <w:t>(at December 202</w:t>
      </w:r>
      <w:r w:rsidR="00811895" w:rsidRPr="000F50A5">
        <w:rPr>
          <w:rFonts w:ascii="Arial" w:hAnsi="Arial" w:cs="Arial"/>
        </w:rPr>
        <w:t>5</w:t>
      </w:r>
      <w:r w:rsidR="00CC1D52" w:rsidRPr="000F50A5">
        <w:rPr>
          <w:rFonts w:ascii="Arial" w:hAnsi="Arial" w:cs="Arial"/>
        </w:rPr>
        <w:t>)</w:t>
      </w:r>
      <w:r w:rsidR="00065D0E" w:rsidRPr="000F50A5">
        <w:rPr>
          <w:rFonts w:ascii="Arial" w:hAnsi="Arial" w:cs="Arial"/>
        </w:rPr>
        <w:t xml:space="preserve"> </w:t>
      </w:r>
      <w:r w:rsidRPr="000F50A5">
        <w:rPr>
          <w:rFonts w:ascii="Arial" w:hAnsi="Arial" w:cs="Arial"/>
        </w:rPr>
        <w:t>active applicants seeking homes</w:t>
      </w:r>
      <w:r w:rsidR="006A5AE1" w:rsidRPr="000F50A5">
        <w:rPr>
          <w:rFonts w:ascii="Arial" w:hAnsi="Arial" w:cs="Arial"/>
        </w:rPr>
        <w:t xml:space="preserve">, </w:t>
      </w:r>
      <w:r w:rsidR="00815600" w:rsidRPr="000F50A5">
        <w:rPr>
          <w:rFonts w:ascii="Arial" w:hAnsi="Arial" w:cs="Arial"/>
        </w:rPr>
        <w:t>which is</w:t>
      </w:r>
      <w:r w:rsidR="006A5AE1" w:rsidRPr="000F50A5">
        <w:rPr>
          <w:rFonts w:ascii="Arial" w:hAnsi="Arial" w:cs="Arial"/>
        </w:rPr>
        <w:t xml:space="preserve"> an increase of </w:t>
      </w:r>
      <w:r w:rsidR="00A40447">
        <w:rPr>
          <w:rFonts w:ascii="Arial" w:hAnsi="Arial" w:cs="Arial"/>
        </w:rPr>
        <w:t>8</w:t>
      </w:r>
      <w:r w:rsidR="006A5AE1" w:rsidRPr="000F50A5">
        <w:rPr>
          <w:rFonts w:ascii="Arial" w:hAnsi="Arial" w:cs="Arial"/>
        </w:rPr>
        <w:t xml:space="preserve">% </w:t>
      </w:r>
      <w:r w:rsidR="008A5176" w:rsidRPr="000F50A5">
        <w:rPr>
          <w:rFonts w:ascii="Arial" w:hAnsi="Arial" w:cs="Arial"/>
        </w:rPr>
        <w:t>over the</w:t>
      </w:r>
      <w:r w:rsidR="0003195A" w:rsidRPr="000F50A5">
        <w:rPr>
          <w:rFonts w:ascii="Arial" w:hAnsi="Arial" w:cs="Arial"/>
        </w:rPr>
        <w:t xml:space="preserve"> last 12 months</w:t>
      </w:r>
      <w:r w:rsidR="00815600" w:rsidRPr="000F50A5">
        <w:rPr>
          <w:rFonts w:ascii="Arial" w:hAnsi="Arial" w:cs="Arial"/>
        </w:rPr>
        <w:t xml:space="preserve"> and a </w:t>
      </w:r>
      <w:r w:rsidR="00634B8E">
        <w:rPr>
          <w:rFonts w:ascii="Arial" w:hAnsi="Arial" w:cs="Arial"/>
        </w:rPr>
        <w:t>57</w:t>
      </w:r>
      <w:r w:rsidR="00815600" w:rsidRPr="000F50A5">
        <w:rPr>
          <w:rFonts w:ascii="Arial" w:hAnsi="Arial" w:cs="Arial"/>
        </w:rPr>
        <w:t>% increase</w:t>
      </w:r>
      <w:r w:rsidR="006A5AE1" w:rsidRPr="000F50A5">
        <w:rPr>
          <w:rFonts w:ascii="Arial" w:hAnsi="Arial" w:cs="Arial"/>
        </w:rPr>
        <w:t xml:space="preserve"> i</w:t>
      </w:r>
      <w:r w:rsidR="001E4949" w:rsidRPr="000F50A5">
        <w:rPr>
          <w:rFonts w:ascii="Arial" w:hAnsi="Arial" w:cs="Arial"/>
          <w:lang w:eastAsia="en-GB"/>
        </w:rPr>
        <w:t>n the period from March 2020</w:t>
      </w:r>
      <w:r w:rsidR="006A5AE1" w:rsidRPr="000F50A5">
        <w:rPr>
          <w:rFonts w:ascii="Arial" w:hAnsi="Arial" w:cs="Arial"/>
          <w:lang w:eastAsia="en-GB"/>
        </w:rPr>
        <w:t xml:space="preserve">. </w:t>
      </w:r>
      <w:r w:rsidR="001E4949" w:rsidRPr="000F50A5">
        <w:rPr>
          <w:rFonts w:ascii="Arial" w:hAnsi="Arial" w:cs="Arial"/>
          <w:lang w:eastAsia="en-GB"/>
        </w:rPr>
        <w:t xml:space="preserve">Over the same period </w:t>
      </w:r>
      <w:r w:rsidR="00065D0E" w:rsidRPr="000F50A5">
        <w:rPr>
          <w:rFonts w:ascii="Arial" w:hAnsi="Arial" w:cs="Arial"/>
          <w:lang w:eastAsia="en-GB"/>
        </w:rPr>
        <w:t>(March 2020 to December 202</w:t>
      </w:r>
      <w:r w:rsidR="0027746B" w:rsidRPr="000F50A5">
        <w:rPr>
          <w:rFonts w:ascii="Arial" w:hAnsi="Arial" w:cs="Arial"/>
          <w:lang w:eastAsia="en-GB"/>
        </w:rPr>
        <w:t>5</w:t>
      </w:r>
      <w:r w:rsidR="00065D0E" w:rsidRPr="000F50A5">
        <w:rPr>
          <w:rFonts w:ascii="Arial" w:hAnsi="Arial" w:cs="Arial"/>
          <w:lang w:eastAsia="en-GB"/>
        </w:rPr>
        <w:t>)</w:t>
      </w:r>
      <w:r w:rsidR="001E4949" w:rsidRPr="000F50A5">
        <w:rPr>
          <w:rFonts w:ascii="Arial" w:hAnsi="Arial" w:cs="Arial"/>
          <w:lang w:eastAsia="en-GB"/>
        </w:rPr>
        <w:t xml:space="preserve"> band 1 applicants </w:t>
      </w:r>
      <w:r w:rsidR="00F956AD" w:rsidRPr="000F50A5">
        <w:rPr>
          <w:rFonts w:ascii="Arial" w:hAnsi="Arial" w:cs="Arial"/>
          <w:lang w:eastAsia="en-GB"/>
        </w:rPr>
        <w:t>(the highest need band)</w:t>
      </w:r>
      <w:r w:rsidR="002B103B" w:rsidRPr="000F50A5">
        <w:rPr>
          <w:rFonts w:ascii="Arial" w:hAnsi="Arial" w:cs="Arial"/>
          <w:lang w:eastAsia="en-GB"/>
        </w:rPr>
        <w:t xml:space="preserve">, </w:t>
      </w:r>
      <w:r w:rsidR="002B103B" w:rsidRPr="000F50A5">
        <w:rPr>
          <w:rFonts w:ascii="Arial" w:hAnsi="Arial" w:cs="Arial"/>
        </w:rPr>
        <w:t>meaning “customers requiring urgent rehousing where the council has a legal duty to consider them for accommodation,</w:t>
      </w:r>
      <w:r w:rsidR="002B103B" w:rsidRPr="000F50A5">
        <w:rPr>
          <w:rFonts w:ascii="Arial" w:hAnsi="Arial" w:cs="Arial"/>
          <w:lang w:eastAsia="en-GB"/>
        </w:rPr>
        <w:t xml:space="preserve"> </w:t>
      </w:r>
      <w:r w:rsidR="001E4949" w:rsidRPr="000F50A5">
        <w:rPr>
          <w:rFonts w:ascii="Arial" w:hAnsi="Arial" w:cs="Arial"/>
          <w:lang w:eastAsia="en-GB"/>
        </w:rPr>
        <w:t>increased</w:t>
      </w:r>
      <w:r w:rsidR="001E4949" w:rsidRPr="00811895">
        <w:rPr>
          <w:rFonts w:ascii="Arial" w:hAnsi="Arial" w:cs="Arial"/>
          <w:lang w:eastAsia="en-GB"/>
        </w:rPr>
        <w:t xml:space="preserve"> </w:t>
      </w:r>
      <w:r w:rsidR="001E4949" w:rsidRPr="0027746B">
        <w:rPr>
          <w:rFonts w:ascii="Arial" w:hAnsi="Arial" w:cs="Arial"/>
          <w:lang w:eastAsia="en-GB"/>
        </w:rPr>
        <w:t xml:space="preserve">from 100 </w:t>
      </w:r>
      <w:r w:rsidR="001E4949" w:rsidRPr="0000116F">
        <w:rPr>
          <w:rFonts w:ascii="Arial" w:hAnsi="Arial" w:cs="Arial"/>
          <w:lang w:eastAsia="en-GB"/>
        </w:rPr>
        <w:t xml:space="preserve">to </w:t>
      </w:r>
      <w:r w:rsidR="0000116F" w:rsidRPr="0000116F">
        <w:rPr>
          <w:rFonts w:ascii="Arial" w:hAnsi="Arial" w:cs="Arial"/>
          <w:lang w:eastAsia="en-GB"/>
        </w:rPr>
        <w:t>267</w:t>
      </w:r>
      <w:r w:rsidR="001E4949" w:rsidRPr="0000116F">
        <w:rPr>
          <w:rFonts w:ascii="Arial" w:hAnsi="Arial" w:cs="Arial"/>
          <w:lang w:eastAsia="en-GB"/>
        </w:rPr>
        <w:t xml:space="preserve"> a rise of </w:t>
      </w:r>
      <w:r w:rsidR="00EC53CE" w:rsidRPr="0000116F">
        <w:rPr>
          <w:rFonts w:ascii="Arial" w:hAnsi="Arial" w:cs="Arial"/>
          <w:lang w:eastAsia="en-GB"/>
        </w:rPr>
        <w:t>167</w:t>
      </w:r>
      <w:r w:rsidR="001E4949" w:rsidRPr="0000116F">
        <w:rPr>
          <w:rFonts w:ascii="Arial" w:hAnsi="Arial" w:cs="Arial"/>
          <w:lang w:eastAsia="en-GB"/>
        </w:rPr>
        <w:t>%.</w:t>
      </w:r>
      <w:r w:rsidR="00783F0F" w:rsidRPr="00811895">
        <w:rPr>
          <w:rFonts w:ascii="Arial" w:hAnsi="Arial" w:cs="Arial"/>
          <w:lang w:eastAsia="en-GB"/>
        </w:rPr>
        <w:t xml:space="preserve">  </w:t>
      </w:r>
    </w:p>
    <w:p w14:paraId="4A710668" w14:textId="77777777" w:rsidR="003B4175" w:rsidRPr="00B91350" w:rsidRDefault="003B4175" w:rsidP="003B4175">
      <w:pPr>
        <w:jc w:val="both"/>
        <w:rPr>
          <w:rFonts w:ascii="Arial" w:hAnsi="Arial" w:cs="Arial"/>
          <w:highlight w:val="yellow"/>
          <w:lang w:eastAsia="en-GB"/>
        </w:rPr>
      </w:pPr>
    </w:p>
    <w:p w14:paraId="635DEA6F" w14:textId="5D6F1FB5" w:rsidR="000B3A95" w:rsidRPr="005347F8" w:rsidRDefault="003B4175" w:rsidP="003B4175">
      <w:pPr>
        <w:jc w:val="both"/>
        <w:rPr>
          <w:rFonts w:ascii="Arial" w:hAnsi="Arial" w:cs="Arial"/>
          <w:lang w:eastAsia="en-GB"/>
        </w:rPr>
      </w:pPr>
      <w:r w:rsidRPr="005347F8">
        <w:rPr>
          <w:rFonts w:ascii="Arial" w:hAnsi="Arial" w:cs="Arial"/>
          <w:lang w:eastAsia="en-GB"/>
        </w:rPr>
        <w:t>Although th</w:t>
      </w:r>
      <w:r w:rsidR="004608B4" w:rsidRPr="005347F8">
        <w:rPr>
          <w:rFonts w:ascii="Arial" w:hAnsi="Arial" w:cs="Arial"/>
          <w:lang w:eastAsia="en-GB"/>
        </w:rPr>
        <w:t>is</w:t>
      </w:r>
      <w:r w:rsidRPr="005347F8">
        <w:rPr>
          <w:rFonts w:ascii="Arial" w:hAnsi="Arial" w:cs="Arial"/>
          <w:lang w:eastAsia="en-GB"/>
        </w:rPr>
        <w:t xml:space="preserve"> demand primarily increase</w:t>
      </w:r>
      <w:r w:rsidR="00C350DF" w:rsidRPr="005347F8">
        <w:rPr>
          <w:rFonts w:ascii="Arial" w:hAnsi="Arial" w:cs="Arial"/>
          <w:lang w:eastAsia="en-GB"/>
        </w:rPr>
        <w:t>s</w:t>
      </w:r>
      <w:r w:rsidRPr="005347F8">
        <w:rPr>
          <w:rFonts w:ascii="Arial" w:hAnsi="Arial" w:cs="Arial"/>
          <w:lang w:eastAsia="en-GB"/>
        </w:rPr>
        <w:t xml:space="preserve"> the pressure on the Housing Investment Programme to deliver and enable new homes, it also places pressure on housing services, housing allocations and the voids services.  It also impacts on the General Fund, </w:t>
      </w:r>
      <w:r w:rsidR="00E27D4D" w:rsidRPr="005347F8">
        <w:rPr>
          <w:rFonts w:ascii="Arial" w:hAnsi="Arial" w:cs="Arial"/>
          <w:lang w:eastAsia="en-GB"/>
        </w:rPr>
        <w:t>increasing</w:t>
      </w:r>
      <w:r w:rsidRPr="005347F8">
        <w:rPr>
          <w:rFonts w:ascii="Arial" w:hAnsi="Arial" w:cs="Arial"/>
          <w:lang w:eastAsia="en-GB"/>
        </w:rPr>
        <w:t xml:space="preserve"> demand for temporary accommodation when the HRA is unable to provide suitable accommodation from within its own stock.</w:t>
      </w:r>
    </w:p>
    <w:p w14:paraId="08063B82" w14:textId="77777777" w:rsidR="00F9697B" w:rsidRPr="00B91350" w:rsidRDefault="00F9697B" w:rsidP="003B4175">
      <w:pPr>
        <w:jc w:val="both"/>
        <w:rPr>
          <w:rFonts w:ascii="Arial" w:hAnsi="Arial" w:cs="Arial"/>
          <w:highlight w:val="yellow"/>
          <w:lang w:eastAsia="en-GB"/>
        </w:rPr>
      </w:pPr>
    </w:p>
    <w:p w14:paraId="25EC6D6A" w14:textId="690407B1" w:rsidR="00F9697B" w:rsidRPr="00D17BBB" w:rsidRDefault="00F9697B" w:rsidP="003B4175">
      <w:pPr>
        <w:jc w:val="both"/>
        <w:rPr>
          <w:rFonts w:ascii="Arial" w:hAnsi="Arial" w:cs="Arial"/>
          <w:lang w:eastAsia="en-GB"/>
        </w:rPr>
      </w:pPr>
      <w:r w:rsidRPr="00D17BBB">
        <w:rPr>
          <w:rFonts w:ascii="Arial" w:hAnsi="Arial" w:cs="Arial"/>
          <w:lang w:eastAsia="en-GB"/>
        </w:rPr>
        <w:t xml:space="preserve">As set out in </w:t>
      </w:r>
      <w:r w:rsidR="003C067F" w:rsidRPr="00D17BBB">
        <w:rPr>
          <w:rFonts w:ascii="Arial" w:hAnsi="Arial" w:cs="Arial"/>
          <w:lang w:eastAsia="en-GB"/>
        </w:rPr>
        <w:t>S</w:t>
      </w:r>
      <w:r w:rsidRPr="00D17BBB">
        <w:rPr>
          <w:rFonts w:ascii="Arial" w:hAnsi="Arial" w:cs="Arial"/>
          <w:lang w:eastAsia="en-GB"/>
        </w:rPr>
        <w:t xml:space="preserve">ection </w:t>
      </w:r>
      <w:r w:rsidR="003C067F" w:rsidRPr="00D17BBB">
        <w:rPr>
          <w:rFonts w:ascii="Arial" w:hAnsi="Arial" w:cs="Arial"/>
          <w:lang w:eastAsia="en-GB"/>
        </w:rPr>
        <w:t xml:space="preserve">2 </w:t>
      </w:r>
      <w:r w:rsidRPr="00D17BBB">
        <w:rPr>
          <w:rFonts w:ascii="Arial" w:hAnsi="Arial" w:cs="Arial"/>
          <w:lang w:eastAsia="en-GB"/>
        </w:rPr>
        <w:t xml:space="preserve">above, the </w:t>
      </w:r>
      <w:r w:rsidR="009864F0" w:rsidRPr="00D17BBB">
        <w:rPr>
          <w:rFonts w:ascii="Arial" w:hAnsi="Arial" w:cs="Arial"/>
          <w:lang w:eastAsia="en-GB"/>
        </w:rPr>
        <w:t xml:space="preserve">Government’s </w:t>
      </w:r>
      <w:r w:rsidR="00C83088" w:rsidRPr="00D17BBB">
        <w:rPr>
          <w:rFonts w:ascii="Arial" w:hAnsi="Arial" w:cs="Arial"/>
          <w:lang w:eastAsia="en-GB"/>
        </w:rPr>
        <w:t>NPPF</w:t>
      </w:r>
      <w:r w:rsidR="00A608D8" w:rsidRPr="00D17BBB">
        <w:rPr>
          <w:rFonts w:ascii="Arial" w:hAnsi="Arial" w:cs="Arial"/>
          <w:lang w:eastAsia="en-GB"/>
        </w:rPr>
        <w:t xml:space="preserve"> include</w:t>
      </w:r>
      <w:r w:rsidR="009864F0" w:rsidRPr="00D17BBB">
        <w:rPr>
          <w:rFonts w:ascii="Arial" w:hAnsi="Arial" w:cs="Arial"/>
          <w:lang w:eastAsia="en-GB"/>
        </w:rPr>
        <w:t>s</w:t>
      </w:r>
      <w:r w:rsidR="00A608D8" w:rsidRPr="00D17BBB">
        <w:rPr>
          <w:rFonts w:ascii="Arial" w:hAnsi="Arial" w:cs="Arial"/>
          <w:lang w:eastAsia="en-GB"/>
        </w:rPr>
        <w:t xml:space="preserve"> mandatory targets </w:t>
      </w:r>
      <w:r w:rsidR="006E1FA7" w:rsidRPr="00D17BBB">
        <w:rPr>
          <w:rFonts w:ascii="Arial" w:hAnsi="Arial" w:cs="Arial"/>
          <w:lang w:eastAsia="en-GB"/>
        </w:rPr>
        <w:t>for</w:t>
      </w:r>
      <w:r w:rsidR="00E95BED" w:rsidRPr="00D17BBB">
        <w:rPr>
          <w:rFonts w:ascii="Arial" w:hAnsi="Arial" w:cs="Arial"/>
          <w:lang w:eastAsia="en-GB"/>
        </w:rPr>
        <w:t xml:space="preserve"> each Council for</w:t>
      </w:r>
      <w:r w:rsidR="006E1FA7" w:rsidRPr="00D17BBB">
        <w:rPr>
          <w:rFonts w:ascii="Arial" w:hAnsi="Arial" w:cs="Arial"/>
          <w:lang w:eastAsia="en-GB"/>
        </w:rPr>
        <w:t xml:space="preserve"> the delivery of new homes.  While these won’t all be required to be affordable homes and the Council will not be required to directly deliver the target, there will be an expectation that the HRA will </w:t>
      </w:r>
      <w:r w:rsidR="00735E33" w:rsidRPr="00D17BBB">
        <w:rPr>
          <w:rFonts w:ascii="Arial" w:hAnsi="Arial" w:cs="Arial"/>
          <w:lang w:eastAsia="en-GB"/>
        </w:rPr>
        <w:t>contribute towards the targets.</w:t>
      </w:r>
      <w:r w:rsidR="006E0E20" w:rsidRPr="00D17BBB">
        <w:rPr>
          <w:rFonts w:ascii="Arial" w:hAnsi="Arial" w:cs="Arial"/>
          <w:lang w:eastAsia="en-GB"/>
        </w:rPr>
        <w:t xml:space="preserve"> </w:t>
      </w:r>
      <w:r w:rsidR="00724109" w:rsidRPr="00D17BBB">
        <w:rPr>
          <w:rFonts w:ascii="Arial" w:hAnsi="Arial" w:cs="Arial"/>
          <w:lang w:eastAsia="en-GB"/>
        </w:rPr>
        <w:t xml:space="preserve">In </w:t>
      </w:r>
      <w:r w:rsidR="00D17BBB" w:rsidRPr="00D17BBB">
        <w:rPr>
          <w:rFonts w:ascii="Arial" w:hAnsi="Arial" w:cs="Arial"/>
          <w:lang w:eastAsia="en-GB"/>
        </w:rPr>
        <w:t xml:space="preserve">addition, </w:t>
      </w:r>
      <w:r w:rsidR="004F732A" w:rsidRPr="00D17BBB">
        <w:rPr>
          <w:rFonts w:ascii="Arial" w:hAnsi="Arial" w:cs="Arial"/>
          <w:lang w:eastAsia="en-GB"/>
        </w:rPr>
        <w:t>Councils will also need to give greater consideration to social rent when building new homes.</w:t>
      </w:r>
    </w:p>
    <w:p w14:paraId="4EDA11DB" w14:textId="77777777" w:rsidR="005F3405" w:rsidRPr="00B91350" w:rsidRDefault="005F3405" w:rsidP="003B4175">
      <w:pPr>
        <w:jc w:val="both"/>
        <w:rPr>
          <w:rFonts w:ascii="Arial" w:hAnsi="Arial" w:cs="Arial"/>
          <w:highlight w:val="yellow"/>
          <w:lang w:eastAsia="en-GB"/>
        </w:rPr>
      </w:pPr>
    </w:p>
    <w:p w14:paraId="0C98CFB3" w14:textId="1E681BB7" w:rsidR="00F02A69" w:rsidRDefault="00D4606A" w:rsidP="007F43DF">
      <w:pPr>
        <w:jc w:val="both"/>
        <w:rPr>
          <w:rFonts w:ascii="Arial" w:hAnsi="Arial" w:cs="Arial"/>
        </w:rPr>
      </w:pPr>
      <w:r w:rsidRPr="00A42348">
        <w:rPr>
          <w:rFonts w:ascii="Arial" w:hAnsi="Arial" w:cs="Arial"/>
        </w:rPr>
        <w:t>While assumptions were made in</w:t>
      </w:r>
      <w:r w:rsidR="00DA78FD" w:rsidRPr="00A42348">
        <w:rPr>
          <w:rFonts w:ascii="Arial" w:hAnsi="Arial" w:cs="Arial"/>
        </w:rPr>
        <w:t xml:space="preserve"> the </w:t>
      </w:r>
      <w:r w:rsidR="00EA4B04">
        <w:rPr>
          <w:rFonts w:ascii="Arial" w:hAnsi="Arial" w:cs="Arial"/>
        </w:rPr>
        <w:t>existing</w:t>
      </w:r>
      <w:r w:rsidR="00DA78FD" w:rsidRPr="00A42348">
        <w:rPr>
          <w:rFonts w:ascii="Arial" w:hAnsi="Arial" w:cs="Arial"/>
        </w:rPr>
        <w:t xml:space="preserve"> MTFS</w:t>
      </w:r>
      <w:r w:rsidRPr="00A42348">
        <w:rPr>
          <w:rFonts w:ascii="Arial" w:hAnsi="Arial" w:cs="Arial"/>
        </w:rPr>
        <w:t xml:space="preserve">, as a result of further developments over the last 12 months and to address the impact of new and emerging challenges, further, permanent, increases in the </w:t>
      </w:r>
      <w:r w:rsidR="007F43DF" w:rsidRPr="00A42348">
        <w:rPr>
          <w:rFonts w:ascii="Arial" w:hAnsi="Arial" w:cs="Arial"/>
        </w:rPr>
        <w:t>HRA’s</w:t>
      </w:r>
      <w:r w:rsidRPr="00A42348">
        <w:rPr>
          <w:rFonts w:ascii="Arial" w:hAnsi="Arial" w:cs="Arial"/>
        </w:rPr>
        <w:t xml:space="preserve"> net cost base have been required in this MTFS</w:t>
      </w:r>
      <w:r w:rsidR="007F43DF" w:rsidRPr="00A42348">
        <w:rPr>
          <w:rFonts w:ascii="Arial" w:hAnsi="Arial" w:cs="Arial"/>
        </w:rPr>
        <w:t xml:space="preserve">.  </w:t>
      </w:r>
    </w:p>
    <w:p w14:paraId="2A18239A" w14:textId="77777777" w:rsidR="00074132" w:rsidRDefault="00074132" w:rsidP="007F43DF">
      <w:pPr>
        <w:jc w:val="both"/>
        <w:rPr>
          <w:rFonts w:ascii="Arial" w:hAnsi="Arial" w:cs="Arial"/>
        </w:rPr>
      </w:pPr>
    </w:p>
    <w:p w14:paraId="480286C3" w14:textId="47E43F5E" w:rsidR="00074132" w:rsidRDefault="00074132" w:rsidP="007F43DF">
      <w:pPr>
        <w:jc w:val="both"/>
        <w:rPr>
          <w:rFonts w:ascii="Arial" w:hAnsi="Arial" w:cs="Arial"/>
        </w:rPr>
      </w:pPr>
      <w:r>
        <w:rPr>
          <w:rFonts w:ascii="Arial" w:hAnsi="Arial" w:cs="Arial"/>
        </w:rPr>
        <w:t>Similar to the General Fund, these emerging cost pressures in the HRA have been mitigating over the period of the MTFS as a result of the significant reduction in the annual level of employers pension contributions, following the latest triennial review of the Council’s Pension Fund. This has limited the increase in the HRA’s net cost base</w:t>
      </w:r>
      <w:r w:rsidR="001865EF">
        <w:rPr>
          <w:rFonts w:ascii="Arial" w:hAnsi="Arial" w:cs="Arial"/>
        </w:rPr>
        <w:t>.</w:t>
      </w:r>
    </w:p>
    <w:p w14:paraId="5D64CCC2" w14:textId="77777777" w:rsidR="00F02A69" w:rsidRDefault="00F02A69" w:rsidP="0030464F">
      <w:pPr>
        <w:jc w:val="both"/>
        <w:rPr>
          <w:rFonts w:ascii="Arial" w:hAnsi="Arial" w:cs="Arial"/>
          <w:b/>
          <w:bCs/>
          <w:color w:val="C45911"/>
          <w:sz w:val="28"/>
          <w:szCs w:val="28"/>
        </w:rPr>
      </w:pPr>
    </w:p>
    <w:p w14:paraId="7F101A4B" w14:textId="452623D4" w:rsidR="0030464F" w:rsidRPr="005C6861" w:rsidRDefault="0030464F" w:rsidP="0030464F">
      <w:pPr>
        <w:jc w:val="both"/>
        <w:rPr>
          <w:rFonts w:ascii="Arial" w:hAnsi="Arial" w:cs="Arial"/>
          <w:b/>
          <w:bCs/>
          <w:color w:val="C45911"/>
          <w:sz w:val="28"/>
          <w:szCs w:val="28"/>
        </w:rPr>
      </w:pPr>
      <w:r w:rsidRPr="005C6861">
        <w:rPr>
          <w:rFonts w:ascii="Arial" w:hAnsi="Arial" w:cs="Arial"/>
          <w:b/>
          <w:bCs/>
          <w:color w:val="C45911"/>
          <w:sz w:val="28"/>
          <w:szCs w:val="28"/>
        </w:rPr>
        <w:t>Spending Plans</w:t>
      </w:r>
    </w:p>
    <w:p w14:paraId="27CDBE10" w14:textId="77777777" w:rsidR="0030464F" w:rsidRPr="005C6861" w:rsidRDefault="0030464F" w:rsidP="0030464F">
      <w:pPr>
        <w:jc w:val="both"/>
        <w:rPr>
          <w:rFonts w:ascii="Arial" w:hAnsi="Arial" w:cs="Arial"/>
          <w:b/>
          <w:bCs/>
          <w:color w:val="C45911"/>
          <w:sz w:val="28"/>
          <w:szCs w:val="28"/>
        </w:rPr>
      </w:pPr>
    </w:p>
    <w:p w14:paraId="1B012762" w14:textId="77777777" w:rsidR="004F742F" w:rsidRPr="005A2598" w:rsidRDefault="004F742F" w:rsidP="004F742F">
      <w:pPr>
        <w:autoSpaceDE w:val="0"/>
        <w:autoSpaceDN w:val="0"/>
        <w:adjustRightInd w:val="0"/>
        <w:jc w:val="both"/>
        <w:rPr>
          <w:rFonts w:ascii="Arial" w:hAnsi="Arial" w:cs="Arial"/>
          <w:b/>
          <w:lang w:eastAsia="en-GB"/>
        </w:rPr>
      </w:pPr>
      <w:r w:rsidRPr="005A2598">
        <w:rPr>
          <w:rFonts w:ascii="Arial" w:hAnsi="Arial" w:cs="Arial"/>
          <w:b/>
          <w:lang w:eastAsia="en-GB"/>
        </w:rPr>
        <w:t>The HRA Business Plan</w:t>
      </w:r>
    </w:p>
    <w:p w14:paraId="16509D97" w14:textId="77777777" w:rsidR="004F742F" w:rsidRPr="005A2598" w:rsidRDefault="004F742F" w:rsidP="00734596">
      <w:pPr>
        <w:autoSpaceDE w:val="0"/>
        <w:autoSpaceDN w:val="0"/>
        <w:adjustRightInd w:val="0"/>
        <w:jc w:val="both"/>
        <w:rPr>
          <w:rFonts w:ascii="Arial" w:hAnsi="Arial" w:cs="Arial"/>
          <w:lang w:eastAsia="en-GB"/>
        </w:rPr>
      </w:pPr>
    </w:p>
    <w:p w14:paraId="1D129750" w14:textId="77777777" w:rsidR="002E786B" w:rsidRPr="001765CE" w:rsidRDefault="004F742F" w:rsidP="002E786B">
      <w:pPr>
        <w:jc w:val="both"/>
        <w:rPr>
          <w:rFonts w:ascii="Arial" w:hAnsi="Arial" w:cs="Arial"/>
        </w:rPr>
      </w:pPr>
      <w:r w:rsidRPr="005A2598">
        <w:rPr>
          <w:rFonts w:ascii="Arial" w:hAnsi="Arial" w:cs="Arial"/>
          <w:lang w:eastAsia="en-GB"/>
        </w:rPr>
        <w:t xml:space="preserve">A key element of </w:t>
      </w:r>
      <w:r w:rsidR="00171C2A" w:rsidRPr="005A2598">
        <w:rPr>
          <w:rFonts w:ascii="Arial" w:hAnsi="Arial" w:cs="Arial"/>
          <w:lang w:eastAsia="en-GB"/>
        </w:rPr>
        <w:t>t</w:t>
      </w:r>
      <w:r w:rsidRPr="005A2598">
        <w:rPr>
          <w:rFonts w:ascii="Arial" w:hAnsi="Arial" w:cs="Arial"/>
          <w:lang w:eastAsia="en-GB"/>
        </w:rPr>
        <w:t>he self</w:t>
      </w:r>
      <w:r w:rsidR="000C569D" w:rsidRPr="005A2598">
        <w:rPr>
          <w:rFonts w:ascii="Arial" w:hAnsi="Arial" w:cs="Arial"/>
          <w:lang w:eastAsia="en-GB"/>
        </w:rPr>
        <w:t>-</w:t>
      </w:r>
      <w:r w:rsidR="00171C2A" w:rsidRPr="005A2598">
        <w:rPr>
          <w:rFonts w:ascii="Arial" w:hAnsi="Arial" w:cs="Arial"/>
          <w:lang w:eastAsia="en-GB"/>
        </w:rPr>
        <w:t xml:space="preserve">financing regime is </w:t>
      </w:r>
      <w:r w:rsidR="00AF15ED" w:rsidRPr="005A2598">
        <w:rPr>
          <w:rFonts w:ascii="Arial" w:hAnsi="Arial" w:cs="Arial"/>
          <w:lang w:eastAsia="en-GB"/>
        </w:rPr>
        <w:t>t</w:t>
      </w:r>
      <w:r w:rsidRPr="005A2598">
        <w:rPr>
          <w:rFonts w:ascii="Arial" w:hAnsi="Arial" w:cs="Arial"/>
          <w:lang w:eastAsia="en-GB"/>
        </w:rPr>
        <w:t>he Council</w:t>
      </w:r>
      <w:r w:rsidR="00AF15ED" w:rsidRPr="005A2598">
        <w:rPr>
          <w:rFonts w:ascii="Arial" w:hAnsi="Arial" w:cs="Arial"/>
          <w:lang w:eastAsia="en-GB"/>
        </w:rPr>
        <w:t>’s</w:t>
      </w:r>
      <w:r w:rsidR="009F7B50" w:rsidRPr="005A2598">
        <w:rPr>
          <w:rFonts w:ascii="Arial" w:hAnsi="Arial" w:cs="Arial"/>
          <w:lang w:eastAsia="en-GB"/>
        </w:rPr>
        <w:t xml:space="preserve"> </w:t>
      </w:r>
      <w:r w:rsidR="00327C89" w:rsidRPr="005A2598">
        <w:rPr>
          <w:rFonts w:ascii="Arial" w:hAnsi="Arial" w:cs="Arial"/>
          <w:lang w:eastAsia="en-GB"/>
        </w:rPr>
        <w:t>30-year</w:t>
      </w:r>
      <w:r w:rsidR="001E3378" w:rsidRPr="005A2598">
        <w:rPr>
          <w:rFonts w:ascii="Arial" w:hAnsi="Arial" w:cs="Arial"/>
          <w:lang w:eastAsia="en-GB"/>
        </w:rPr>
        <w:t xml:space="preserve"> Business Plan</w:t>
      </w:r>
      <w:r w:rsidR="00B02780" w:rsidRPr="005A2598">
        <w:rPr>
          <w:rFonts w:ascii="Arial" w:hAnsi="Arial" w:cs="Arial"/>
          <w:lang w:eastAsia="en-GB"/>
        </w:rPr>
        <w:t>, which sets out the Council’s ambitions for its housing stock for the next 30 years</w:t>
      </w:r>
      <w:r w:rsidR="001E3378" w:rsidRPr="005A2598">
        <w:rPr>
          <w:rFonts w:ascii="Arial" w:hAnsi="Arial" w:cs="Arial"/>
          <w:lang w:eastAsia="en-GB"/>
        </w:rPr>
        <w:t xml:space="preserve">. </w:t>
      </w:r>
      <w:r w:rsidR="002E786B" w:rsidRPr="001765CE">
        <w:rPr>
          <w:rFonts w:ascii="Arial" w:hAnsi="Arial" w:cs="Arial"/>
        </w:rPr>
        <w:t xml:space="preserve">The Business Plan is the Council’s strategic plan for managing and maintaining Lincoln’s council housing properties and estates. It also sets out how the Council will provide housing services to support it’s tenants, and their families, to live in well maintained and sustainable homes, which will be safe, secure, and of a high quality. It sets out short to medium term plans and priorities for the housing service.   The strategic objectives set out within the plan, will influence the longer-term (30 year) plans for financial planning and investment into existing council housing and for the provision of new homes. </w:t>
      </w:r>
    </w:p>
    <w:p w14:paraId="57A6377F" w14:textId="6D4396C6" w:rsidR="002E786B" w:rsidRDefault="002E786B" w:rsidP="00734596">
      <w:pPr>
        <w:autoSpaceDE w:val="0"/>
        <w:autoSpaceDN w:val="0"/>
        <w:adjustRightInd w:val="0"/>
        <w:jc w:val="both"/>
        <w:rPr>
          <w:rFonts w:ascii="Arial" w:hAnsi="Arial" w:cs="Arial"/>
          <w:lang w:eastAsia="en-GB"/>
        </w:rPr>
      </w:pPr>
    </w:p>
    <w:p w14:paraId="38ED6F2B" w14:textId="341501FA" w:rsidR="00A40461" w:rsidRPr="005A2598" w:rsidRDefault="00327C89" w:rsidP="00734596">
      <w:pPr>
        <w:autoSpaceDE w:val="0"/>
        <w:autoSpaceDN w:val="0"/>
        <w:adjustRightInd w:val="0"/>
        <w:jc w:val="both"/>
        <w:rPr>
          <w:rFonts w:ascii="Arial" w:hAnsi="Arial" w:cs="Arial"/>
          <w:lang w:eastAsia="en-GB"/>
        </w:rPr>
      </w:pPr>
      <w:r w:rsidRPr="005A2598">
        <w:rPr>
          <w:rFonts w:ascii="Arial" w:hAnsi="Arial" w:cs="Arial"/>
          <w:lang w:eastAsia="en-GB"/>
        </w:rPr>
        <w:t>The Council’s latest Housing Revenue Account Business Plan 20</w:t>
      </w:r>
      <w:r w:rsidR="00A21C3C" w:rsidRPr="005A2598">
        <w:rPr>
          <w:rFonts w:ascii="Arial" w:hAnsi="Arial" w:cs="Arial"/>
          <w:lang w:eastAsia="en-GB"/>
        </w:rPr>
        <w:t>24</w:t>
      </w:r>
      <w:r w:rsidRPr="005A2598">
        <w:rPr>
          <w:rFonts w:ascii="Arial" w:hAnsi="Arial" w:cs="Arial"/>
          <w:lang w:eastAsia="en-GB"/>
        </w:rPr>
        <w:t>-20</w:t>
      </w:r>
      <w:r w:rsidR="00A21C3C" w:rsidRPr="005A2598">
        <w:rPr>
          <w:rFonts w:ascii="Arial" w:hAnsi="Arial" w:cs="Arial"/>
          <w:lang w:eastAsia="en-GB"/>
        </w:rPr>
        <w:t>54</w:t>
      </w:r>
      <w:r w:rsidR="00394916" w:rsidRPr="005A2598">
        <w:rPr>
          <w:rFonts w:ascii="Arial" w:hAnsi="Arial" w:cs="Arial"/>
          <w:lang w:eastAsia="en-GB"/>
        </w:rPr>
        <w:t xml:space="preserve"> </w:t>
      </w:r>
      <w:r w:rsidR="009D135B" w:rsidRPr="005A2598">
        <w:rPr>
          <w:rFonts w:ascii="Arial" w:hAnsi="Arial" w:cs="Arial"/>
          <w:lang w:eastAsia="en-GB"/>
        </w:rPr>
        <w:t xml:space="preserve">was </w:t>
      </w:r>
      <w:r w:rsidR="00394916" w:rsidRPr="005A2598">
        <w:rPr>
          <w:rFonts w:ascii="Arial" w:hAnsi="Arial" w:cs="Arial"/>
          <w:lang w:eastAsia="en-GB"/>
        </w:rPr>
        <w:t xml:space="preserve">approved in </w:t>
      </w:r>
      <w:r w:rsidR="00A21C3C" w:rsidRPr="005A2598">
        <w:rPr>
          <w:rFonts w:ascii="Arial" w:hAnsi="Arial" w:cs="Arial"/>
          <w:lang w:eastAsia="en-GB"/>
        </w:rPr>
        <w:t>November 2023,</w:t>
      </w:r>
      <w:r w:rsidR="00171C2A" w:rsidRPr="005A2598">
        <w:rPr>
          <w:rFonts w:ascii="Arial" w:hAnsi="Arial" w:cs="Arial"/>
          <w:lang w:eastAsia="en-GB"/>
        </w:rPr>
        <w:t xml:space="preserve"> following a fundamental review of resources, investment requirements and priorities. </w:t>
      </w:r>
      <w:r w:rsidR="00AA2B09" w:rsidRPr="005A2598">
        <w:rPr>
          <w:rFonts w:ascii="Arial" w:hAnsi="Arial" w:cs="Arial"/>
          <w:lang w:eastAsia="en-GB"/>
        </w:rPr>
        <w:t xml:space="preserve"> The Business Plan reflect</w:t>
      </w:r>
      <w:r w:rsidR="00AF15ED" w:rsidRPr="005A2598">
        <w:rPr>
          <w:rFonts w:ascii="Arial" w:hAnsi="Arial" w:cs="Arial"/>
          <w:lang w:eastAsia="en-GB"/>
        </w:rPr>
        <w:t>ed</w:t>
      </w:r>
      <w:r w:rsidR="00AA2B09" w:rsidRPr="005A2598">
        <w:rPr>
          <w:rFonts w:ascii="Arial" w:hAnsi="Arial" w:cs="Arial"/>
          <w:lang w:eastAsia="en-GB"/>
        </w:rPr>
        <w:t xml:space="preserve"> the impact of government policy changes</w:t>
      </w:r>
      <w:r w:rsidR="004A5CD7" w:rsidRPr="005A2598">
        <w:rPr>
          <w:rFonts w:ascii="Arial" w:hAnsi="Arial" w:cs="Arial"/>
          <w:lang w:eastAsia="en-GB"/>
        </w:rPr>
        <w:t xml:space="preserve"> e.g.</w:t>
      </w:r>
      <w:r w:rsidR="008817C1" w:rsidRPr="005A2598">
        <w:rPr>
          <w:rFonts w:ascii="Arial" w:hAnsi="Arial" w:cs="Arial"/>
          <w:lang w:eastAsia="en-GB"/>
        </w:rPr>
        <w:t xml:space="preserve"> Social Housing Act 2023</w:t>
      </w:r>
      <w:r w:rsidR="00AA2B09" w:rsidRPr="005A2598">
        <w:rPr>
          <w:rFonts w:ascii="Arial" w:hAnsi="Arial" w:cs="Arial"/>
          <w:lang w:eastAsia="en-GB"/>
        </w:rPr>
        <w:t xml:space="preserve">, </w:t>
      </w:r>
      <w:r w:rsidR="00A57370" w:rsidRPr="005A2598">
        <w:rPr>
          <w:rFonts w:ascii="Arial" w:hAnsi="Arial" w:cs="Arial"/>
          <w:lang w:eastAsia="en-GB"/>
        </w:rPr>
        <w:t>the Building Safety Act</w:t>
      </w:r>
      <w:r w:rsidR="002D6388" w:rsidRPr="005A2598">
        <w:rPr>
          <w:rFonts w:ascii="Arial" w:hAnsi="Arial" w:cs="Arial"/>
          <w:lang w:eastAsia="en-GB"/>
        </w:rPr>
        <w:t>, Fire Safety Act etc,</w:t>
      </w:r>
      <w:r w:rsidR="001D0390">
        <w:rPr>
          <w:rFonts w:ascii="Arial" w:hAnsi="Arial" w:cs="Arial"/>
          <w:lang w:eastAsia="en-GB"/>
        </w:rPr>
        <w:t xml:space="preserve"> and</w:t>
      </w:r>
      <w:r w:rsidR="002D6388" w:rsidRPr="005A2598">
        <w:rPr>
          <w:rFonts w:ascii="Arial" w:hAnsi="Arial" w:cs="Arial"/>
          <w:lang w:eastAsia="en-GB"/>
        </w:rPr>
        <w:t xml:space="preserve"> </w:t>
      </w:r>
      <w:r w:rsidR="00AA2B09" w:rsidRPr="005A2598">
        <w:rPr>
          <w:rFonts w:ascii="Arial" w:hAnsi="Arial" w:cs="Arial"/>
          <w:lang w:eastAsia="en-GB"/>
        </w:rPr>
        <w:t xml:space="preserve">the results of stock condition surveys and financial assumptions at the time.  </w:t>
      </w:r>
    </w:p>
    <w:p w14:paraId="666D2696" w14:textId="77777777" w:rsidR="00433E40" w:rsidRPr="005A2598" w:rsidRDefault="00433E40" w:rsidP="00734596">
      <w:pPr>
        <w:autoSpaceDE w:val="0"/>
        <w:autoSpaceDN w:val="0"/>
        <w:adjustRightInd w:val="0"/>
        <w:jc w:val="both"/>
        <w:rPr>
          <w:rFonts w:ascii="Arial" w:hAnsi="Arial" w:cs="Arial"/>
          <w:lang w:eastAsia="en-GB"/>
        </w:rPr>
      </w:pPr>
    </w:p>
    <w:p w14:paraId="485BC726" w14:textId="77777777" w:rsidR="00433E40" w:rsidRPr="001765CE" w:rsidRDefault="00433E40" w:rsidP="00734596">
      <w:pPr>
        <w:autoSpaceDE w:val="0"/>
        <w:autoSpaceDN w:val="0"/>
        <w:adjustRightInd w:val="0"/>
        <w:jc w:val="both"/>
        <w:rPr>
          <w:rFonts w:ascii="Arial" w:hAnsi="Arial" w:cs="Arial"/>
          <w:lang w:eastAsia="en-GB"/>
        </w:rPr>
      </w:pPr>
    </w:p>
    <w:p w14:paraId="40FBB17B" w14:textId="0B2048CF" w:rsidR="007931E3" w:rsidRPr="001765CE" w:rsidRDefault="00AA2B09" w:rsidP="00734596">
      <w:pPr>
        <w:autoSpaceDE w:val="0"/>
        <w:autoSpaceDN w:val="0"/>
        <w:adjustRightInd w:val="0"/>
        <w:jc w:val="both"/>
        <w:rPr>
          <w:rFonts w:ascii="Arial" w:hAnsi="Arial" w:cs="Arial"/>
          <w:lang w:eastAsia="en-GB"/>
        </w:rPr>
      </w:pPr>
      <w:r w:rsidRPr="001765CE">
        <w:rPr>
          <w:rFonts w:ascii="Arial" w:hAnsi="Arial" w:cs="Arial"/>
          <w:lang w:eastAsia="en-GB"/>
        </w:rPr>
        <w:t>The Business plan</w:t>
      </w:r>
      <w:r w:rsidR="007931E3" w:rsidRPr="001765CE">
        <w:rPr>
          <w:rFonts w:ascii="Arial" w:hAnsi="Arial" w:cs="Arial"/>
          <w:lang w:eastAsia="en-GB"/>
        </w:rPr>
        <w:t xml:space="preserve"> describes the Council’s long-term commitment to deliver real improvements in its housing stock and surrounding neighbourhoods, based on four main objectives:</w:t>
      </w:r>
    </w:p>
    <w:p w14:paraId="7E14C2E5" w14:textId="77777777" w:rsidR="007931E3" w:rsidRPr="00947F6D" w:rsidRDefault="007931E3" w:rsidP="00734596">
      <w:pPr>
        <w:autoSpaceDE w:val="0"/>
        <w:autoSpaceDN w:val="0"/>
        <w:adjustRightInd w:val="0"/>
        <w:jc w:val="both"/>
        <w:rPr>
          <w:rFonts w:ascii="Arial" w:hAnsi="Arial" w:cs="Arial"/>
          <w:lang w:eastAsia="en-GB"/>
        </w:rPr>
      </w:pPr>
    </w:p>
    <w:p w14:paraId="12870C99" w14:textId="41115A6C" w:rsidR="007931E3" w:rsidRPr="00947F6D" w:rsidRDefault="007931E3" w:rsidP="00CF25BB">
      <w:pPr>
        <w:pStyle w:val="ListParagraph"/>
        <w:numPr>
          <w:ilvl w:val="0"/>
          <w:numId w:val="34"/>
        </w:numPr>
        <w:autoSpaceDE w:val="0"/>
        <w:autoSpaceDN w:val="0"/>
        <w:adjustRightInd w:val="0"/>
        <w:spacing w:after="0" w:line="240" w:lineRule="auto"/>
        <w:jc w:val="both"/>
        <w:rPr>
          <w:rFonts w:ascii="Arial" w:hAnsi="Arial" w:cs="Arial"/>
          <w:sz w:val="24"/>
          <w:szCs w:val="24"/>
          <w:lang w:eastAsia="en-GB"/>
        </w:rPr>
      </w:pPr>
      <w:r w:rsidRPr="00947F6D">
        <w:rPr>
          <w:rFonts w:ascii="Arial" w:hAnsi="Arial" w:cs="Arial"/>
          <w:sz w:val="24"/>
          <w:szCs w:val="24"/>
          <w:lang w:eastAsia="en-GB"/>
        </w:rPr>
        <w:t>Core Housing Services – Tenants consistently place core housing services such as repairs, caretaking and landscaping as their number one priority and the Council will work to ensure that Lincoln is ran</w:t>
      </w:r>
      <w:r w:rsidR="00734596" w:rsidRPr="00947F6D">
        <w:rPr>
          <w:rFonts w:ascii="Arial" w:hAnsi="Arial" w:cs="Arial"/>
          <w:sz w:val="24"/>
          <w:szCs w:val="24"/>
          <w:lang w:eastAsia="en-GB"/>
        </w:rPr>
        <w:t>k</w:t>
      </w:r>
      <w:r w:rsidRPr="00947F6D">
        <w:rPr>
          <w:rFonts w:ascii="Arial" w:hAnsi="Arial" w:cs="Arial"/>
          <w:sz w:val="24"/>
          <w:szCs w:val="24"/>
          <w:lang w:eastAsia="en-GB"/>
        </w:rPr>
        <w:t>ed amongst the top performing social landlords.</w:t>
      </w:r>
    </w:p>
    <w:p w14:paraId="77CD5775" w14:textId="77777777" w:rsidR="007931E3" w:rsidRPr="00947F6D" w:rsidRDefault="007931E3" w:rsidP="00734596">
      <w:pPr>
        <w:autoSpaceDE w:val="0"/>
        <w:autoSpaceDN w:val="0"/>
        <w:adjustRightInd w:val="0"/>
        <w:jc w:val="both"/>
        <w:rPr>
          <w:rFonts w:ascii="Arial" w:hAnsi="Arial" w:cs="Arial"/>
          <w:lang w:eastAsia="en-GB"/>
        </w:rPr>
      </w:pPr>
    </w:p>
    <w:p w14:paraId="17F1E5E6" w14:textId="77777777" w:rsidR="00A715B7" w:rsidRPr="00947F6D" w:rsidRDefault="007931E3" w:rsidP="00CF25BB">
      <w:pPr>
        <w:pStyle w:val="ListParagraph"/>
        <w:numPr>
          <w:ilvl w:val="0"/>
          <w:numId w:val="34"/>
        </w:numPr>
        <w:autoSpaceDE w:val="0"/>
        <w:autoSpaceDN w:val="0"/>
        <w:adjustRightInd w:val="0"/>
        <w:spacing w:after="0" w:line="240" w:lineRule="auto"/>
        <w:jc w:val="both"/>
        <w:rPr>
          <w:rFonts w:ascii="Arial" w:hAnsi="Arial" w:cs="Arial"/>
          <w:sz w:val="24"/>
          <w:szCs w:val="24"/>
          <w:lang w:eastAsia="en-GB"/>
        </w:rPr>
      </w:pPr>
      <w:r w:rsidRPr="00947F6D">
        <w:rPr>
          <w:rFonts w:ascii="Arial" w:hAnsi="Arial" w:cs="Arial"/>
          <w:sz w:val="24"/>
          <w:szCs w:val="24"/>
          <w:lang w:eastAsia="en-GB"/>
        </w:rPr>
        <w:t xml:space="preserve">New Homes – The Council plans to build, acquire and enable the development of 1,700 additional homes over 30 </w:t>
      </w:r>
      <w:r w:rsidR="00A715B7" w:rsidRPr="00947F6D">
        <w:rPr>
          <w:rFonts w:ascii="Arial" w:hAnsi="Arial" w:cs="Arial"/>
          <w:sz w:val="24"/>
          <w:szCs w:val="24"/>
          <w:lang w:eastAsia="en-GB"/>
        </w:rPr>
        <w:t>years, which will reduce homelessness and provide a greater choice of places for people to live.</w:t>
      </w:r>
    </w:p>
    <w:p w14:paraId="386B3DC5" w14:textId="77777777" w:rsidR="00A715B7" w:rsidRPr="00947F6D" w:rsidRDefault="00A715B7" w:rsidP="00734596">
      <w:pPr>
        <w:autoSpaceDE w:val="0"/>
        <w:autoSpaceDN w:val="0"/>
        <w:adjustRightInd w:val="0"/>
        <w:jc w:val="both"/>
        <w:rPr>
          <w:rFonts w:ascii="Arial" w:hAnsi="Arial" w:cs="Arial"/>
          <w:lang w:eastAsia="en-GB"/>
        </w:rPr>
      </w:pPr>
    </w:p>
    <w:p w14:paraId="252A701C" w14:textId="0278CA44" w:rsidR="007931E3" w:rsidRPr="00947F6D" w:rsidRDefault="00A715B7" w:rsidP="00CF25BB">
      <w:pPr>
        <w:pStyle w:val="ListParagraph"/>
        <w:numPr>
          <w:ilvl w:val="0"/>
          <w:numId w:val="34"/>
        </w:numPr>
        <w:autoSpaceDE w:val="0"/>
        <w:autoSpaceDN w:val="0"/>
        <w:adjustRightInd w:val="0"/>
        <w:spacing w:after="0" w:line="240" w:lineRule="auto"/>
        <w:jc w:val="both"/>
        <w:rPr>
          <w:rFonts w:ascii="Arial" w:hAnsi="Arial" w:cs="Arial"/>
          <w:sz w:val="24"/>
          <w:szCs w:val="24"/>
          <w:lang w:eastAsia="en-GB"/>
        </w:rPr>
      </w:pPr>
      <w:r w:rsidRPr="00947F6D">
        <w:rPr>
          <w:rFonts w:ascii="Arial" w:hAnsi="Arial" w:cs="Arial"/>
          <w:sz w:val="24"/>
          <w:szCs w:val="24"/>
          <w:lang w:eastAsia="en-GB"/>
        </w:rPr>
        <w:t>Estate Regeneration – Plans to regenerate estates means that the Council will tackle pro</w:t>
      </w:r>
      <w:r w:rsidR="002A4B44" w:rsidRPr="00947F6D">
        <w:rPr>
          <w:rFonts w:ascii="Arial" w:hAnsi="Arial" w:cs="Arial"/>
          <w:sz w:val="24"/>
          <w:szCs w:val="24"/>
          <w:lang w:eastAsia="en-GB"/>
        </w:rPr>
        <w:t>b</w:t>
      </w:r>
      <w:r w:rsidRPr="00947F6D">
        <w:rPr>
          <w:rFonts w:ascii="Arial" w:hAnsi="Arial" w:cs="Arial"/>
          <w:sz w:val="24"/>
          <w:szCs w:val="24"/>
          <w:lang w:eastAsia="en-GB"/>
        </w:rPr>
        <w:t xml:space="preserve">lems like parking, crime and antisocial </w:t>
      </w:r>
      <w:r w:rsidR="002A4B44" w:rsidRPr="00947F6D">
        <w:rPr>
          <w:rFonts w:ascii="Arial" w:hAnsi="Arial" w:cs="Arial"/>
          <w:sz w:val="24"/>
          <w:szCs w:val="24"/>
          <w:lang w:eastAsia="en-GB"/>
        </w:rPr>
        <w:t>behaviour by improving the urban landscapes (the look and feel) of streets and neighbourhoods.</w:t>
      </w:r>
      <w:r w:rsidR="007931E3" w:rsidRPr="00947F6D">
        <w:rPr>
          <w:rFonts w:ascii="Arial" w:hAnsi="Arial" w:cs="Arial"/>
          <w:sz w:val="24"/>
          <w:szCs w:val="24"/>
          <w:lang w:eastAsia="en-GB"/>
        </w:rPr>
        <w:t xml:space="preserve"> </w:t>
      </w:r>
    </w:p>
    <w:p w14:paraId="2DA233F6" w14:textId="77777777" w:rsidR="002A4B44" w:rsidRPr="00947F6D" w:rsidRDefault="002A4B44" w:rsidP="00734596">
      <w:pPr>
        <w:autoSpaceDE w:val="0"/>
        <w:autoSpaceDN w:val="0"/>
        <w:adjustRightInd w:val="0"/>
        <w:jc w:val="both"/>
        <w:rPr>
          <w:rFonts w:ascii="Arial" w:hAnsi="Arial" w:cs="Arial"/>
          <w:lang w:eastAsia="en-GB"/>
        </w:rPr>
      </w:pPr>
    </w:p>
    <w:p w14:paraId="7DFECC8B" w14:textId="5418AABF" w:rsidR="002A4B44" w:rsidRPr="00947F6D" w:rsidRDefault="002A4B44" w:rsidP="00CF25BB">
      <w:pPr>
        <w:pStyle w:val="ListParagraph"/>
        <w:numPr>
          <w:ilvl w:val="0"/>
          <w:numId w:val="34"/>
        </w:numPr>
        <w:autoSpaceDE w:val="0"/>
        <w:autoSpaceDN w:val="0"/>
        <w:adjustRightInd w:val="0"/>
        <w:spacing w:after="0" w:line="240" w:lineRule="auto"/>
        <w:jc w:val="both"/>
        <w:rPr>
          <w:rFonts w:ascii="Arial" w:hAnsi="Arial" w:cs="Arial"/>
          <w:sz w:val="24"/>
          <w:szCs w:val="24"/>
          <w:lang w:eastAsia="en-GB"/>
        </w:rPr>
      </w:pPr>
      <w:r w:rsidRPr="00947F6D">
        <w:rPr>
          <w:rFonts w:ascii="Arial" w:hAnsi="Arial" w:cs="Arial"/>
          <w:sz w:val="24"/>
          <w:szCs w:val="24"/>
          <w:lang w:eastAsia="en-GB"/>
        </w:rPr>
        <w:t>Decarbonisation – The Council plans to achieve an energy performance rating of C for all of its housing properties by 2030</w:t>
      </w:r>
      <w:r w:rsidR="00734596" w:rsidRPr="00947F6D">
        <w:rPr>
          <w:rFonts w:ascii="Arial" w:hAnsi="Arial" w:cs="Arial"/>
          <w:sz w:val="24"/>
          <w:szCs w:val="24"/>
          <w:lang w:eastAsia="en-GB"/>
        </w:rPr>
        <w:t>, which means that it will protect the environment by reducing it</w:t>
      </w:r>
      <w:r w:rsidR="00F92A27">
        <w:rPr>
          <w:rFonts w:ascii="Arial" w:hAnsi="Arial" w:cs="Arial"/>
          <w:sz w:val="24"/>
          <w:szCs w:val="24"/>
          <w:lang w:eastAsia="en-GB"/>
        </w:rPr>
        <w:t>s</w:t>
      </w:r>
      <w:r w:rsidR="00734596" w:rsidRPr="00947F6D">
        <w:rPr>
          <w:rFonts w:ascii="Arial" w:hAnsi="Arial" w:cs="Arial"/>
          <w:sz w:val="24"/>
          <w:szCs w:val="24"/>
          <w:lang w:eastAsia="en-GB"/>
        </w:rPr>
        <w:t xml:space="preserve"> carbon footprint and making homes cheaper to run for residents.</w:t>
      </w:r>
    </w:p>
    <w:p w14:paraId="1DACB31E" w14:textId="77777777" w:rsidR="00DA65C4" w:rsidRPr="001765CE" w:rsidRDefault="00DA65C4" w:rsidP="00DA65C4">
      <w:pPr>
        <w:autoSpaceDE w:val="0"/>
        <w:autoSpaceDN w:val="0"/>
        <w:adjustRightInd w:val="0"/>
        <w:jc w:val="both"/>
        <w:rPr>
          <w:rFonts w:ascii="Arial" w:hAnsi="Arial" w:cs="Arial"/>
          <w:lang w:eastAsia="en-GB"/>
        </w:rPr>
      </w:pPr>
    </w:p>
    <w:p w14:paraId="02442BDD" w14:textId="38B6B505" w:rsidR="00DA65C4" w:rsidRPr="00DA65C4" w:rsidRDefault="00DA65C4" w:rsidP="00DA65C4">
      <w:pPr>
        <w:autoSpaceDE w:val="0"/>
        <w:autoSpaceDN w:val="0"/>
        <w:adjustRightInd w:val="0"/>
        <w:jc w:val="both"/>
        <w:rPr>
          <w:rFonts w:ascii="Arial" w:hAnsi="Arial" w:cs="Arial"/>
          <w:lang w:eastAsia="en-GB"/>
        </w:rPr>
      </w:pPr>
      <w:r w:rsidRPr="001765CE">
        <w:rPr>
          <w:rFonts w:ascii="Arial" w:hAnsi="Arial" w:cs="Arial"/>
          <w:lang w:eastAsia="en-GB"/>
        </w:rPr>
        <w:t>The Business Plans acts as guide to the development of the Housing Revenue Account budgets, with a focus on g</w:t>
      </w:r>
      <w:r w:rsidR="00C278CC" w:rsidRPr="001765CE">
        <w:rPr>
          <w:rFonts w:ascii="Arial" w:hAnsi="Arial" w:cs="Arial"/>
          <w:lang w:eastAsia="en-GB"/>
        </w:rPr>
        <w:t xml:space="preserve">rowing </w:t>
      </w:r>
      <w:r w:rsidR="00121EF9" w:rsidRPr="001765CE">
        <w:rPr>
          <w:rFonts w:ascii="Arial" w:hAnsi="Arial" w:cs="Arial"/>
          <w:lang w:eastAsia="en-GB"/>
        </w:rPr>
        <w:t>surpluses that will enable sustainable investment in homes and neighbourhoods.</w:t>
      </w:r>
    </w:p>
    <w:p w14:paraId="4D766DCC" w14:textId="77777777" w:rsidR="0083419F" w:rsidRPr="0083419F" w:rsidRDefault="0083419F" w:rsidP="0083419F">
      <w:pPr>
        <w:jc w:val="both"/>
        <w:rPr>
          <w:i/>
          <w:iCs/>
        </w:rPr>
      </w:pPr>
    </w:p>
    <w:p w14:paraId="54F54520" w14:textId="0C557EA9" w:rsidR="004F742F" w:rsidRPr="00CB7B27" w:rsidRDefault="00EE118B" w:rsidP="004F742F">
      <w:pPr>
        <w:pStyle w:val="Default"/>
        <w:spacing w:after="220"/>
        <w:jc w:val="both"/>
        <w:rPr>
          <w:rFonts w:ascii="Arial" w:hAnsi="Arial" w:cs="Arial"/>
          <w:b/>
          <w:bCs/>
          <w:color w:val="C45911"/>
          <w:sz w:val="28"/>
          <w:szCs w:val="20"/>
          <w:lang w:val="en-GB"/>
        </w:rPr>
      </w:pPr>
      <w:r w:rsidRPr="00CB7B27">
        <w:rPr>
          <w:rFonts w:ascii="Arial" w:hAnsi="Arial" w:cs="Arial"/>
          <w:b/>
          <w:bCs/>
          <w:color w:val="C45911"/>
          <w:sz w:val="28"/>
          <w:szCs w:val="20"/>
          <w:lang w:val="en-GB"/>
        </w:rPr>
        <w:t>S</w:t>
      </w:r>
      <w:r w:rsidR="004F742F" w:rsidRPr="00CB7B27">
        <w:rPr>
          <w:rFonts w:ascii="Arial" w:hAnsi="Arial" w:cs="Arial"/>
          <w:b/>
          <w:bCs/>
          <w:color w:val="C45911"/>
          <w:sz w:val="28"/>
          <w:szCs w:val="20"/>
          <w:lang w:val="en-GB"/>
        </w:rPr>
        <w:t xml:space="preserve">pending </w:t>
      </w:r>
      <w:r w:rsidR="00AF15ED" w:rsidRPr="00CB7B27">
        <w:rPr>
          <w:rFonts w:ascii="Arial" w:hAnsi="Arial" w:cs="Arial"/>
          <w:b/>
          <w:bCs/>
          <w:color w:val="C45911"/>
          <w:sz w:val="28"/>
          <w:szCs w:val="20"/>
          <w:lang w:val="en-GB"/>
        </w:rPr>
        <w:t>Assumptions</w:t>
      </w:r>
    </w:p>
    <w:p w14:paraId="6069CC91" w14:textId="7E772013" w:rsidR="004F742F" w:rsidRPr="00BD14F6" w:rsidRDefault="00AF15ED" w:rsidP="004F742F">
      <w:pPr>
        <w:jc w:val="both"/>
        <w:rPr>
          <w:rFonts w:ascii="Arial" w:hAnsi="Arial" w:cs="Arial"/>
        </w:rPr>
      </w:pPr>
      <w:r w:rsidRPr="00BD14F6">
        <w:rPr>
          <w:rFonts w:ascii="Arial" w:hAnsi="Arial" w:cs="Arial"/>
        </w:rPr>
        <w:t xml:space="preserve">A review of the financial planning assumptions the Council over the period of the MTFS has been undertaken, this information has been drawn from </w:t>
      </w:r>
      <w:r w:rsidR="00C47D2C" w:rsidRPr="00BD14F6">
        <w:rPr>
          <w:rFonts w:ascii="Arial" w:hAnsi="Arial" w:cs="Arial"/>
        </w:rPr>
        <w:t xml:space="preserve">the </w:t>
      </w:r>
      <w:r w:rsidR="00E44248" w:rsidRPr="00BD14F6">
        <w:rPr>
          <w:rFonts w:ascii="Arial" w:hAnsi="Arial" w:cs="Arial"/>
        </w:rPr>
        <w:t xml:space="preserve">30 Year Housing Business Plan, </w:t>
      </w:r>
      <w:r w:rsidRPr="00BD14F6">
        <w:rPr>
          <w:rFonts w:ascii="Arial" w:hAnsi="Arial" w:cs="Arial"/>
        </w:rPr>
        <w:t>experience in previous years, the advice of Directors and Assistant Directors, the current economic climate and other local and national issues that are likely to influence the financial outcomes.</w:t>
      </w:r>
      <w:r w:rsidR="00CB7B27" w:rsidRPr="00BD14F6">
        <w:rPr>
          <w:rFonts w:ascii="Arial" w:hAnsi="Arial" w:cs="Arial"/>
        </w:rPr>
        <w:t xml:space="preserve"> </w:t>
      </w:r>
      <w:r w:rsidR="004F742F" w:rsidRPr="00BD14F6">
        <w:rPr>
          <w:rFonts w:ascii="Arial" w:hAnsi="Arial" w:cs="Arial"/>
        </w:rPr>
        <w:t xml:space="preserve">The HRA </w:t>
      </w:r>
      <w:r w:rsidR="00CB7B27" w:rsidRPr="00BD14F6">
        <w:rPr>
          <w:rFonts w:ascii="Arial" w:hAnsi="Arial" w:cs="Arial"/>
        </w:rPr>
        <w:t xml:space="preserve">includes a number of assumptions in line with the General Fund, primarily inflation, </w:t>
      </w:r>
      <w:r w:rsidR="00130FB2" w:rsidRPr="00BD14F6">
        <w:rPr>
          <w:rFonts w:ascii="Arial" w:hAnsi="Arial" w:cs="Arial"/>
        </w:rPr>
        <w:t>pay inflation</w:t>
      </w:r>
      <w:r w:rsidR="00A45469" w:rsidRPr="00BD14F6">
        <w:rPr>
          <w:rFonts w:ascii="Arial" w:hAnsi="Arial" w:cs="Arial"/>
        </w:rPr>
        <w:t xml:space="preserve">, </w:t>
      </w:r>
      <w:r w:rsidR="00CB7B27" w:rsidRPr="00BD14F6">
        <w:rPr>
          <w:rFonts w:ascii="Arial" w:hAnsi="Arial" w:cs="Arial"/>
        </w:rPr>
        <w:t xml:space="preserve">pension contributions and interest rate forecasts.  Set out below are expenditure and income assumptions specific to the HRA. </w:t>
      </w:r>
    </w:p>
    <w:p w14:paraId="7C41E660" w14:textId="77777777" w:rsidR="00730768" w:rsidRPr="00BD14F6" w:rsidRDefault="00730768" w:rsidP="004F742F">
      <w:pPr>
        <w:pStyle w:val="Default"/>
        <w:jc w:val="both"/>
        <w:rPr>
          <w:rFonts w:ascii="Arial" w:hAnsi="Arial" w:cs="Arial"/>
          <w:b/>
          <w:color w:val="auto"/>
          <w:szCs w:val="20"/>
          <w:lang w:val="en-GB"/>
        </w:rPr>
      </w:pPr>
    </w:p>
    <w:p w14:paraId="1D77B10E" w14:textId="508E4034" w:rsidR="004F742F" w:rsidRPr="00BD14F6" w:rsidRDefault="004F742F" w:rsidP="004F742F">
      <w:pPr>
        <w:pStyle w:val="Default"/>
        <w:jc w:val="both"/>
        <w:rPr>
          <w:rFonts w:ascii="Arial" w:hAnsi="Arial" w:cs="Arial"/>
          <w:color w:val="auto"/>
          <w:szCs w:val="20"/>
          <w:lang w:val="en-GB"/>
        </w:rPr>
      </w:pPr>
      <w:r w:rsidRPr="00BD14F6">
        <w:rPr>
          <w:rFonts w:ascii="Arial" w:hAnsi="Arial" w:cs="Arial"/>
          <w:b/>
          <w:color w:val="auto"/>
          <w:szCs w:val="20"/>
          <w:lang w:val="en-GB"/>
        </w:rPr>
        <w:t>Repairs and Maintenance</w:t>
      </w:r>
      <w:r w:rsidRPr="00BD14F6">
        <w:rPr>
          <w:rFonts w:ascii="Arial" w:hAnsi="Arial" w:cs="Arial"/>
          <w:color w:val="auto"/>
          <w:szCs w:val="20"/>
          <w:lang w:val="en-GB"/>
        </w:rPr>
        <w:t xml:space="preserve"> </w:t>
      </w:r>
    </w:p>
    <w:p w14:paraId="13D02FBE" w14:textId="77777777" w:rsidR="004F742F" w:rsidRPr="00BD14F6" w:rsidRDefault="004F742F" w:rsidP="004F742F">
      <w:pPr>
        <w:pStyle w:val="Default"/>
        <w:jc w:val="both"/>
        <w:rPr>
          <w:rFonts w:ascii="Arial" w:hAnsi="Arial" w:cs="Arial"/>
          <w:color w:val="auto"/>
          <w:szCs w:val="20"/>
          <w:lang w:val="en-GB"/>
        </w:rPr>
      </w:pPr>
    </w:p>
    <w:p w14:paraId="2D566897" w14:textId="6287BEFE" w:rsidR="00B447AE" w:rsidRPr="00264E35" w:rsidRDefault="542791E3" w:rsidP="004F742F">
      <w:pPr>
        <w:pStyle w:val="Default"/>
        <w:spacing w:after="220"/>
        <w:jc w:val="both"/>
        <w:rPr>
          <w:rFonts w:ascii="Arial" w:hAnsi="Arial" w:cs="Arial"/>
          <w:color w:val="auto"/>
        </w:rPr>
      </w:pPr>
      <w:r w:rsidRPr="646A0D9E">
        <w:rPr>
          <w:rFonts w:ascii="Arial" w:hAnsi="Arial" w:cs="Arial"/>
          <w:color w:val="auto"/>
        </w:rPr>
        <w:t xml:space="preserve">Repairs and maintenance is an essential part of the asset management of the Council’s housing stock.  </w:t>
      </w:r>
      <w:r w:rsidR="01E3331E" w:rsidRPr="646A0D9E">
        <w:rPr>
          <w:rFonts w:ascii="Arial" w:hAnsi="Arial" w:cs="Arial"/>
          <w:color w:val="auto"/>
        </w:rPr>
        <w:t xml:space="preserve">As set out in </w:t>
      </w:r>
      <w:r w:rsidR="549B69F0" w:rsidRPr="646A0D9E">
        <w:rPr>
          <w:rFonts w:ascii="Arial" w:hAnsi="Arial" w:cs="Arial"/>
          <w:color w:val="auto"/>
        </w:rPr>
        <w:t>spending pressures</w:t>
      </w:r>
      <w:r w:rsidR="19E168FB" w:rsidRPr="646A0D9E">
        <w:rPr>
          <w:rFonts w:ascii="Arial" w:hAnsi="Arial" w:cs="Arial"/>
          <w:color w:val="auto"/>
        </w:rPr>
        <w:t xml:space="preserve"> section above, the cost of repairs and maintenance to the housing stock is increasing due to labour shortages, </w:t>
      </w:r>
      <w:r w:rsidR="08F7A14C" w:rsidRPr="646A0D9E">
        <w:rPr>
          <w:rFonts w:ascii="Arial" w:hAnsi="Arial" w:cs="Arial"/>
          <w:color w:val="auto"/>
        </w:rPr>
        <w:t xml:space="preserve">and increased </w:t>
      </w:r>
      <w:r w:rsidR="19E168FB" w:rsidRPr="646A0D9E">
        <w:rPr>
          <w:rFonts w:ascii="Arial" w:hAnsi="Arial" w:cs="Arial"/>
          <w:color w:val="auto"/>
        </w:rPr>
        <w:t>contractor and material price</w:t>
      </w:r>
      <w:r w:rsidR="08F7A14C" w:rsidRPr="646A0D9E">
        <w:rPr>
          <w:rFonts w:ascii="Arial" w:hAnsi="Arial" w:cs="Arial"/>
          <w:color w:val="auto"/>
        </w:rPr>
        <w:t>s</w:t>
      </w:r>
      <w:r w:rsidR="19E168FB" w:rsidRPr="646A0D9E">
        <w:rPr>
          <w:rFonts w:ascii="Arial" w:hAnsi="Arial" w:cs="Arial"/>
          <w:color w:val="auto"/>
        </w:rPr>
        <w:t xml:space="preserve">. </w:t>
      </w:r>
      <w:r w:rsidR="76254A1E" w:rsidRPr="646A0D9E">
        <w:rPr>
          <w:rFonts w:ascii="Arial" w:hAnsi="Arial" w:cs="Arial"/>
          <w:color w:val="auto"/>
        </w:rPr>
        <w:t>These additional costs have been reflected in the HRA</w:t>
      </w:r>
      <w:r w:rsidR="679A6677" w:rsidRPr="646A0D9E">
        <w:rPr>
          <w:rFonts w:ascii="Arial" w:hAnsi="Arial" w:cs="Arial"/>
          <w:color w:val="auto"/>
        </w:rPr>
        <w:t xml:space="preserve">.  </w:t>
      </w:r>
    </w:p>
    <w:p w14:paraId="0A8E07BA" w14:textId="77777777" w:rsidR="00063CA9" w:rsidRDefault="009822EE" w:rsidP="004F742F">
      <w:pPr>
        <w:pStyle w:val="Default"/>
        <w:spacing w:after="220"/>
        <w:jc w:val="both"/>
        <w:rPr>
          <w:rFonts w:ascii="Arial" w:hAnsi="Arial" w:cs="Arial"/>
          <w:color w:val="auto"/>
          <w:lang w:val="en-GB"/>
        </w:rPr>
      </w:pPr>
      <w:r w:rsidRPr="00264E35">
        <w:rPr>
          <w:rFonts w:ascii="Arial" w:hAnsi="Arial" w:cs="Arial"/>
          <w:color w:val="auto"/>
          <w:lang w:val="en-GB"/>
        </w:rPr>
        <w:t>A</w:t>
      </w:r>
      <w:r w:rsidR="006A43B1" w:rsidRPr="00264E35">
        <w:rPr>
          <w:rFonts w:ascii="Arial" w:hAnsi="Arial" w:cs="Arial"/>
          <w:color w:val="auto"/>
          <w:lang w:val="en-GB"/>
        </w:rPr>
        <w:t>dditional</w:t>
      </w:r>
      <w:r w:rsidR="007C1E99">
        <w:rPr>
          <w:rFonts w:ascii="Arial" w:hAnsi="Arial" w:cs="Arial"/>
          <w:color w:val="auto"/>
          <w:lang w:val="en-GB"/>
        </w:rPr>
        <w:t>ly,</w:t>
      </w:r>
      <w:r w:rsidR="00DF18C3" w:rsidRPr="00264E35">
        <w:rPr>
          <w:rFonts w:ascii="Arial" w:hAnsi="Arial" w:cs="Arial"/>
          <w:color w:val="auto"/>
          <w:lang w:val="en-GB"/>
        </w:rPr>
        <w:t xml:space="preserve"> pressures as a result </w:t>
      </w:r>
      <w:r w:rsidR="009A29D1">
        <w:rPr>
          <w:rFonts w:ascii="Arial" w:hAnsi="Arial" w:cs="Arial"/>
          <w:color w:val="auto"/>
          <w:lang w:val="en-GB"/>
        </w:rPr>
        <w:t xml:space="preserve">of </w:t>
      </w:r>
      <w:r w:rsidR="00DF18C3" w:rsidRPr="00264E35">
        <w:rPr>
          <w:rFonts w:ascii="Arial" w:hAnsi="Arial" w:cs="Arial"/>
          <w:color w:val="auto"/>
          <w:lang w:val="en-GB"/>
        </w:rPr>
        <w:t>increasing demand for regulatory works</w:t>
      </w:r>
      <w:r w:rsidR="009F68CF" w:rsidRPr="00264E35">
        <w:rPr>
          <w:rFonts w:ascii="Arial" w:hAnsi="Arial" w:cs="Arial"/>
          <w:color w:val="auto"/>
          <w:lang w:val="en-GB"/>
        </w:rPr>
        <w:t>,</w:t>
      </w:r>
      <w:r w:rsidR="00DF18C3" w:rsidRPr="00264E35">
        <w:rPr>
          <w:rFonts w:ascii="Arial" w:hAnsi="Arial" w:cs="Arial"/>
          <w:color w:val="auto"/>
          <w:lang w:val="en-GB"/>
        </w:rPr>
        <w:t xml:space="preserve"> </w:t>
      </w:r>
      <w:r w:rsidR="00E82D19" w:rsidRPr="00264E35">
        <w:rPr>
          <w:rFonts w:ascii="Arial" w:hAnsi="Arial" w:cs="Arial"/>
          <w:color w:val="auto"/>
          <w:lang w:val="en-GB"/>
        </w:rPr>
        <w:t xml:space="preserve">in particular </w:t>
      </w:r>
      <w:r w:rsidR="009A29D1">
        <w:rPr>
          <w:rFonts w:ascii="Arial" w:hAnsi="Arial" w:cs="Arial"/>
          <w:color w:val="auto"/>
          <w:lang w:val="en-GB"/>
        </w:rPr>
        <w:t>d</w:t>
      </w:r>
      <w:r w:rsidR="00E82D19" w:rsidRPr="00264E35">
        <w:rPr>
          <w:rFonts w:ascii="Arial" w:hAnsi="Arial" w:cs="Arial"/>
          <w:color w:val="auto"/>
          <w:lang w:val="en-GB"/>
        </w:rPr>
        <w:t xml:space="preserve">amp and </w:t>
      </w:r>
      <w:r w:rsidR="009A29D1">
        <w:rPr>
          <w:rFonts w:ascii="Arial" w:hAnsi="Arial" w:cs="Arial"/>
          <w:color w:val="auto"/>
          <w:lang w:val="en-GB"/>
        </w:rPr>
        <w:t>m</w:t>
      </w:r>
      <w:r w:rsidR="00E82D19" w:rsidRPr="00264E35">
        <w:rPr>
          <w:rFonts w:ascii="Arial" w:hAnsi="Arial" w:cs="Arial"/>
          <w:color w:val="auto"/>
          <w:lang w:val="en-GB"/>
        </w:rPr>
        <w:t>ould remediation</w:t>
      </w:r>
      <w:r w:rsidRPr="00264E35">
        <w:rPr>
          <w:rFonts w:ascii="Arial" w:hAnsi="Arial" w:cs="Arial"/>
          <w:color w:val="auto"/>
          <w:lang w:val="en-GB"/>
        </w:rPr>
        <w:t>,</w:t>
      </w:r>
      <w:r w:rsidR="00E82D19" w:rsidRPr="00264E35">
        <w:rPr>
          <w:rFonts w:ascii="Arial" w:hAnsi="Arial" w:cs="Arial"/>
          <w:color w:val="auto"/>
          <w:lang w:val="en-GB"/>
        </w:rPr>
        <w:t xml:space="preserve"> </w:t>
      </w:r>
      <w:r w:rsidR="00C73356" w:rsidRPr="00264E35">
        <w:rPr>
          <w:rFonts w:ascii="Arial" w:hAnsi="Arial" w:cs="Arial"/>
          <w:color w:val="auto"/>
          <w:lang w:val="en-GB"/>
        </w:rPr>
        <w:t>compounded by</w:t>
      </w:r>
      <w:r w:rsidR="009F68CF" w:rsidRPr="00264E35">
        <w:rPr>
          <w:rFonts w:ascii="Arial" w:hAnsi="Arial" w:cs="Arial"/>
          <w:color w:val="auto"/>
          <w:lang w:val="en-GB"/>
        </w:rPr>
        <w:t xml:space="preserve"> </w:t>
      </w:r>
      <w:r w:rsidR="003E5E48" w:rsidRPr="00264E35">
        <w:rPr>
          <w:rFonts w:ascii="Arial" w:hAnsi="Arial" w:cs="Arial"/>
          <w:color w:val="auto"/>
          <w:lang w:val="en-GB"/>
        </w:rPr>
        <w:t>legislative changes</w:t>
      </w:r>
      <w:r w:rsidR="00C73356" w:rsidRPr="00264E35">
        <w:rPr>
          <w:rFonts w:ascii="Arial" w:hAnsi="Arial" w:cs="Arial"/>
          <w:color w:val="auto"/>
          <w:lang w:val="en-GB"/>
        </w:rPr>
        <w:t xml:space="preserve"> (i.e. Awaab’s law</w:t>
      </w:r>
      <w:r w:rsidR="009A29D1">
        <w:rPr>
          <w:rFonts w:ascii="Arial" w:hAnsi="Arial" w:cs="Arial"/>
          <w:color w:val="auto"/>
          <w:lang w:val="en-GB"/>
        </w:rPr>
        <w:t>/</w:t>
      </w:r>
      <w:r w:rsidR="006C19D4">
        <w:rPr>
          <w:rFonts w:ascii="Arial" w:hAnsi="Arial" w:cs="Arial"/>
          <w:color w:val="auto"/>
          <w:lang w:val="en-GB"/>
        </w:rPr>
        <w:t>Social Housing Regulation Act</w:t>
      </w:r>
      <w:r w:rsidR="00C73356" w:rsidRPr="00264E35">
        <w:rPr>
          <w:rFonts w:ascii="Arial" w:hAnsi="Arial" w:cs="Arial"/>
          <w:color w:val="auto"/>
          <w:lang w:val="en-GB"/>
        </w:rPr>
        <w:t>)</w:t>
      </w:r>
      <w:r w:rsidR="009F68CF" w:rsidRPr="00264E35">
        <w:rPr>
          <w:rFonts w:ascii="Arial" w:hAnsi="Arial" w:cs="Arial"/>
          <w:color w:val="auto"/>
          <w:lang w:val="en-GB"/>
        </w:rPr>
        <w:t>,</w:t>
      </w:r>
      <w:r w:rsidR="003E5E48" w:rsidRPr="00264E35">
        <w:rPr>
          <w:rFonts w:ascii="Arial" w:hAnsi="Arial" w:cs="Arial"/>
          <w:color w:val="auto"/>
          <w:lang w:val="en-GB"/>
        </w:rPr>
        <w:t xml:space="preserve"> </w:t>
      </w:r>
      <w:r w:rsidR="00774C45" w:rsidRPr="00264E35">
        <w:rPr>
          <w:rFonts w:ascii="Arial" w:hAnsi="Arial" w:cs="Arial"/>
          <w:color w:val="auto"/>
          <w:lang w:val="en-GB"/>
        </w:rPr>
        <w:t xml:space="preserve">are </w:t>
      </w:r>
      <w:r w:rsidR="002F7363" w:rsidRPr="00264E35">
        <w:rPr>
          <w:rFonts w:ascii="Arial" w:hAnsi="Arial" w:cs="Arial"/>
          <w:color w:val="auto"/>
          <w:lang w:val="en-GB"/>
        </w:rPr>
        <w:t>severely impacting on the HR</w:t>
      </w:r>
      <w:r w:rsidR="0099057C">
        <w:rPr>
          <w:rFonts w:ascii="Arial" w:hAnsi="Arial" w:cs="Arial"/>
          <w:color w:val="auto"/>
          <w:lang w:val="en-GB"/>
        </w:rPr>
        <w:t>A</w:t>
      </w:r>
      <w:r w:rsidR="002F7363" w:rsidRPr="00264E35">
        <w:rPr>
          <w:rFonts w:ascii="Arial" w:hAnsi="Arial" w:cs="Arial"/>
          <w:color w:val="auto"/>
          <w:lang w:val="en-GB"/>
        </w:rPr>
        <w:t>’s</w:t>
      </w:r>
      <w:r w:rsidR="00752017" w:rsidRPr="00264E35">
        <w:rPr>
          <w:rFonts w:ascii="Arial" w:hAnsi="Arial" w:cs="Arial"/>
          <w:color w:val="auto"/>
          <w:lang w:val="en-GB"/>
        </w:rPr>
        <w:t xml:space="preserve"> </w:t>
      </w:r>
      <w:r w:rsidR="007D6871" w:rsidRPr="00264E35">
        <w:rPr>
          <w:rFonts w:ascii="Arial" w:hAnsi="Arial" w:cs="Arial"/>
          <w:color w:val="auto"/>
          <w:lang w:val="en-GB"/>
        </w:rPr>
        <w:t xml:space="preserve">costs and </w:t>
      </w:r>
      <w:r w:rsidR="00752017" w:rsidRPr="00264E35">
        <w:rPr>
          <w:rFonts w:ascii="Arial" w:hAnsi="Arial" w:cs="Arial"/>
          <w:color w:val="auto"/>
          <w:lang w:val="en-GB"/>
        </w:rPr>
        <w:t>capacity</w:t>
      </w:r>
      <w:r w:rsidR="00DC0536">
        <w:rPr>
          <w:rFonts w:ascii="Arial" w:hAnsi="Arial" w:cs="Arial"/>
          <w:color w:val="auto"/>
          <w:lang w:val="en-GB"/>
        </w:rPr>
        <w:t>, w</w:t>
      </w:r>
      <w:r w:rsidR="007D6871" w:rsidRPr="00264E35">
        <w:rPr>
          <w:rFonts w:ascii="Arial" w:hAnsi="Arial" w:cs="Arial"/>
          <w:color w:val="auto"/>
          <w:lang w:val="en-GB"/>
        </w:rPr>
        <w:t xml:space="preserve">ith increased reliance on sub-contractors to </w:t>
      </w:r>
      <w:r w:rsidR="00204BB2" w:rsidRPr="00264E35">
        <w:rPr>
          <w:rFonts w:ascii="Arial" w:hAnsi="Arial" w:cs="Arial"/>
          <w:color w:val="auto"/>
          <w:lang w:val="en-GB"/>
        </w:rPr>
        <w:t xml:space="preserve">support </w:t>
      </w:r>
      <w:r w:rsidR="00636319" w:rsidRPr="00264E35">
        <w:rPr>
          <w:rFonts w:ascii="Arial" w:hAnsi="Arial" w:cs="Arial"/>
          <w:color w:val="auto"/>
          <w:lang w:val="en-GB"/>
        </w:rPr>
        <w:t xml:space="preserve">our own labour force.  </w:t>
      </w:r>
    </w:p>
    <w:p w14:paraId="5C3E24AD" w14:textId="2EB1C2EE" w:rsidR="00063CA9" w:rsidRDefault="00063CA9" w:rsidP="004F742F">
      <w:pPr>
        <w:pStyle w:val="Default"/>
        <w:spacing w:after="220"/>
        <w:jc w:val="both"/>
        <w:rPr>
          <w:rFonts w:ascii="Arial" w:hAnsi="Arial" w:cs="Arial"/>
          <w:color w:val="auto"/>
          <w:lang w:val="en-GB"/>
        </w:rPr>
      </w:pPr>
      <w:r>
        <w:rPr>
          <w:rFonts w:ascii="Arial" w:hAnsi="Arial" w:cs="Arial"/>
          <w:color w:val="auto"/>
          <w:lang w:val="en-GB"/>
        </w:rPr>
        <w:t>The Council is currently undertaking a 100% stock condition survey of all of it’s housing stock, previously this was undertaken on a rolling 20% p.a. basis.</w:t>
      </w:r>
      <w:r w:rsidR="00013F6F">
        <w:rPr>
          <w:rFonts w:ascii="Arial" w:hAnsi="Arial" w:cs="Arial"/>
          <w:color w:val="auto"/>
          <w:lang w:val="en-GB"/>
        </w:rPr>
        <w:t xml:space="preserve"> </w:t>
      </w:r>
      <w:r w:rsidR="00AE4FD9">
        <w:rPr>
          <w:rFonts w:ascii="Arial" w:hAnsi="Arial" w:cs="Arial"/>
          <w:color w:val="auto"/>
          <w:lang w:val="en-GB"/>
        </w:rPr>
        <w:t>This is due to be completed in early 2026.</w:t>
      </w:r>
      <w:r w:rsidR="00013F6F">
        <w:rPr>
          <w:rFonts w:ascii="Arial" w:hAnsi="Arial" w:cs="Arial"/>
          <w:color w:val="auto"/>
          <w:lang w:val="en-GB"/>
        </w:rPr>
        <w:t xml:space="preserve"> </w:t>
      </w:r>
      <w:r w:rsidR="00013F6F" w:rsidRPr="00EB4243">
        <w:rPr>
          <w:rFonts w:ascii="Arial" w:hAnsi="Arial" w:cs="Arial"/>
        </w:rPr>
        <w:t>While it is not currently expected that this will create</w:t>
      </w:r>
      <w:r w:rsidR="00F00F59">
        <w:rPr>
          <w:rFonts w:ascii="Arial" w:hAnsi="Arial" w:cs="Arial"/>
        </w:rPr>
        <w:t xml:space="preserve"> a</w:t>
      </w:r>
      <w:r w:rsidR="00013F6F" w:rsidRPr="00EB4243">
        <w:rPr>
          <w:rFonts w:ascii="Arial" w:hAnsi="Arial" w:cs="Arial"/>
        </w:rPr>
        <w:t xml:space="preserve"> </w:t>
      </w:r>
      <w:r w:rsidR="00F00F59" w:rsidRPr="00EB4243">
        <w:rPr>
          <w:rFonts w:ascii="Arial" w:hAnsi="Arial" w:cs="Arial"/>
        </w:rPr>
        <w:t>significant</w:t>
      </w:r>
      <w:r w:rsidR="00013F6F" w:rsidRPr="00EB4243">
        <w:rPr>
          <w:rFonts w:ascii="Arial" w:hAnsi="Arial" w:cs="Arial"/>
        </w:rPr>
        <w:t xml:space="preserve"> ongoing cost pressure for the HRA, as the repairs are effectively being front-loaded, </w:t>
      </w:r>
      <w:r w:rsidR="00503DB7">
        <w:rPr>
          <w:rFonts w:ascii="Arial" w:hAnsi="Arial" w:cs="Arial"/>
        </w:rPr>
        <w:t>it has altered the profile of expenditure with a peak</w:t>
      </w:r>
      <w:r w:rsidR="00EB58EA">
        <w:rPr>
          <w:rFonts w:ascii="Arial" w:hAnsi="Arial" w:cs="Arial"/>
        </w:rPr>
        <w:t xml:space="preserve"> of repairs</w:t>
      </w:r>
      <w:r w:rsidR="00503DB7">
        <w:rPr>
          <w:rFonts w:ascii="Arial" w:hAnsi="Arial" w:cs="Arial"/>
        </w:rPr>
        <w:t xml:space="preserve"> forecasted in 2026/27.</w:t>
      </w:r>
      <w:r w:rsidR="00EB58EA">
        <w:rPr>
          <w:rFonts w:ascii="Arial" w:hAnsi="Arial" w:cs="Arial"/>
        </w:rPr>
        <w:t xml:space="preserve">  This has been allowed for in the MTFS through a combination of increased internal resources and additional subcontractors.</w:t>
      </w:r>
    </w:p>
    <w:p w14:paraId="47905BE7" w14:textId="46B3940B" w:rsidR="00651FF1" w:rsidRPr="00264E35" w:rsidRDefault="00EB58EA" w:rsidP="004F742F">
      <w:pPr>
        <w:pStyle w:val="Default"/>
        <w:spacing w:after="220"/>
        <w:jc w:val="both"/>
        <w:rPr>
          <w:rFonts w:ascii="Arial" w:hAnsi="Arial" w:cs="Arial"/>
          <w:color w:val="auto"/>
          <w:lang w:val="en-GB"/>
        </w:rPr>
      </w:pPr>
      <w:r>
        <w:rPr>
          <w:rFonts w:ascii="Arial" w:hAnsi="Arial" w:cs="Arial"/>
          <w:color w:val="auto"/>
          <w:lang w:val="en-GB"/>
        </w:rPr>
        <w:t>In addition t</w:t>
      </w:r>
      <w:r w:rsidR="00636319" w:rsidRPr="00264E35">
        <w:rPr>
          <w:rFonts w:ascii="Arial" w:hAnsi="Arial" w:cs="Arial"/>
          <w:color w:val="auto"/>
          <w:lang w:val="en-GB"/>
        </w:rPr>
        <w:t xml:space="preserve">he MTFS includes a provision </w:t>
      </w:r>
      <w:r w:rsidR="00651FF1" w:rsidRPr="00264E35">
        <w:rPr>
          <w:rFonts w:ascii="Arial" w:hAnsi="Arial" w:cs="Arial"/>
          <w:color w:val="auto"/>
          <w:lang w:val="en-GB"/>
        </w:rPr>
        <w:t xml:space="preserve">to support </w:t>
      </w:r>
      <w:r w:rsidR="00740DF4" w:rsidRPr="00264E35">
        <w:rPr>
          <w:rFonts w:ascii="Arial" w:hAnsi="Arial" w:cs="Arial"/>
          <w:color w:val="auto"/>
          <w:lang w:val="en-GB"/>
        </w:rPr>
        <w:t xml:space="preserve">a review of </w:t>
      </w:r>
      <w:r w:rsidR="001E0C4D" w:rsidRPr="00264E35">
        <w:rPr>
          <w:rFonts w:ascii="Arial" w:hAnsi="Arial" w:cs="Arial"/>
          <w:color w:val="auto"/>
          <w:lang w:val="en-GB"/>
        </w:rPr>
        <w:t>the HR</w:t>
      </w:r>
      <w:r w:rsidR="00CD505E">
        <w:rPr>
          <w:rFonts w:ascii="Arial" w:hAnsi="Arial" w:cs="Arial"/>
          <w:color w:val="auto"/>
          <w:lang w:val="en-GB"/>
        </w:rPr>
        <w:t>A</w:t>
      </w:r>
      <w:r w:rsidR="001E0C4D" w:rsidRPr="00264E35">
        <w:rPr>
          <w:rFonts w:ascii="Arial" w:hAnsi="Arial" w:cs="Arial"/>
          <w:color w:val="auto"/>
          <w:lang w:val="en-GB"/>
        </w:rPr>
        <w:t xml:space="preserve">’s </w:t>
      </w:r>
      <w:r w:rsidR="00330374" w:rsidRPr="00264E35">
        <w:rPr>
          <w:rFonts w:ascii="Arial" w:hAnsi="Arial" w:cs="Arial"/>
          <w:color w:val="auto"/>
          <w:lang w:val="en-GB"/>
        </w:rPr>
        <w:t xml:space="preserve">capacity and </w:t>
      </w:r>
      <w:r w:rsidR="001E0C4D" w:rsidRPr="00264E35">
        <w:rPr>
          <w:rFonts w:ascii="Arial" w:hAnsi="Arial" w:cs="Arial"/>
          <w:color w:val="auto"/>
          <w:lang w:val="en-GB"/>
        </w:rPr>
        <w:t>workforce needs</w:t>
      </w:r>
      <w:r w:rsidR="006B72BC">
        <w:rPr>
          <w:rFonts w:ascii="Arial" w:hAnsi="Arial" w:cs="Arial"/>
          <w:color w:val="auto"/>
          <w:lang w:val="en-GB"/>
        </w:rPr>
        <w:t xml:space="preserve"> to ensure it continues to meet all regulatory and statutory </w:t>
      </w:r>
      <w:r w:rsidR="00B558E2">
        <w:rPr>
          <w:rFonts w:ascii="Arial" w:hAnsi="Arial" w:cs="Arial"/>
          <w:color w:val="auto"/>
          <w:lang w:val="en-GB"/>
        </w:rPr>
        <w:t>requirements</w:t>
      </w:r>
      <w:r w:rsidR="00F00F59">
        <w:rPr>
          <w:rFonts w:ascii="Arial" w:hAnsi="Arial" w:cs="Arial"/>
          <w:color w:val="auto"/>
          <w:lang w:val="en-GB"/>
        </w:rPr>
        <w:t>.</w:t>
      </w:r>
    </w:p>
    <w:p w14:paraId="34C454B4" w14:textId="09E6F6A6" w:rsidR="004F742F" w:rsidRDefault="76254A1E" w:rsidP="004F742F">
      <w:pPr>
        <w:pStyle w:val="Default"/>
        <w:spacing w:after="220"/>
        <w:jc w:val="both"/>
        <w:rPr>
          <w:rFonts w:ascii="Arial" w:hAnsi="Arial" w:cs="Arial"/>
          <w:color w:val="auto"/>
          <w:lang w:val="en-GB"/>
        </w:rPr>
      </w:pPr>
      <w:r w:rsidRPr="00264E35">
        <w:rPr>
          <w:rFonts w:ascii="Arial" w:hAnsi="Arial" w:cs="Arial"/>
          <w:color w:val="auto"/>
          <w:lang w:val="en-GB"/>
        </w:rPr>
        <w:t xml:space="preserve">Work </w:t>
      </w:r>
      <w:r w:rsidR="00063CA9">
        <w:rPr>
          <w:rFonts w:ascii="Arial" w:hAnsi="Arial" w:cs="Arial"/>
          <w:color w:val="auto"/>
          <w:lang w:val="en-GB"/>
        </w:rPr>
        <w:t xml:space="preserve">also </w:t>
      </w:r>
      <w:r w:rsidRPr="00264E35">
        <w:rPr>
          <w:rFonts w:ascii="Arial" w:hAnsi="Arial" w:cs="Arial"/>
          <w:color w:val="auto"/>
          <w:lang w:val="en-GB"/>
        </w:rPr>
        <w:t>continues within the service to drive down costs and deliver efficiencies were possible in order to reduce repairs costs</w:t>
      </w:r>
      <w:r w:rsidR="00B558E2">
        <w:rPr>
          <w:rFonts w:ascii="Arial" w:hAnsi="Arial" w:cs="Arial"/>
          <w:color w:val="auto"/>
          <w:lang w:val="en-GB"/>
        </w:rPr>
        <w:t>.</w:t>
      </w:r>
    </w:p>
    <w:p w14:paraId="7EB30359" w14:textId="4D9FA6D5" w:rsidR="00B558E2" w:rsidRPr="00F13440" w:rsidRDefault="00B558E2" w:rsidP="004F742F">
      <w:pPr>
        <w:pStyle w:val="Default"/>
        <w:spacing w:after="220"/>
        <w:jc w:val="both"/>
        <w:rPr>
          <w:rFonts w:ascii="Arial" w:hAnsi="Arial" w:cs="Arial"/>
          <w:color w:val="auto"/>
          <w:lang w:val="en-GB"/>
        </w:rPr>
      </w:pPr>
      <w:r>
        <w:rPr>
          <w:rFonts w:ascii="Arial" w:hAnsi="Arial" w:cs="Arial"/>
          <w:color w:val="auto"/>
          <w:lang w:val="en-GB"/>
        </w:rPr>
        <w:t xml:space="preserve">The </w:t>
      </w:r>
      <w:r w:rsidR="00EF0DBA">
        <w:rPr>
          <w:rFonts w:ascii="Arial" w:hAnsi="Arial" w:cs="Arial"/>
          <w:color w:val="auto"/>
          <w:lang w:val="en-GB"/>
        </w:rPr>
        <w:t xml:space="preserve">average </w:t>
      </w:r>
      <w:r>
        <w:rPr>
          <w:rFonts w:ascii="Arial" w:hAnsi="Arial" w:cs="Arial"/>
          <w:color w:val="auto"/>
          <w:lang w:val="en-GB"/>
        </w:rPr>
        <w:t xml:space="preserve">annual cost of </w:t>
      </w:r>
      <w:r w:rsidR="00E05BC4">
        <w:rPr>
          <w:rFonts w:ascii="Arial" w:hAnsi="Arial" w:cs="Arial"/>
          <w:color w:val="auto"/>
          <w:lang w:val="en-GB"/>
        </w:rPr>
        <w:t xml:space="preserve">repairs expenditure within the HRA </w:t>
      </w:r>
      <w:r w:rsidR="00EF0DBA">
        <w:rPr>
          <w:rFonts w:ascii="Arial" w:hAnsi="Arial" w:cs="Arial"/>
          <w:color w:val="auto"/>
          <w:lang w:val="en-GB"/>
        </w:rPr>
        <w:t xml:space="preserve">over the </w:t>
      </w:r>
      <w:r w:rsidR="004F6628">
        <w:rPr>
          <w:rFonts w:ascii="Arial" w:hAnsi="Arial" w:cs="Arial"/>
          <w:color w:val="auto"/>
          <w:lang w:val="en-GB"/>
        </w:rPr>
        <w:t>five-</w:t>
      </w:r>
      <w:r w:rsidR="00582F50">
        <w:rPr>
          <w:rFonts w:ascii="Arial" w:hAnsi="Arial" w:cs="Arial"/>
          <w:color w:val="auto"/>
          <w:lang w:val="en-GB"/>
        </w:rPr>
        <w:t>y</w:t>
      </w:r>
      <w:r w:rsidR="004F6628">
        <w:rPr>
          <w:rFonts w:ascii="Arial" w:hAnsi="Arial" w:cs="Arial"/>
          <w:color w:val="auto"/>
          <w:lang w:val="en-GB"/>
        </w:rPr>
        <w:t xml:space="preserve">ear MTFS </w:t>
      </w:r>
      <w:r w:rsidR="00EF0DBA">
        <w:rPr>
          <w:rFonts w:ascii="Arial" w:hAnsi="Arial" w:cs="Arial"/>
          <w:color w:val="auto"/>
          <w:lang w:val="en-GB"/>
        </w:rPr>
        <w:t xml:space="preserve">period </w:t>
      </w:r>
      <w:r w:rsidR="00E05BC4">
        <w:rPr>
          <w:rFonts w:ascii="Arial" w:hAnsi="Arial" w:cs="Arial"/>
          <w:color w:val="auto"/>
          <w:lang w:val="en-GB"/>
        </w:rPr>
        <w:t>is</w:t>
      </w:r>
      <w:r w:rsidR="00EF0DBA">
        <w:rPr>
          <w:rFonts w:ascii="Arial" w:hAnsi="Arial" w:cs="Arial"/>
          <w:color w:val="auto"/>
          <w:lang w:val="en-GB"/>
        </w:rPr>
        <w:t xml:space="preserve"> </w:t>
      </w:r>
      <w:r w:rsidR="00EF0DBA" w:rsidRPr="00ED5CBA">
        <w:rPr>
          <w:rFonts w:ascii="Arial" w:hAnsi="Arial" w:cs="Arial"/>
          <w:color w:val="auto"/>
          <w:lang w:val="en-GB"/>
        </w:rPr>
        <w:t>£</w:t>
      </w:r>
      <w:r w:rsidR="003D04EE" w:rsidRPr="00ED5CBA">
        <w:rPr>
          <w:rFonts w:ascii="Arial" w:hAnsi="Arial" w:cs="Arial"/>
          <w:color w:val="auto"/>
          <w:lang w:val="en-GB"/>
        </w:rPr>
        <w:t>12.9</w:t>
      </w:r>
      <w:r w:rsidR="003028CA" w:rsidRPr="00ED5CBA">
        <w:rPr>
          <w:rFonts w:ascii="Arial" w:hAnsi="Arial" w:cs="Arial"/>
          <w:color w:val="auto"/>
          <w:lang w:val="en-GB"/>
        </w:rPr>
        <w:t>78</w:t>
      </w:r>
      <w:r w:rsidR="003D04EE" w:rsidRPr="00ED5CBA">
        <w:rPr>
          <w:rFonts w:ascii="Arial" w:hAnsi="Arial" w:cs="Arial"/>
          <w:color w:val="auto"/>
          <w:lang w:val="en-GB"/>
        </w:rPr>
        <w:t>m p.a.</w:t>
      </w:r>
      <w:r w:rsidR="00E05BC4">
        <w:rPr>
          <w:rFonts w:ascii="Arial" w:hAnsi="Arial" w:cs="Arial"/>
          <w:color w:val="auto"/>
          <w:lang w:val="en-GB"/>
        </w:rPr>
        <w:t xml:space="preserve"> </w:t>
      </w:r>
    </w:p>
    <w:p w14:paraId="6F22F76E" w14:textId="77777777" w:rsidR="00742977" w:rsidRPr="003D1725" w:rsidRDefault="00742977" w:rsidP="00742977">
      <w:pPr>
        <w:pStyle w:val="Default"/>
        <w:spacing w:after="220"/>
        <w:jc w:val="both"/>
        <w:rPr>
          <w:rFonts w:ascii="Arial" w:hAnsi="Arial" w:cs="Arial"/>
          <w:b/>
          <w:color w:val="auto"/>
          <w:szCs w:val="20"/>
          <w:lang w:val="en-GB"/>
        </w:rPr>
      </w:pPr>
      <w:r w:rsidRPr="003D1725">
        <w:rPr>
          <w:rFonts w:ascii="Arial" w:hAnsi="Arial" w:cs="Arial"/>
          <w:b/>
          <w:color w:val="auto"/>
          <w:szCs w:val="20"/>
          <w:lang w:val="en-GB"/>
        </w:rPr>
        <w:t>Funding the Capital Programme</w:t>
      </w:r>
    </w:p>
    <w:p w14:paraId="2B7B227C" w14:textId="0606F056" w:rsidR="00742977" w:rsidRPr="003D1725" w:rsidRDefault="00742977" w:rsidP="00742977">
      <w:pPr>
        <w:autoSpaceDE w:val="0"/>
        <w:autoSpaceDN w:val="0"/>
        <w:adjustRightInd w:val="0"/>
        <w:jc w:val="both"/>
        <w:rPr>
          <w:rFonts w:ascii="Arial" w:hAnsi="Arial" w:cs="Arial"/>
        </w:rPr>
      </w:pPr>
      <w:r w:rsidRPr="003D1725">
        <w:rPr>
          <w:rFonts w:ascii="Arial" w:hAnsi="Arial" w:cs="Arial"/>
        </w:rPr>
        <w:t xml:space="preserve">Under the HRA self-financing system the primary source of funding for capital investment in the Council’s housing stock will be from the revenue account through asset depreciation charges and </w:t>
      </w:r>
      <w:r w:rsidR="002B79B2" w:rsidRPr="003D1725">
        <w:rPr>
          <w:rFonts w:ascii="Arial" w:hAnsi="Arial" w:cs="Arial"/>
        </w:rPr>
        <w:t>revenue contributions to capital outlay (RCCO)</w:t>
      </w:r>
      <w:r w:rsidRPr="003D1725">
        <w:rPr>
          <w:rFonts w:ascii="Arial" w:hAnsi="Arial" w:cs="Arial"/>
        </w:rPr>
        <w:t xml:space="preserve"> via the Major Repairs Reserve.  </w:t>
      </w:r>
    </w:p>
    <w:p w14:paraId="2DE6BBB3" w14:textId="77777777" w:rsidR="00742977" w:rsidRPr="003D1725" w:rsidRDefault="00742977" w:rsidP="00742977">
      <w:pPr>
        <w:autoSpaceDE w:val="0"/>
        <w:autoSpaceDN w:val="0"/>
        <w:adjustRightInd w:val="0"/>
        <w:jc w:val="both"/>
        <w:rPr>
          <w:rFonts w:ascii="Arial" w:hAnsi="Arial" w:cs="Arial"/>
        </w:rPr>
      </w:pPr>
    </w:p>
    <w:p w14:paraId="07BB94E7" w14:textId="71B0EF91" w:rsidR="00742977" w:rsidRPr="005C6861" w:rsidRDefault="00966A70" w:rsidP="00742977">
      <w:pPr>
        <w:autoSpaceDE w:val="0"/>
        <w:autoSpaceDN w:val="0"/>
        <w:adjustRightInd w:val="0"/>
        <w:jc w:val="both"/>
        <w:rPr>
          <w:rFonts w:ascii="Arial" w:hAnsi="Arial" w:cs="Arial"/>
        </w:rPr>
      </w:pPr>
      <w:r>
        <w:rPr>
          <w:rFonts w:ascii="Arial" w:hAnsi="Arial" w:cs="Arial"/>
        </w:rPr>
        <w:t>D</w:t>
      </w:r>
      <w:r w:rsidR="00753FF8" w:rsidRPr="003D1725">
        <w:rPr>
          <w:rFonts w:ascii="Arial" w:hAnsi="Arial" w:cs="Arial"/>
        </w:rPr>
        <w:t xml:space="preserve">epreciation and </w:t>
      </w:r>
      <w:r w:rsidR="005919E3" w:rsidRPr="003D1725">
        <w:rPr>
          <w:rFonts w:ascii="Arial" w:hAnsi="Arial" w:cs="Arial"/>
        </w:rPr>
        <w:t>revenue contributions to capital outlay</w:t>
      </w:r>
      <w:r>
        <w:rPr>
          <w:rFonts w:ascii="Arial" w:hAnsi="Arial" w:cs="Arial"/>
        </w:rPr>
        <w:t xml:space="preserve"> </w:t>
      </w:r>
      <w:r w:rsidRPr="003D1725">
        <w:rPr>
          <w:rFonts w:ascii="Arial" w:hAnsi="Arial" w:cs="Arial"/>
        </w:rPr>
        <w:t>over the five-year MTFS period</w:t>
      </w:r>
      <w:r>
        <w:rPr>
          <w:rFonts w:ascii="Arial" w:hAnsi="Arial" w:cs="Arial"/>
        </w:rPr>
        <w:t xml:space="preserve"> total </w:t>
      </w:r>
      <w:r w:rsidRPr="3E0BA1CA">
        <w:rPr>
          <w:rFonts w:ascii="Arial" w:hAnsi="Arial" w:cs="Arial"/>
        </w:rPr>
        <w:t>£</w:t>
      </w:r>
      <w:r w:rsidR="002573D9" w:rsidRPr="3E0BA1CA">
        <w:rPr>
          <w:rFonts w:ascii="Arial" w:hAnsi="Arial" w:cs="Arial"/>
        </w:rPr>
        <w:t>70.472</w:t>
      </w:r>
      <w:r w:rsidR="004F6628" w:rsidRPr="3E0BA1CA">
        <w:rPr>
          <w:rFonts w:ascii="Arial" w:hAnsi="Arial" w:cs="Arial"/>
        </w:rPr>
        <w:t>m.</w:t>
      </w:r>
    </w:p>
    <w:p w14:paraId="424C1159" w14:textId="77777777" w:rsidR="00742977" w:rsidRPr="005C6861" w:rsidRDefault="00742977" w:rsidP="00742977">
      <w:pPr>
        <w:autoSpaceDE w:val="0"/>
        <w:autoSpaceDN w:val="0"/>
        <w:adjustRightInd w:val="0"/>
        <w:jc w:val="both"/>
        <w:rPr>
          <w:rFonts w:ascii="Arial" w:hAnsi="Arial" w:cs="Arial"/>
        </w:rPr>
      </w:pPr>
    </w:p>
    <w:p w14:paraId="7B425C58" w14:textId="77777777" w:rsidR="004F742F" w:rsidRPr="005C6861" w:rsidRDefault="004F742F" w:rsidP="003B0265">
      <w:pPr>
        <w:pStyle w:val="Default"/>
        <w:spacing w:after="220"/>
        <w:jc w:val="both"/>
        <w:rPr>
          <w:rFonts w:ascii="Arial" w:hAnsi="Arial" w:cs="Arial"/>
          <w:b/>
          <w:bCs/>
          <w:color w:val="C45911"/>
          <w:sz w:val="28"/>
        </w:rPr>
      </w:pPr>
      <w:bookmarkStart w:id="2" w:name="_Hlk90375010"/>
      <w:r w:rsidRPr="005C6861">
        <w:rPr>
          <w:rFonts w:ascii="Arial" w:hAnsi="Arial" w:cs="Arial"/>
          <w:b/>
          <w:bCs/>
          <w:color w:val="C45911"/>
          <w:sz w:val="28"/>
        </w:rPr>
        <w:t>Resource</w:t>
      </w:r>
      <w:r w:rsidR="00AF15ED">
        <w:rPr>
          <w:rFonts w:ascii="Arial" w:hAnsi="Arial" w:cs="Arial"/>
          <w:b/>
          <w:bCs/>
          <w:color w:val="C45911"/>
          <w:sz w:val="28"/>
        </w:rPr>
        <w:t xml:space="preserve"> Assumptions</w:t>
      </w:r>
    </w:p>
    <w:p w14:paraId="3BDD9414" w14:textId="77777777" w:rsidR="004F742F" w:rsidRPr="00B725C9" w:rsidRDefault="004F742F" w:rsidP="004F742F">
      <w:pPr>
        <w:pStyle w:val="Default"/>
        <w:spacing w:after="220"/>
        <w:jc w:val="both"/>
        <w:rPr>
          <w:rFonts w:ascii="Arial" w:hAnsi="Arial" w:cs="Arial"/>
          <w:b/>
          <w:color w:val="auto"/>
          <w:szCs w:val="20"/>
          <w:lang w:val="en-GB"/>
        </w:rPr>
      </w:pPr>
      <w:r w:rsidRPr="00B725C9">
        <w:rPr>
          <w:rFonts w:ascii="Arial" w:hAnsi="Arial" w:cs="Arial"/>
          <w:b/>
          <w:color w:val="auto"/>
          <w:szCs w:val="20"/>
          <w:lang w:val="en-GB"/>
        </w:rPr>
        <w:t xml:space="preserve">Rents </w:t>
      </w:r>
    </w:p>
    <w:p w14:paraId="13696329" w14:textId="27C95F1F" w:rsidR="0000019E" w:rsidRPr="00A4716C" w:rsidRDefault="0029255B" w:rsidP="00CB7B27">
      <w:pPr>
        <w:pStyle w:val="BodyText"/>
        <w:autoSpaceDE w:val="0"/>
        <w:autoSpaceDN w:val="0"/>
        <w:adjustRightInd w:val="0"/>
        <w:jc w:val="both"/>
        <w:rPr>
          <w:b w:val="0"/>
          <w:bCs w:val="0"/>
          <w:highlight w:val="cyan"/>
          <w:lang w:val="en-US"/>
        </w:rPr>
      </w:pPr>
      <w:r w:rsidRPr="00EB62C7">
        <w:rPr>
          <w:b w:val="0"/>
          <w:lang w:val="en-US"/>
        </w:rPr>
        <w:t xml:space="preserve">In </w:t>
      </w:r>
      <w:r w:rsidR="00750212" w:rsidRPr="00EB62C7">
        <w:rPr>
          <w:b w:val="0"/>
          <w:lang w:val="en-US"/>
        </w:rPr>
        <w:t>July 2025</w:t>
      </w:r>
      <w:r w:rsidR="007A082C" w:rsidRPr="00EB62C7">
        <w:rPr>
          <w:b w:val="0"/>
          <w:lang w:val="en-US"/>
        </w:rPr>
        <w:t>,</w:t>
      </w:r>
      <w:r w:rsidRPr="00EB62C7">
        <w:rPr>
          <w:b w:val="0"/>
          <w:lang w:val="en-US"/>
        </w:rPr>
        <w:t xml:space="preserve"> the</w:t>
      </w:r>
      <w:r w:rsidRPr="00EB62C7">
        <w:rPr>
          <w:lang w:val="en-US"/>
        </w:rPr>
        <w:t xml:space="preserve"> </w:t>
      </w:r>
      <w:r w:rsidR="008C6C60" w:rsidRPr="00EB62C7">
        <w:rPr>
          <w:b w:val="0"/>
          <w:lang w:val="en-US"/>
        </w:rPr>
        <w:t>Governmen</w:t>
      </w:r>
      <w:r w:rsidR="004F6628">
        <w:rPr>
          <w:b w:val="0"/>
          <w:lang w:val="en-US"/>
        </w:rPr>
        <w:t>t</w:t>
      </w:r>
      <w:r w:rsidR="00086F16" w:rsidRPr="00EB62C7">
        <w:rPr>
          <w:b w:val="0"/>
          <w:lang w:val="en-US"/>
        </w:rPr>
        <w:t xml:space="preserve"> </w:t>
      </w:r>
      <w:r w:rsidR="004F6628">
        <w:rPr>
          <w:b w:val="0"/>
          <w:lang w:val="en-US"/>
        </w:rPr>
        <w:t xml:space="preserve">announced, for the first time, </w:t>
      </w:r>
      <w:r w:rsidR="00086F16" w:rsidRPr="00EB62C7">
        <w:rPr>
          <w:b w:val="0"/>
          <w:lang w:val="en-US"/>
        </w:rPr>
        <w:t xml:space="preserve">a </w:t>
      </w:r>
      <w:r w:rsidR="007C6437" w:rsidRPr="00EB62C7">
        <w:rPr>
          <w:b w:val="0"/>
          <w:lang w:val="en-US"/>
        </w:rPr>
        <w:t>10-year</w:t>
      </w:r>
      <w:r w:rsidR="000743B1" w:rsidRPr="00EB62C7">
        <w:rPr>
          <w:b w:val="0"/>
          <w:lang w:val="en-US"/>
        </w:rPr>
        <w:t xml:space="preserve"> settlement </w:t>
      </w:r>
      <w:r w:rsidR="003F1DC3" w:rsidRPr="00EB62C7">
        <w:rPr>
          <w:b w:val="0"/>
          <w:lang w:val="en-US"/>
        </w:rPr>
        <w:t xml:space="preserve">on </w:t>
      </w:r>
      <w:r w:rsidR="002D3618" w:rsidRPr="00EB62C7">
        <w:rPr>
          <w:b w:val="0"/>
          <w:lang w:val="en-US"/>
        </w:rPr>
        <w:t>rent policy</w:t>
      </w:r>
      <w:r w:rsidR="0068118B" w:rsidRPr="00EB62C7">
        <w:rPr>
          <w:b w:val="0"/>
          <w:lang w:val="en-US"/>
        </w:rPr>
        <w:t xml:space="preserve"> giving </w:t>
      </w:r>
      <w:r w:rsidR="009B1B71" w:rsidRPr="00EB62C7">
        <w:rPr>
          <w:b w:val="0"/>
          <w:lang w:val="en-US"/>
        </w:rPr>
        <w:t>Councils mu</w:t>
      </w:r>
      <w:r w:rsidR="002146C5" w:rsidRPr="00EB62C7">
        <w:rPr>
          <w:b w:val="0"/>
          <w:lang w:val="en-US"/>
        </w:rPr>
        <w:t>ch</w:t>
      </w:r>
      <w:r w:rsidR="009B1B71" w:rsidRPr="00EB62C7">
        <w:rPr>
          <w:b w:val="0"/>
          <w:lang w:val="en-US"/>
        </w:rPr>
        <w:t xml:space="preserve"> need</w:t>
      </w:r>
      <w:r w:rsidR="002146C5" w:rsidRPr="00EB62C7">
        <w:rPr>
          <w:b w:val="0"/>
          <w:lang w:val="en-US"/>
        </w:rPr>
        <w:t>ed</w:t>
      </w:r>
      <w:r w:rsidR="009B1B71" w:rsidRPr="00EB62C7">
        <w:rPr>
          <w:b w:val="0"/>
          <w:lang w:val="en-US"/>
        </w:rPr>
        <w:t xml:space="preserve"> </w:t>
      </w:r>
      <w:r w:rsidR="00EB62C7" w:rsidRPr="00EB62C7">
        <w:rPr>
          <w:b w:val="0"/>
          <w:bCs w:val="0"/>
          <w:lang w:val="en-US"/>
        </w:rPr>
        <w:t>c</w:t>
      </w:r>
      <w:r w:rsidR="00F23855" w:rsidRPr="00EB62C7">
        <w:rPr>
          <w:b w:val="0"/>
          <w:bCs w:val="0"/>
          <w:lang w:val="en-US"/>
        </w:rPr>
        <w:t>ertainty over</w:t>
      </w:r>
      <w:r w:rsidR="00EB62C7" w:rsidRPr="00EB62C7">
        <w:rPr>
          <w:b w:val="0"/>
          <w:bCs w:val="0"/>
          <w:lang w:val="en-US"/>
        </w:rPr>
        <w:t xml:space="preserve"> cash-flows </w:t>
      </w:r>
      <w:r w:rsidR="00EB62C7">
        <w:rPr>
          <w:b w:val="0"/>
          <w:bCs w:val="0"/>
          <w:lang w:val="en-US"/>
        </w:rPr>
        <w:t xml:space="preserve">and investments </w:t>
      </w:r>
      <w:r w:rsidR="00EB62C7" w:rsidRPr="00EB62C7">
        <w:rPr>
          <w:b w:val="0"/>
          <w:bCs w:val="0"/>
          <w:lang w:val="en-US"/>
        </w:rPr>
        <w:t xml:space="preserve">in the medium to long </w:t>
      </w:r>
      <w:r w:rsidR="00F23855" w:rsidRPr="00EB62C7">
        <w:rPr>
          <w:b w:val="0"/>
          <w:lang w:val="en-US"/>
        </w:rPr>
        <w:t>term</w:t>
      </w:r>
      <w:r w:rsidR="00AD5F7A" w:rsidRPr="00EB62C7">
        <w:rPr>
          <w:b w:val="0"/>
          <w:lang w:val="en-US"/>
        </w:rPr>
        <w:t>.</w:t>
      </w:r>
      <w:r w:rsidR="00AD5F7A">
        <w:rPr>
          <w:b w:val="0"/>
          <w:bCs w:val="0"/>
          <w:highlight w:val="cyan"/>
          <w:lang w:val="en-US"/>
        </w:rPr>
        <w:t xml:space="preserve"> </w:t>
      </w:r>
    </w:p>
    <w:p w14:paraId="0B26CF17" w14:textId="77777777" w:rsidR="00750212" w:rsidRPr="00A4716C" w:rsidRDefault="00750212" w:rsidP="00CB7B27">
      <w:pPr>
        <w:pStyle w:val="BodyText"/>
        <w:autoSpaceDE w:val="0"/>
        <w:autoSpaceDN w:val="0"/>
        <w:adjustRightInd w:val="0"/>
        <w:jc w:val="both"/>
        <w:rPr>
          <w:b w:val="0"/>
          <w:bCs w:val="0"/>
          <w:highlight w:val="cyan"/>
          <w:lang w:val="en-US"/>
        </w:rPr>
      </w:pPr>
    </w:p>
    <w:p w14:paraId="36D313D6" w14:textId="77777777" w:rsidR="0066189B" w:rsidRDefault="009C7A30" w:rsidP="00484C30">
      <w:pPr>
        <w:pStyle w:val="BodyText"/>
        <w:autoSpaceDE w:val="0"/>
        <w:autoSpaceDN w:val="0"/>
        <w:adjustRightInd w:val="0"/>
        <w:jc w:val="both"/>
        <w:rPr>
          <w:b w:val="0"/>
        </w:rPr>
      </w:pPr>
      <w:r>
        <w:rPr>
          <w:b w:val="0"/>
        </w:rPr>
        <w:t>T</w:t>
      </w:r>
      <w:r w:rsidR="003C19DD">
        <w:rPr>
          <w:b w:val="0"/>
        </w:rPr>
        <w:t xml:space="preserve">he </w:t>
      </w:r>
      <w:r w:rsidR="00484C30">
        <w:rPr>
          <w:b w:val="0"/>
        </w:rPr>
        <w:t xml:space="preserve">new </w:t>
      </w:r>
      <w:r w:rsidR="003C19DD">
        <w:rPr>
          <w:b w:val="0"/>
        </w:rPr>
        <w:t>rent policy</w:t>
      </w:r>
      <w:r w:rsidR="00484C30" w:rsidRPr="00ED4818">
        <w:rPr>
          <w:b w:val="0"/>
        </w:rPr>
        <w:t xml:space="preserve"> outline</w:t>
      </w:r>
      <w:r>
        <w:rPr>
          <w:b w:val="0"/>
        </w:rPr>
        <w:t>s</w:t>
      </w:r>
      <w:r w:rsidR="00484C30" w:rsidRPr="00ED4818">
        <w:rPr>
          <w:b w:val="0"/>
        </w:rPr>
        <w:t xml:space="preserve"> that social rents should </w:t>
      </w:r>
      <w:r w:rsidR="00484C30">
        <w:rPr>
          <w:b w:val="0"/>
        </w:rPr>
        <w:t xml:space="preserve">continue to </w:t>
      </w:r>
      <w:r w:rsidR="00484C30" w:rsidRPr="00ED4818">
        <w:rPr>
          <w:b w:val="0"/>
        </w:rPr>
        <w:t xml:space="preserve">increase by a maximum of CPI+1% for 10 years </w:t>
      </w:r>
      <w:r w:rsidR="00484C30">
        <w:rPr>
          <w:b w:val="0"/>
        </w:rPr>
        <w:t>from April</w:t>
      </w:r>
      <w:r w:rsidR="00484C30" w:rsidRPr="00ED4818">
        <w:rPr>
          <w:b w:val="0"/>
        </w:rPr>
        <w:t xml:space="preserve"> 2026, consistent with assumptions that the MTFS has historically been based on</w:t>
      </w:r>
      <w:r w:rsidR="0066189B">
        <w:rPr>
          <w:b w:val="0"/>
        </w:rPr>
        <w:t>, and of those within the HRA’s 30-year Housing Business Plan</w:t>
      </w:r>
      <w:r w:rsidR="00484C30" w:rsidRPr="00ED4818">
        <w:rPr>
          <w:b w:val="0"/>
        </w:rPr>
        <w:t xml:space="preserve">.  </w:t>
      </w:r>
    </w:p>
    <w:p w14:paraId="3131A5A8" w14:textId="77777777" w:rsidR="0066189B" w:rsidRDefault="0066189B" w:rsidP="00484C30">
      <w:pPr>
        <w:pStyle w:val="BodyText"/>
        <w:autoSpaceDE w:val="0"/>
        <w:autoSpaceDN w:val="0"/>
        <w:adjustRightInd w:val="0"/>
        <w:jc w:val="both"/>
        <w:rPr>
          <w:b w:val="0"/>
        </w:rPr>
      </w:pPr>
    </w:p>
    <w:p w14:paraId="3C8FFC1B" w14:textId="23BD8D8E" w:rsidR="00484C30" w:rsidRPr="003D650A" w:rsidRDefault="00F07BFA" w:rsidP="00484C30">
      <w:pPr>
        <w:pStyle w:val="BodyText"/>
        <w:autoSpaceDE w:val="0"/>
        <w:autoSpaceDN w:val="0"/>
        <w:adjustRightInd w:val="0"/>
        <w:jc w:val="both"/>
        <w:rPr>
          <w:b w:val="0"/>
        </w:rPr>
      </w:pPr>
      <w:r>
        <w:rPr>
          <w:b w:val="0"/>
        </w:rPr>
        <w:t xml:space="preserve">This </w:t>
      </w:r>
      <w:r w:rsidR="003D4AAA">
        <w:rPr>
          <w:b w:val="0"/>
        </w:rPr>
        <w:t>latest settlement</w:t>
      </w:r>
      <w:r>
        <w:rPr>
          <w:b w:val="0"/>
        </w:rPr>
        <w:t xml:space="preserve"> follows </w:t>
      </w:r>
      <w:r w:rsidR="00740394">
        <w:rPr>
          <w:b w:val="0"/>
        </w:rPr>
        <w:t xml:space="preserve">a series of 1-year settlements </w:t>
      </w:r>
      <w:r w:rsidR="009D40CB">
        <w:rPr>
          <w:b w:val="0"/>
        </w:rPr>
        <w:t xml:space="preserve">whereby </w:t>
      </w:r>
      <w:r w:rsidR="00A33E1C">
        <w:rPr>
          <w:b w:val="0"/>
        </w:rPr>
        <w:t>in 2023/24</w:t>
      </w:r>
      <w:r w:rsidR="00484C30">
        <w:rPr>
          <w:b w:val="0"/>
        </w:rPr>
        <w:t xml:space="preserve"> Government, </w:t>
      </w:r>
      <w:r w:rsidR="00484C30" w:rsidRPr="003D650A">
        <w:rPr>
          <w:b w:val="0"/>
        </w:rPr>
        <w:t>in light of record inflation levels, imposed a cap on rent increases of 7%, as CPI +1% would have allowed rent increases of up to 11.1%.  No such cap was imposed for 2024/25</w:t>
      </w:r>
      <w:r w:rsidR="004C0623">
        <w:rPr>
          <w:b w:val="0"/>
        </w:rPr>
        <w:t xml:space="preserve"> or 2025/26</w:t>
      </w:r>
      <w:r w:rsidR="00484C30" w:rsidRPr="003D650A">
        <w:rPr>
          <w:b w:val="0"/>
        </w:rPr>
        <w:t xml:space="preserve">, and the maximum increase reverted to CPI+1%. </w:t>
      </w:r>
    </w:p>
    <w:p w14:paraId="25E4C0AB" w14:textId="77777777" w:rsidR="0000019E" w:rsidRPr="00DB4028" w:rsidRDefault="0000019E" w:rsidP="00CB7B27">
      <w:pPr>
        <w:pStyle w:val="BodyText"/>
        <w:autoSpaceDE w:val="0"/>
        <w:autoSpaceDN w:val="0"/>
        <w:adjustRightInd w:val="0"/>
        <w:jc w:val="both"/>
        <w:rPr>
          <w:b w:val="0"/>
          <w:lang w:val="en-US"/>
        </w:rPr>
      </w:pPr>
    </w:p>
    <w:p w14:paraId="66CA2681" w14:textId="66085F20" w:rsidR="00306D01" w:rsidRPr="00DB4028" w:rsidRDefault="00306D01" w:rsidP="00306D01">
      <w:pPr>
        <w:pStyle w:val="BodyText"/>
        <w:autoSpaceDE w:val="0"/>
        <w:autoSpaceDN w:val="0"/>
        <w:adjustRightInd w:val="0"/>
        <w:jc w:val="both"/>
        <w:rPr>
          <w:b w:val="0"/>
          <w:lang w:val="en-US"/>
        </w:rPr>
      </w:pPr>
      <w:r w:rsidRPr="00DB4028">
        <w:rPr>
          <w:b w:val="0"/>
          <w:lang w:val="en-US"/>
        </w:rPr>
        <w:t xml:space="preserve">The Council’s housing stock includes a number of properties that were partly funded by HCA grants on the condition that they are to be let on the basis of an affordable rent rather than on social rents. In addition,  a number of other dwellings that are </w:t>
      </w:r>
      <w:r w:rsidR="00DB4028">
        <w:rPr>
          <w:b w:val="0"/>
          <w:bCs w:val="0"/>
          <w:lang w:val="en-US"/>
        </w:rPr>
        <w:t xml:space="preserve">also </w:t>
      </w:r>
      <w:r w:rsidRPr="00DB4028">
        <w:rPr>
          <w:b w:val="0"/>
          <w:lang w:val="en-US"/>
        </w:rPr>
        <w:t>let on the basis of an affordable</w:t>
      </w:r>
      <w:r w:rsidR="00DB4028">
        <w:rPr>
          <w:b w:val="0"/>
          <w:bCs w:val="0"/>
          <w:lang w:val="en-US"/>
        </w:rPr>
        <w:t>,</w:t>
      </w:r>
      <w:r w:rsidRPr="00DB4028">
        <w:rPr>
          <w:b w:val="0"/>
          <w:lang w:val="en-US"/>
        </w:rPr>
        <w:t xml:space="preserve"> rather than social</w:t>
      </w:r>
      <w:r w:rsidR="00DB4028">
        <w:rPr>
          <w:b w:val="0"/>
          <w:bCs w:val="0"/>
          <w:lang w:val="en-US"/>
        </w:rPr>
        <w:t>,</w:t>
      </w:r>
      <w:r w:rsidRPr="00DB4028">
        <w:rPr>
          <w:b w:val="0"/>
          <w:lang w:val="en-US"/>
        </w:rPr>
        <w:t xml:space="preserve"> rent.  Affordable rents are let at 80% of market rent levels in the local area</w:t>
      </w:r>
      <w:r w:rsidR="00562F07">
        <w:rPr>
          <w:b w:val="0"/>
          <w:bCs w:val="0"/>
          <w:lang w:val="en-US"/>
        </w:rPr>
        <w:t xml:space="preserve">, however </w:t>
      </w:r>
      <w:r w:rsidR="00CA6C3A">
        <w:rPr>
          <w:b w:val="0"/>
          <w:bCs w:val="0"/>
          <w:lang w:val="en-US"/>
        </w:rPr>
        <w:t>rent increases have to be in accordance with the Government’s rent policy. T</w:t>
      </w:r>
      <w:r w:rsidRPr="00DB4028">
        <w:rPr>
          <w:b w:val="0"/>
          <w:bCs w:val="0"/>
          <w:lang w:val="en-US"/>
        </w:rPr>
        <w:t>he</w:t>
      </w:r>
      <w:r w:rsidRPr="00DB4028">
        <w:rPr>
          <w:b w:val="0"/>
          <w:lang w:val="en-US"/>
        </w:rPr>
        <w:t xml:space="preserve"> MTFS assumes rental increases in line with social rents for its affordable rents.</w:t>
      </w:r>
    </w:p>
    <w:p w14:paraId="6135CC3D" w14:textId="77777777" w:rsidR="00CB7B27" w:rsidRPr="00DB4028" w:rsidRDefault="00CB7B27" w:rsidP="004F742F">
      <w:pPr>
        <w:pStyle w:val="BodyText"/>
        <w:autoSpaceDE w:val="0"/>
        <w:autoSpaceDN w:val="0"/>
        <w:adjustRightInd w:val="0"/>
        <w:jc w:val="both"/>
        <w:rPr>
          <w:b w:val="0"/>
          <w:lang w:val="en-US"/>
        </w:rPr>
      </w:pPr>
    </w:p>
    <w:p w14:paraId="7D3A72D7" w14:textId="00360D03" w:rsidR="007509C1" w:rsidRPr="0091399E" w:rsidRDefault="008804B2" w:rsidP="00110027">
      <w:pPr>
        <w:jc w:val="both"/>
        <w:rPr>
          <w:rFonts w:ascii="Arial" w:hAnsi="Arial" w:cs="Arial"/>
          <w:szCs w:val="20"/>
        </w:rPr>
      </w:pPr>
      <w:bookmarkStart w:id="3" w:name="_Hlk59615814"/>
      <w:r>
        <w:rPr>
          <w:rFonts w:ascii="Arial" w:hAnsi="Arial" w:cs="Arial"/>
        </w:rPr>
        <w:t>In line with Government’s rent policy, based on the</w:t>
      </w:r>
      <w:r w:rsidR="000C4084" w:rsidRPr="00F83C98">
        <w:rPr>
          <w:rFonts w:ascii="Arial" w:hAnsi="Arial" w:cs="Arial"/>
        </w:rPr>
        <w:t xml:space="preserve"> CPI </w:t>
      </w:r>
      <w:r w:rsidR="00DB72B0" w:rsidRPr="00F83C98">
        <w:rPr>
          <w:rFonts w:ascii="Arial" w:hAnsi="Arial" w:cs="Arial"/>
        </w:rPr>
        <w:t>rate for September 202</w:t>
      </w:r>
      <w:r w:rsidR="00A223E8" w:rsidRPr="00F83C98">
        <w:rPr>
          <w:rFonts w:ascii="Arial" w:hAnsi="Arial" w:cs="Arial"/>
        </w:rPr>
        <w:t>5</w:t>
      </w:r>
      <w:r w:rsidR="00F86F88" w:rsidRPr="00F83C98">
        <w:rPr>
          <w:rFonts w:ascii="Arial" w:hAnsi="Arial" w:cs="Arial"/>
        </w:rPr>
        <w:t xml:space="preserve"> </w:t>
      </w:r>
      <w:r>
        <w:rPr>
          <w:rFonts w:ascii="Arial" w:hAnsi="Arial" w:cs="Arial"/>
        </w:rPr>
        <w:t>of</w:t>
      </w:r>
      <w:r w:rsidR="00CD3382" w:rsidRPr="00F83C98">
        <w:rPr>
          <w:rFonts w:ascii="Arial" w:hAnsi="Arial" w:cs="Arial"/>
        </w:rPr>
        <w:t xml:space="preserve"> </w:t>
      </w:r>
      <w:r w:rsidR="00A223E8" w:rsidRPr="00F83C98">
        <w:rPr>
          <w:rFonts w:ascii="Arial" w:hAnsi="Arial" w:cs="Arial"/>
        </w:rPr>
        <w:t>3.8</w:t>
      </w:r>
      <w:r w:rsidR="00DB72B0" w:rsidRPr="00F83C98">
        <w:rPr>
          <w:rFonts w:ascii="Arial" w:hAnsi="Arial" w:cs="Arial"/>
        </w:rPr>
        <w:t xml:space="preserve">%, </w:t>
      </w:r>
      <w:r>
        <w:rPr>
          <w:rFonts w:ascii="Arial" w:hAnsi="Arial" w:cs="Arial"/>
        </w:rPr>
        <w:t>the maximum</w:t>
      </w:r>
      <w:r w:rsidR="00C44AFC" w:rsidRPr="00F83C98">
        <w:rPr>
          <w:rFonts w:ascii="Arial" w:hAnsi="Arial" w:cs="Arial"/>
        </w:rPr>
        <w:t xml:space="preserve"> </w:t>
      </w:r>
      <w:r w:rsidR="003F3287" w:rsidRPr="00F83C98">
        <w:rPr>
          <w:rFonts w:ascii="Arial" w:hAnsi="Arial" w:cs="Arial"/>
        </w:rPr>
        <w:t xml:space="preserve">permitted to </w:t>
      </w:r>
      <w:r>
        <w:rPr>
          <w:rFonts w:ascii="Arial" w:hAnsi="Arial" w:cs="Arial"/>
        </w:rPr>
        <w:t xml:space="preserve">rent </w:t>
      </w:r>
      <w:r w:rsidR="003F3287" w:rsidRPr="00F83C98">
        <w:rPr>
          <w:rFonts w:ascii="Arial" w:hAnsi="Arial" w:cs="Arial"/>
        </w:rPr>
        <w:t xml:space="preserve">increase </w:t>
      </w:r>
      <w:r>
        <w:rPr>
          <w:rFonts w:ascii="Arial" w:hAnsi="Arial" w:cs="Arial"/>
        </w:rPr>
        <w:t xml:space="preserve">for 2026/27 is </w:t>
      </w:r>
      <w:r w:rsidR="00734EBE" w:rsidRPr="00F83C98">
        <w:rPr>
          <w:rFonts w:ascii="Arial" w:hAnsi="Arial" w:cs="Arial"/>
        </w:rPr>
        <w:t>4.8%.  The Council are</w:t>
      </w:r>
      <w:r w:rsidR="00CF4488" w:rsidRPr="00F83C98">
        <w:rPr>
          <w:rFonts w:ascii="Arial" w:hAnsi="Arial" w:cs="Arial"/>
        </w:rPr>
        <w:t xml:space="preserve"> however</w:t>
      </w:r>
      <w:r w:rsidR="00734EBE" w:rsidRPr="00F83C98">
        <w:rPr>
          <w:rFonts w:ascii="Arial" w:hAnsi="Arial" w:cs="Arial"/>
        </w:rPr>
        <w:t xml:space="preserve"> </w:t>
      </w:r>
      <w:r w:rsidR="00C44AFC" w:rsidRPr="00F83C98">
        <w:rPr>
          <w:rFonts w:ascii="Arial" w:hAnsi="Arial" w:cs="Arial"/>
        </w:rPr>
        <w:t xml:space="preserve">proposing to </w:t>
      </w:r>
      <w:r w:rsidR="00CF4488" w:rsidRPr="00F83C98">
        <w:rPr>
          <w:rFonts w:ascii="Arial" w:hAnsi="Arial" w:cs="Arial"/>
        </w:rPr>
        <w:t xml:space="preserve">limit the </w:t>
      </w:r>
      <w:r w:rsidR="00C44AFC" w:rsidRPr="00F83C98">
        <w:rPr>
          <w:rFonts w:ascii="Arial" w:hAnsi="Arial" w:cs="Arial"/>
        </w:rPr>
        <w:t xml:space="preserve">increase </w:t>
      </w:r>
      <w:r w:rsidR="00F9505A" w:rsidRPr="00F83C98">
        <w:rPr>
          <w:rFonts w:ascii="Arial" w:hAnsi="Arial" w:cs="Arial"/>
        </w:rPr>
        <w:t xml:space="preserve">in </w:t>
      </w:r>
      <w:r w:rsidR="00C44AFC" w:rsidRPr="00F83C98">
        <w:rPr>
          <w:rFonts w:ascii="Arial" w:hAnsi="Arial" w:cs="Arial"/>
        </w:rPr>
        <w:t>rent</w:t>
      </w:r>
      <w:r w:rsidR="00476284" w:rsidRPr="00F83C98">
        <w:rPr>
          <w:rFonts w:ascii="Arial" w:hAnsi="Arial" w:cs="Arial"/>
        </w:rPr>
        <w:t xml:space="preserve"> </w:t>
      </w:r>
      <w:r>
        <w:rPr>
          <w:rFonts w:ascii="Arial" w:hAnsi="Arial" w:cs="Arial"/>
        </w:rPr>
        <w:t>for 2026/27</w:t>
      </w:r>
      <w:r w:rsidR="002D366A" w:rsidRPr="00F83C98">
        <w:rPr>
          <w:rFonts w:ascii="Arial" w:hAnsi="Arial" w:cs="Arial"/>
        </w:rPr>
        <w:t xml:space="preserve"> to 4%</w:t>
      </w:r>
      <w:r w:rsidR="00C72642" w:rsidRPr="00F83C98">
        <w:rPr>
          <w:rFonts w:ascii="Arial" w:hAnsi="Arial" w:cs="Arial"/>
        </w:rPr>
        <w:t>, on this basis</w:t>
      </w:r>
      <w:r w:rsidR="00F17D29" w:rsidRPr="00F83C98">
        <w:rPr>
          <w:rFonts w:ascii="Arial" w:hAnsi="Arial" w:cs="Arial"/>
        </w:rPr>
        <w:t xml:space="preserve"> </w:t>
      </w:r>
      <w:r w:rsidR="00C72642" w:rsidRPr="00F83C98">
        <w:rPr>
          <w:rFonts w:ascii="Arial" w:hAnsi="Arial" w:cs="Arial"/>
        </w:rPr>
        <w:t>t</w:t>
      </w:r>
      <w:r w:rsidR="007509C1" w:rsidRPr="00F83C98">
        <w:rPr>
          <w:rFonts w:ascii="Arial" w:hAnsi="Arial" w:cs="Arial"/>
          <w:szCs w:val="20"/>
        </w:rPr>
        <w:t>he average 52-week rent for general purpose and sheltered accommodation</w:t>
      </w:r>
      <w:r w:rsidR="0041774D" w:rsidRPr="00F83C98">
        <w:rPr>
          <w:rFonts w:ascii="Arial" w:hAnsi="Arial" w:cs="Arial"/>
          <w:szCs w:val="20"/>
        </w:rPr>
        <w:t xml:space="preserve"> will be </w:t>
      </w:r>
      <w:r w:rsidR="0041774D" w:rsidRPr="00BA1D48">
        <w:rPr>
          <w:rFonts w:ascii="Arial" w:hAnsi="Arial" w:cs="Arial"/>
          <w:szCs w:val="20"/>
        </w:rPr>
        <w:t>£</w:t>
      </w:r>
      <w:r w:rsidR="00BA1D48" w:rsidRPr="00BA1D48">
        <w:rPr>
          <w:rFonts w:ascii="Arial" w:hAnsi="Arial" w:cs="Arial"/>
          <w:szCs w:val="20"/>
        </w:rPr>
        <w:t>90.36</w:t>
      </w:r>
      <w:r w:rsidR="0041774D" w:rsidRPr="00BA1D48">
        <w:rPr>
          <w:rFonts w:ascii="Arial" w:hAnsi="Arial" w:cs="Arial"/>
          <w:szCs w:val="20"/>
        </w:rPr>
        <w:t xml:space="preserve"> per week</w:t>
      </w:r>
      <w:r w:rsidR="007509C1" w:rsidRPr="00BA1D48">
        <w:rPr>
          <w:rFonts w:ascii="Arial" w:hAnsi="Arial" w:cs="Arial"/>
          <w:szCs w:val="20"/>
        </w:rPr>
        <w:t>, and £</w:t>
      </w:r>
      <w:r w:rsidR="00D7245C" w:rsidRPr="00BA1D48">
        <w:rPr>
          <w:rFonts w:ascii="Arial" w:hAnsi="Arial" w:cs="Arial"/>
          <w:szCs w:val="20"/>
        </w:rPr>
        <w:t>14</w:t>
      </w:r>
      <w:r w:rsidR="005459FA" w:rsidRPr="00BA1D48">
        <w:rPr>
          <w:rFonts w:ascii="Arial" w:hAnsi="Arial" w:cs="Arial"/>
          <w:szCs w:val="20"/>
        </w:rPr>
        <w:t>5.</w:t>
      </w:r>
      <w:r w:rsidR="00BA1D48" w:rsidRPr="00BA1D48">
        <w:rPr>
          <w:rFonts w:ascii="Arial" w:hAnsi="Arial" w:cs="Arial"/>
          <w:szCs w:val="20"/>
        </w:rPr>
        <w:t>83</w:t>
      </w:r>
      <w:r w:rsidR="007509C1" w:rsidRPr="00BA1D48">
        <w:rPr>
          <w:rFonts w:ascii="Arial" w:hAnsi="Arial" w:cs="Arial"/>
          <w:szCs w:val="20"/>
        </w:rPr>
        <w:t xml:space="preserve"> for affordable rents</w:t>
      </w:r>
      <w:r w:rsidR="007509C1" w:rsidRPr="0091399E">
        <w:rPr>
          <w:rFonts w:ascii="Arial" w:hAnsi="Arial" w:cs="Arial"/>
          <w:szCs w:val="20"/>
        </w:rPr>
        <w:t>.</w:t>
      </w:r>
      <w:r w:rsidR="000069F1" w:rsidRPr="0091399E">
        <w:rPr>
          <w:rFonts w:ascii="Arial" w:hAnsi="Arial" w:cs="Arial"/>
          <w:szCs w:val="20"/>
        </w:rPr>
        <w:t xml:space="preserve"> The assumption in the MTFS from 202</w:t>
      </w:r>
      <w:r w:rsidR="0091399E">
        <w:rPr>
          <w:rFonts w:ascii="Arial" w:hAnsi="Arial" w:cs="Arial"/>
          <w:szCs w:val="20"/>
        </w:rPr>
        <w:t>7</w:t>
      </w:r>
      <w:r w:rsidR="000069F1" w:rsidRPr="0091399E">
        <w:rPr>
          <w:rFonts w:ascii="Arial" w:hAnsi="Arial" w:cs="Arial"/>
          <w:szCs w:val="20"/>
        </w:rPr>
        <w:t>/2</w:t>
      </w:r>
      <w:r w:rsidR="0091399E">
        <w:rPr>
          <w:rFonts w:ascii="Arial" w:hAnsi="Arial" w:cs="Arial"/>
          <w:szCs w:val="20"/>
        </w:rPr>
        <w:t>8</w:t>
      </w:r>
      <w:r w:rsidR="000069F1" w:rsidRPr="0091399E">
        <w:rPr>
          <w:rFonts w:ascii="Arial" w:hAnsi="Arial" w:cs="Arial"/>
          <w:szCs w:val="20"/>
        </w:rPr>
        <w:t xml:space="preserve"> onwards </w:t>
      </w:r>
      <w:r w:rsidR="006D3074" w:rsidRPr="0091399E">
        <w:rPr>
          <w:rFonts w:ascii="Arial" w:hAnsi="Arial" w:cs="Arial"/>
          <w:szCs w:val="20"/>
        </w:rPr>
        <w:t>maintains</w:t>
      </w:r>
      <w:r w:rsidR="000069F1" w:rsidRPr="0091399E">
        <w:rPr>
          <w:rFonts w:ascii="Arial" w:hAnsi="Arial" w:cs="Arial"/>
          <w:szCs w:val="20"/>
        </w:rPr>
        <w:t xml:space="preserve"> CPI+1%.  </w:t>
      </w:r>
    </w:p>
    <w:p w14:paraId="1EB64307" w14:textId="77777777" w:rsidR="00CB7B27" w:rsidRPr="00A4716C" w:rsidRDefault="00CB7B27" w:rsidP="00F524DF">
      <w:pPr>
        <w:pStyle w:val="Default"/>
        <w:jc w:val="both"/>
        <w:rPr>
          <w:rFonts w:ascii="Arial" w:hAnsi="Arial" w:cs="Arial"/>
          <w:color w:val="auto"/>
          <w:szCs w:val="20"/>
          <w:highlight w:val="cyan"/>
          <w:lang w:val="en-GB"/>
        </w:rPr>
      </w:pPr>
    </w:p>
    <w:p w14:paraId="18C75D7A" w14:textId="1D86B940" w:rsidR="00D21864" w:rsidRPr="007C3211" w:rsidRDefault="00D21864" w:rsidP="00D21864">
      <w:pPr>
        <w:pStyle w:val="Default"/>
        <w:jc w:val="both"/>
        <w:rPr>
          <w:rFonts w:ascii="Arial" w:hAnsi="Arial" w:cs="Arial"/>
          <w:color w:val="auto"/>
          <w:lang w:val="en-GB"/>
        </w:rPr>
      </w:pPr>
      <w:r w:rsidRPr="4003763B">
        <w:rPr>
          <w:rFonts w:ascii="Arial" w:hAnsi="Arial" w:cs="Arial"/>
          <w:color w:val="auto"/>
          <w:lang w:val="en-GB"/>
        </w:rPr>
        <w:t>The table below sets out the impact of rent increases on all tenants, inclusive of all rent types;</w:t>
      </w:r>
    </w:p>
    <w:p w14:paraId="3359D6DB" w14:textId="77777777" w:rsidR="00D21864" w:rsidRPr="00A4716C" w:rsidRDefault="00D21864" w:rsidP="00F524DF">
      <w:pPr>
        <w:pStyle w:val="Default"/>
        <w:jc w:val="both"/>
        <w:rPr>
          <w:rFonts w:ascii="Arial" w:hAnsi="Arial" w:cs="Arial"/>
          <w:color w:val="auto"/>
          <w:szCs w:val="20"/>
          <w:highlight w:val="cyan"/>
          <w:lang w:val="en-GB"/>
        </w:rPr>
      </w:pPr>
    </w:p>
    <w:tbl>
      <w:tblPr>
        <w:tblW w:w="8257" w:type="dxa"/>
        <w:tblLook w:val="04A0" w:firstRow="1" w:lastRow="0" w:firstColumn="1" w:lastColumn="0" w:noHBand="0" w:noVBand="1"/>
      </w:tblPr>
      <w:tblGrid>
        <w:gridCol w:w="3082"/>
        <w:gridCol w:w="2791"/>
        <w:gridCol w:w="2384"/>
      </w:tblGrid>
      <w:tr w:rsidR="00664494" w:rsidRPr="00A4716C" w14:paraId="067E311B" w14:textId="77777777" w:rsidTr="00586BCB">
        <w:trPr>
          <w:trHeight w:val="626"/>
        </w:trPr>
        <w:tc>
          <w:tcPr>
            <w:tcW w:w="8257" w:type="dxa"/>
            <w:gridSpan w:val="3"/>
            <w:tcBorders>
              <w:top w:val="single" w:sz="4" w:space="0" w:color="auto"/>
              <w:left w:val="single" w:sz="4" w:space="0" w:color="auto"/>
              <w:bottom w:val="single" w:sz="4" w:space="0" w:color="auto"/>
              <w:right w:val="single" w:sz="4" w:space="0" w:color="000000"/>
            </w:tcBorders>
            <w:vAlign w:val="center"/>
            <w:hideMark/>
          </w:tcPr>
          <w:p w14:paraId="76BB321B" w14:textId="0D79E21E" w:rsidR="001911F0" w:rsidRPr="00CB67C4" w:rsidRDefault="001911F0" w:rsidP="00586BCB">
            <w:pPr>
              <w:jc w:val="center"/>
              <w:rPr>
                <w:rFonts w:ascii="Arial" w:hAnsi="Arial" w:cs="Arial"/>
                <w:b/>
                <w:color w:val="000000"/>
                <w:lang w:eastAsia="en-GB"/>
              </w:rPr>
            </w:pPr>
            <w:r w:rsidRPr="007C3211">
              <w:rPr>
                <w:rFonts w:ascii="Arial" w:hAnsi="Arial" w:cs="Arial"/>
                <w:b/>
                <w:color w:val="000000"/>
              </w:rPr>
              <w:t xml:space="preserve">Average rent increase per property by number of bedrooms per week as </w:t>
            </w:r>
            <w:r w:rsidR="00F914CB" w:rsidRPr="007C3211">
              <w:rPr>
                <w:rFonts w:ascii="Arial" w:hAnsi="Arial" w:cs="Arial"/>
                <w:b/>
                <w:color w:val="000000"/>
              </w:rPr>
              <w:t xml:space="preserve">at </w:t>
            </w:r>
            <w:r w:rsidR="00FA3472" w:rsidRPr="00CB67C4">
              <w:rPr>
                <w:rFonts w:ascii="Arial" w:hAnsi="Arial" w:cs="Arial"/>
                <w:b/>
                <w:color w:val="000000"/>
              </w:rPr>
              <w:t>2</w:t>
            </w:r>
            <w:r w:rsidR="00CB67C4" w:rsidRPr="00CB67C4">
              <w:rPr>
                <w:rFonts w:ascii="Arial" w:hAnsi="Arial" w:cs="Arial"/>
                <w:b/>
                <w:color w:val="000000"/>
              </w:rPr>
              <w:t>2</w:t>
            </w:r>
            <w:r w:rsidRPr="00CB67C4">
              <w:rPr>
                <w:rFonts w:ascii="Arial" w:hAnsi="Arial" w:cs="Arial"/>
                <w:b/>
                <w:color w:val="000000"/>
              </w:rPr>
              <w:t>/12/202</w:t>
            </w:r>
            <w:r w:rsidR="00CB67C4" w:rsidRPr="00CB67C4">
              <w:rPr>
                <w:rFonts w:ascii="Arial" w:hAnsi="Arial" w:cs="Arial"/>
                <w:b/>
                <w:color w:val="000000"/>
              </w:rPr>
              <w:t>5</w:t>
            </w:r>
          </w:p>
        </w:tc>
      </w:tr>
      <w:tr w:rsidR="002258FF" w:rsidRPr="00A4716C" w14:paraId="4E78A994" w14:textId="77777777" w:rsidTr="00586BCB">
        <w:trPr>
          <w:trHeight w:val="706"/>
        </w:trPr>
        <w:tc>
          <w:tcPr>
            <w:tcW w:w="3082" w:type="dxa"/>
            <w:tcBorders>
              <w:top w:val="nil"/>
              <w:left w:val="single" w:sz="4" w:space="0" w:color="auto"/>
              <w:bottom w:val="single" w:sz="4" w:space="0" w:color="auto"/>
              <w:right w:val="single" w:sz="4" w:space="0" w:color="auto"/>
            </w:tcBorders>
            <w:vAlign w:val="center"/>
            <w:hideMark/>
          </w:tcPr>
          <w:p w14:paraId="322E9B45" w14:textId="77777777" w:rsidR="001911F0" w:rsidRPr="007C3211" w:rsidRDefault="001911F0">
            <w:pPr>
              <w:jc w:val="center"/>
              <w:rPr>
                <w:rFonts w:ascii="Arial" w:hAnsi="Arial" w:cs="Arial"/>
                <w:color w:val="000000"/>
              </w:rPr>
            </w:pPr>
            <w:r w:rsidRPr="007C3211">
              <w:rPr>
                <w:rFonts w:ascii="Arial" w:hAnsi="Arial" w:cs="Arial"/>
                <w:color w:val="000000"/>
              </w:rPr>
              <w:t>No. of beds</w:t>
            </w:r>
          </w:p>
        </w:tc>
        <w:tc>
          <w:tcPr>
            <w:tcW w:w="2791" w:type="dxa"/>
            <w:tcBorders>
              <w:top w:val="nil"/>
              <w:left w:val="nil"/>
              <w:bottom w:val="single" w:sz="4" w:space="0" w:color="auto"/>
              <w:right w:val="single" w:sz="4" w:space="0" w:color="auto"/>
            </w:tcBorders>
            <w:vAlign w:val="center"/>
            <w:hideMark/>
          </w:tcPr>
          <w:p w14:paraId="41078454" w14:textId="77777777" w:rsidR="001911F0" w:rsidRPr="007C3211" w:rsidRDefault="001911F0">
            <w:pPr>
              <w:jc w:val="center"/>
              <w:rPr>
                <w:rFonts w:ascii="Arial" w:hAnsi="Arial" w:cs="Arial"/>
                <w:color w:val="000000"/>
              </w:rPr>
            </w:pPr>
            <w:r w:rsidRPr="007C3211">
              <w:rPr>
                <w:rFonts w:ascii="Arial" w:hAnsi="Arial" w:cs="Arial"/>
                <w:color w:val="000000"/>
              </w:rPr>
              <w:t>Increase per week for Affordable Housing</w:t>
            </w:r>
          </w:p>
        </w:tc>
        <w:tc>
          <w:tcPr>
            <w:tcW w:w="2384" w:type="dxa"/>
            <w:tcBorders>
              <w:top w:val="nil"/>
              <w:left w:val="nil"/>
              <w:bottom w:val="single" w:sz="4" w:space="0" w:color="auto"/>
              <w:right w:val="single" w:sz="4" w:space="0" w:color="auto"/>
            </w:tcBorders>
            <w:vAlign w:val="center"/>
            <w:hideMark/>
          </w:tcPr>
          <w:p w14:paraId="586C5152" w14:textId="77777777" w:rsidR="001911F0" w:rsidRPr="007C3211" w:rsidRDefault="001911F0">
            <w:pPr>
              <w:jc w:val="center"/>
              <w:rPr>
                <w:rFonts w:ascii="Arial" w:hAnsi="Arial" w:cs="Arial"/>
                <w:color w:val="000000"/>
              </w:rPr>
            </w:pPr>
            <w:r w:rsidRPr="007C3211">
              <w:rPr>
                <w:rFonts w:ascii="Arial" w:hAnsi="Arial" w:cs="Arial"/>
                <w:color w:val="000000"/>
              </w:rPr>
              <w:t>Increase per week for Social Housing</w:t>
            </w:r>
          </w:p>
        </w:tc>
      </w:tr>
      <w:tr w:rsidR="002258FF" w:rsidRPr="00A4716C" w14:paraId="4ECB4F17" w14:textId="77777777" w:rsidTr="001911F0">
        <w:trPr>
          <w:trHeight w:val="272"/>
        </w:trPr>
        <w:tc>
          <w:tcPr>
            <w:tcW w:w="3082" w:type="dxa"/>
            <w:tcBorders>
              <w:top w:val="nil"/>
              <w:left w:val="single" w:sz="4" w:space="0" w:color="auto"/>
              <w:bottom w:val="single" w:sz="4" w:space="0" w:color="auto"/>
              <w:right w:val="single" w:sz="4" w:space="0" w:color="auto"/>
            </w:tcBorders>
            <w:vAlign w:val="center"/>
            <w:hideMark/>
          </w:tcPr>
          <w:p w14:paraId="060E7719" w14:textId="77777777" w:rsidR="001911F0" w:rsidRPr="007C3211" w:rsidRDefault="001911F0">
            <w:pPr>
              <w:jc w:val="center"/>
              <w:rPr>
                <w:rFonts w:ascii="Arial" w:hAnsi="Arial" w:cs="Arial"/>
                <w:color w:val="000000"/>
              </w:rPr>
            </w:pPr>
            <w:r w:rsidRPr="007C3211">
              <w:rPr>
                <w:rFonts w:ascii="Arial" w:hAnsi="Arial" w:cs="Arial"/>
                <w:color w:val="000000"/>
              </w:rPr>
              <w:t> </w:t>
            </w:r>
          </w:p>
        </w:tc>
        <w:tc>
          <w:tcPr>
            <w:tcW w:w="2791" w:type="dxa"/>
            <w:tcBorders>
              <w:top w:val="nil"/>
              <w:left w:val="nil"/>
              <w:bottom w:val="single" w:sz="4" w:space="0" w:color="auto"/>
              <w:right w:val="single" w:sz="4" w:space="0" w:color="auto"/>
            </w:tcBorders>
            <w:vAlign w:val="center"/>
            <w:hideMark/>
          </w:tcPr>
          <w:p w14:paraId="73FBB5DF" w14:textId="77777777" w:rsidR="001911F0" w:rsidRPr="007C3211" w:rsidRDefault="001911F0">
            <w:pPr>
              <w:jc w:val="center"/>
              <w:rPr>
                <w:rFonts w:ascii="Arial" w:hAnsi="Arial" w:cs="Arial"/>
                <w:color w:val="000000"/>
              </w:rPr>
            </w:pPr>
            <w:r w:rsidRPr="007C3211">
              <w:rPr>
                <w:rFonts w:ascii="Arial" w:hAnsi="Arial" w:cs="Arial"/>
                <w:color w:val="000000"/>
              </w:rPr>
              <w:t>£</w:t>
            </w:r>
          </w:p>
        </w:tc>
        <w:tc>
          <w:tcPr>
            <w:tcW w:w="2384" w:type="dxa"/>
            <w:tcBorders>
              <w:top w:val="nil"/>
              <w:left w:val="nil"/>
              <w:bottom w:val="single" w:sz="4" w:space="0" w:color="auto"/>
              <w:right w:val="single" w:sz="4" w:space="0" w:color="auto"/>
            </w:tcBorders>
            <w:vAlign w:val="center"/>
            <w:hideMark/>
          </w:tcPr>
          <w:p w14:paraId="1A7D2A45" w14:textId="77777777" w:rsidR="001911F0" w:rsidRPr="007C3211" w:rsidRDefault="001911F0">
            <w:pPr>
              <w:jc w:val="center"/>
              <w:rPr>
                <w:rFonts w:ascii="Arial" w:hAnsi="Arial" w:cs="Arial"/>
                <w:color w:val="000000"/>
              </w:rPr>
            </w:pPr>
            <w:r w:rsidRPr="007C3211">
              <w:rPr>
                <w:rFonts w:ascii="Arial" w:hAnsi="Arial" w:cs="Arial"/>
                <w:color w:val="000000"/>
              </w:rPr>
              <w:t>£</w:t>
            </w:r>
          </w:p>
        </w:tc>
      </w:tr>
      <w:tr w:rsidR="002258FF" w:rsidRPr="00A4716C" w14:paraId="005653BA" w14:textId="77777777" w:rsidTr="001911F0">
        <w:trPr>
          <w:trHeight w:val="282"/>
        </w:trPr>
        <w:tc>
          <w:tcPr>
            <w:tcW w:w="3082" w:type="dxa"/>
            <w:tcBorders>
              <w:top w:val="nil"/>
              <w:left w:val="single" w:sz="4" w:space="0" w:color="auto"/>
              <w:bottom w:val="single" w:sz="4" w:space="0" w:color="auto"/>
              <w:right w:val="single" w:sz="4" w:space="0" w:color="auto"/>
            </w:tcBorders>
            <w:vAlign w:val="center"/>
            <w:hideMark/>
          </w:tcPr>
          <w:p w14:paraId="68A5FDC5" w14:textId="77777777" w:rsidR="001911F0" w:rsidRPr="007C3211" w:rsidRDefault="001911F0">
            <w:pPr>
              <w:jc w:val="center"/>
              <w:rPr>
                <w:rFonts w:ascii="Arial" w:hAnsi="Arial" w:cs="Arial"/>
                <w:color w:val="000000"/>
              </w:rPr>
            </w:pPr>
            <w:r w:rsidRPr="007C3211">
              <w:rPr>
                <w:rFonts w:ascii="Arial" w:hAnsi="Arial" w:cs="Arial"/>
                <w:color w:val="000000"/>
              </w:rPr>
              <w:t>1 &amp; bedsits</w:t>
            </w:r>
          </w:p>
        </w:tc>
        <w:tc>
          <w:tcPr>
            <w:tcW w:w="2791" w:type="dxa"/>
            <w:tcBorders>
              <w:top w:val="nil"/>
              <w:left w:val="nil"/>
              <w:bottom w:val="single" w:sz="4" w:space="0" w:color="auto"/>
              <w:right w:val="single" w:sz="4" w:space="0" w:color="auto"/>
            </w:tcBorders>
            <w:vAlign w:val="center"/>
            <w:hideMark/>
          </w:tcPr>
          <w:p w14:paraId="4305554B" w14:textId="2BF175D8" w:rsidR="001911F0" w:rsidRPr="00CB67C4" w:rsidRDefault="00427949">
            <w:pPr>
              <w:jc w:val="center"/>
              <w:rPr>
                <w:rFonts w:ascii="Arial" w:hAnsi="Arial" w:cs="Arial"/>
                <w:color w:val="000000"/>
              </w:rPr>
            </w:pPr>
            <w:r>
              <w:rPr>
                <w:rFonts w:ascii="Arial" w:hAnsi="Arial" w:cs="Arial"/>
                <w:color w:val="000000"/>
              </w:rPr>
              <w:t>5.12</w:t>
            </w:r>
          </w:p>
        </w:tc>
        <w:tc>
          <w:tcPr>
            <w:tcW w:w="2384" w:type="dxa"/>
            <w:tcBorders>
              <w:top w:val="nil"/>
              <w:left w:val="nil"/>
              <w:bottom w:val="single" w:sz="4" w:space="0" w:color="auto"/>
              <w:right w:val="single" w:sz="4" w:space="0" w:color="auto"/>
            </w:tcBorders>
            <w:noWrap/>
            <w:vAlign w:val="bottom"/>
            <w:hideMark/>
          </w:tcPr>
          <w:p w14:paraId="3EA5F936" w14:textId="347F9B98" w:rsidR="001911F0" w:rsidRPr="00CB67C4" w:rsidRDefault="00427949">
            <w:pPr>
              <w:jc w:val="center"/>
              <w:rPr>
                <w:rFonts w:ascii="Arial" w:hAnsi="Arial" w:cs="Arial"/>
                <w:color w:val="000000"/>
              </w:rPr>
            </w:pPr>
            <w:r>
              <w:rPr>
                <w:rFonts w:ascii="Arial" w:hAnsi="Arial" w:cs="Arial"/>
                <w:color w:val="000000"/>
              </w:rPr>
              <w:t>3.17</w:t>
            </w:r>
          </w:p>
        </w:tc>
      </w:tr>
      <w:tr w:rsidR="002258FF" w:rsidRPr="00A4716C" w14:paraId="18362612" w14:textId="77777777" w:rsidTr="001911F0">
        <w:trPr>
          <w:trHeight w:val="282"/>
        </w:trPr>
        <w:tc>
          <w:tcPr>
            <w:tcW w:w="3082" w:type="dxa"/>
            <w:tcBorders>
              <w:top w:val="nil"/>
              <w:left w:val="single" w:sz="4" w:space="0" w:color="auto"/>
              <w:bottom w:val="single" w:sz="4" w:space="0" w:color="auto"/>
              <w:right w:val="single" w:sz="4" w:space="0" w:color="auto"/>
            </w:tcBorders>
            <w:vAlign w:val="center"/>
            <w:hideMark/>
          </w:tcPr>
          <w:p w14:paraId="6C4AAE45" w14:textId="77777777" w:rsidR="001911F0" w:rsidRPr="007C3211" w:rsidRDefault="001911F0">
            <w:pPr>
              <w:jc w:val="center"/>
              <w:rPr>
                <w:rFonts w:ascii="Arial" w:hAnsi="Arial" w:cs="Arial"/>
                <w:color w:val="000000"/>
              </w:rPr>
            </w:pPr>
            <w:r w:rsidRPr="007C3211">
              <w:rPr>
                <w:rFonts w:ascii="Arial" w:hAnsi="Arial" w:cs="Arial"/>
                <w:color w:val="000000"/>
              </w:rPr>
              <w:t>2</w:t>
            </w:r>
          </w:p>
        </w:tc>
        <w:tc>
          <w:tcPr>
            <w:tcW w:w="2791" w:type="dxa"/>
            <w:tcBorders>
              <w:top w:val="nil"/>
              <w:left w:val="nil"/>
              <w:bottom w:val="single" w:sz="4" w:space="0" w:color="auto"/>
              <w:right w:val="single" w:sz="4" w:space="0" w:color="auto"/>
            </w:tcBorders>
            <w:vAlign w:val="center"/>
            <w:hideMark/>
          </w:tcPr>
          <w:p w14:paraId="080C7C0A" w14:textId="760D7C56" w:rsidR="001911F0" w:rsidRPr="00CB67C4" w:rsidRDefault="00427949">
            <w:pPr>
              <w:jc w:val="center"/>
              <w:rPr>
                <w:rFonts w:ascii="Arial" w:hAnsi="Arial" w:cs="Arial"/>
                <w:color w:val="000000"/>
              </w:rPr>
            </w:pPr>
            <w:r>
              <w:rPr>
                <w:rFonts w:ascii="Arial" w:hAnsi="Arial" w:cs="Arial"/>
                <w:color w:val="000000"/>
              </w:rPr>
              <w:t>5.63</w:t>
            </w:r>
          </w:p>
        </w:tc>
        <w:tc>
          <w:tcPr>
            <w:tcW w:w="2384" w:type="dxa"/>
            <w:tcBorders>
              <w:top w:val="nil"/>
              <w:left w:val="nil"/>
              <w:bottom w:val="single" w:sz="4" w:space="0" w:color="auto"/>
              <w:right w:val="single" w:sz="4" w:space="0" w:color="auto"/>
            </w:tcBorders>
            <w:noWrap/>
            <w:vAlign w:val="bottom"/>
            <w:hideMark/>
          </w:tcPr>
          <w:p w14:paraId="61FF3F8E" w14:textId="044A3DE6" w:rsidR="001911F0" w:rsidRPr="00CB67C4" w:rsidRDefault="003E6808">
            <w:pPr>
              <w:jc w:val="center"/>
              <w:rPr>
                <w:rFonts w:ascii="Arial" w:hAnsi="Arial" w:cs="Arial"/>
                <w:color w:val="000000"/>
              </w:rPr>
            </w:pPr>
            <w:r>
              <w:rPr>
                <w:rFonts w:ascii="Arial" w:hAnsi="Arial" w:cs="Arial"/>
                <w:color w:val="000000"/>
              </w:rPr>
              <w:t>3.55</w:t>
            </w:r>
          </w:p>
        </w:tc>
      </w:tr>
      <w:tr w:rsidR="002258FF" w:rsidRPr="00A4716C" w14:paraId="44601617" w14:textId="77777777" w:rsidTr="001911F0">
        <w:trPr>
          <w:trHeight w:val="282"/>
        </w:trPr>
        <w:tc>
          <w:tcPr>
            <w:tcW w:w="3082" w:type="dxa"/>
            <w:tcBorders>
              <w:top w:val="nil"/>
              <w:left w:val="single" w:sz="4" w:space="0" w:color="auto"/>
              <w:bottom w:val="single" w:sz="4" w:space="0" w:color="auto"/>
              <w:right w:val="single" w:sz="4" w:space="0" w:color="auto"/>
            </w:tcBorders>
            <w:vAlign w:val="center"/>
            <w:hideMark/>
          </w:tcPr>
          <w:p w14:paraId="799C46AF" w14:textId="77777777" w:rsidR="001911F0" w:rsidRPr="007C3211" w:rsidRDefault="001911F0">
            <w:pPr>
              <w:jc w:val="center"/>
              <w:rPr>
                <w:rFonts w:ascii="Arial" w:hAnsi="Arial" w:cs="Arial"/>
                <w:color w:val="000000"/>
              </w:rPr>
            </w:pPr>
            <w:r w:rsidRPr="007C3211">
              <w:rPr>
                <w:rFonts w:ascii="Arial" w:hAnsi="Arial" w:cs="Arial"/>
                <w:color w:val="000000"/>
              </w:rPr>
              <w:t>3</w:t>
            </w:r>
          </w:p>
        </w:tc>
        <w:tc>
          <w:tcPr>
            <w:tcW w:w="2791" w:type="dxa"/>
            <w:tcBorders>
              <w:top w:val="nil"/>
              <w:left w:val="nil"/>
              <w:bottom w:val="single" w:sz="4" w:space="0" w:color="auto"/>
              <w:right w:val="single" w:sz="4" w:space="0" w:color="auto"/>
            </w:tcBorders>
            <w:vAlign w:val="center"/>
            <w:hideMark/>
          </w:tcPr>
          <w:p w14:paraId="7B50ACA5" w14:textId="4FCC11BB" w:rsidR="001911F0" w:rsidRPr="00CB67C4" w:rsidRDefault="00427949">
            <w:pPr>
              <w:jc w:val="center"/>
              <w:rPr>
                <w:rFonts w:ascii="Arial" w:hAnsi="Arial" w:cs="Arial"/>
                <w:color w:val="000000"/>
              </w:rPr>
            </w:pPr>
            <w:r>
              <w:rPr>
                <w:rFonts w:ascii="Arial" w:hAnsi="Arial" w:cs="Arial"/>
                <w:color w:val="000000"/>
              </w:rPr>
              <w:t>5.98</w:t>
            </w:r>
          </w:p>
        </w:tc>
        <w:tc>
          <w:tcPr>
            <w:tcW w:w="2384" w:type="dxa"/>
            <w:tcBorders>
              <w:top w:val="nil"/>
              <w:left w:val="nil"/>
              <w:bottom w:val="single" w:sz="4" w:space="0" w:color="auto"/>
              <w:right w:val="single" w:sz="4" w:space="0" w:color="auto"/>
            </w:tcBorders>
            <w:noWrap/>
            <w:vAlign w:val="bottom"/>
            <w:hideMark/>
          </w:tcPr>
          <w:p w14:paraId="60FC268F" w14:textId="13A317B0" w:rsidR="001911F0" w:rsidRPr="00CB67C4" w:rsidRDefault="003E6808">
            <w:pPr>
              <w:jc w:val="center"/>
              <w:rPr>
                <w:rFonts w:ascii="Arial" w:hAnsi="Arial" w:cs="Arial"/>
                <w:color w:val="000000"/>
              </w:rPr>
            </w:pPr>
            <w:r>
              <w:rPr>
                <w:rFonts w:ascii="Arial" w:hAnsi="Arial" w:cs="Arial"/>
                <w:color w:val="000000"/>
              </w:rPr>
              <w:t>3.87</w:t>
            </w:r>
          </w:p>
        </w:tc>
      </w:tr>
      <w:tr w:rsidR="002258FF" w:rsidRPr="00A4716C" w14:paraId="6B8B5F86" w14:textId="77777777" w:rsidTr="001911F0">
        <w:trPr>
          <w:trHeight w:val="282"/>
        </w:trPr>
        <w:tc>
          <w:tcPr>
            <w:tcW w:w="3082" w:type="dxa"/>
            <w:tcBorders>
              <w:top w:val="nil"/>
              <w:left w:val="single" w:sz="4" w:space="0" w:color="auto"/>
              <w:bottom w:val="single" w:sz="4" w:space="0" w:color="auto"/>
              <w:right w:val="single" w:sz="4" w:space="0" w:color="auto"/>
            </w:tcBorders>
            <w:vAlign w:val="center"/>
            <w:hideMark/>
          </w:tcPr>
          <w:p w14:paraId="753584A3" w14:textId="77777777" w:rsidR="001911F0" w:rsidRPr="007C3211" w:rsidRDefault="001911F0">
            <w:pPr>
              <w:jc w:val="center"/>
              <w:rPr>
                <w:rFonts w:ascii="Arial" w:hAnsi="Arial" w:cs="Arial"/>
                <w:color w:val="000000"/>
              </w:rPr>
            </w:pPr>
            <w:r w:rsidRPr="007C3211">
              <w:rPr>
                <w:rFonts w:ascii="Arial" w:hAnsi="Arial" w:cs="Arial"/>
                <w:color w:val="000000"/>
              </w:rPr>
              <w:t>4</w:t>
            </w:r>
          </w:p>
        </w:tc>
        <w:tc>
          <w:tcPr>
            <w:tcW w:w="2791" w:type="dxa"/>
            <w:tcBorders>
              <w:top w:val="nil"/>
              <w:left w:val="nil"/>
              <w:bottom w:val="single" w:sz="4" w:space="0" w:color="auto"/>
              <w:right w:val="single" w:sz="4" w:space="0" w:color="auto"/>
            </w:tcBorders>
            <w:vAlign w:val="center"/>
            <w:hideMark/>
          </w:tcPr>
          <w:p w14:paraId="212E4998" w14:textId="59F359B7" w:rsidR="001911F0" w:rsidRPr="00CB67C4" w:rsidRDefault="00427949">
            <w:pPr>
              <w:jc w:val="center"/>
              <w:rPr>
                <w:rFonts w:ascii="Arial" w:hAnsi="Arial" w:cs="Arial"/>
                <w:color w:val="000000"/>
              </w:rPr>
            </w:pPr>
            <w:r>
              <w:rPr>
                <w:rFonts w:ascii="Arial" w:hAnsi="Arial" w:cs="Arial"/>
                <w:color w:val="000000"/>
              </w:rPr>
              <w:t>6.89</w:t>
            </w:r>
          </w:p>
        </w:tc>
        <w:tc>
          <w:tcPr>
            <w:tcW w:w="2384" w:type="dxa"/>
            <w:tcBorders>
              <w:top w:val="nil"/>
              <w:left w:val="nil"/>
              <w:bottom w:val="single" w:sz="4" w:space="0" w:color="auto"/>
              <w:right w:val="single" w:sz="4" w:space="0" w:color="auto"/>
            </w:tcBorders>
            <w:noWrap/>
            <w:vAlign w:val="bottom"/>
            <w:hideMark/>
          </w:tcPr>
          <w:p w14:paraId="07CA00BF" w14:textId="1A169F23" w:rsidR="001911F0" w:rsidRPr="00CB67C4" w:rsidRDefault="003E6808">
            <w:pPr>
              <w:jc w:val="center"/>
              <w:rPr>
                <w:rFonts w:ascii="Arial" w:hAnsi="Arial" w:cs="Arial"/>
                <w:color w:val="000000"/>
              </w:rPr>
            </w:pPr>
            <w:r>
              <w:rPr>
                <w:rFonts w:ascii="Arial" w:hAnsi="Arial" w:cs="Arial"/>
                <w:color w:val="000000"/>
              </w:rPr>
              <w:t>4.01</w:t>
            </w:r>
          </w:p>
        </w:tc>
      </w:tr>
      <w:tr w:rsidR="002258FF" w:rsidRPr="00A4716C" w14:paraId="40D4AD45" w14:textId="77777777" w:rsidTr="001911F0">
        <w:trPr>
          <w:trHeight w:val="282"/>
        </w:trPr>
        <w:tc>
          <w:tcPr>
            <w:tcW w:w="3082" w:type="dxa"/>
            <w:tcBorders>
              <w:top w:val="nil"/>
              <w:left w:val="single" w:sz="4" w:space="0" w:color="auto"/>
              <w:bottom w:val="single" w:sz="4" w:space="0" w:color="auto"/>
              <w:right w:val="single" w:sz="4" w:space="0" w:color="auto"/>
            </w:tcBorders>
            <w:vAlign w:val="center"/>
            <w:hideMark/>
          </w:tcPr>
          <w:p w14:paraId="7C3672FD" w14:textId="77777777" w:rsidR="001911F0" w:rsidRPr="007C3211" w:rsidRDefault="001911F0">
            <w:pPr>
              <w:jc w:val="center"/>
              <w:rPr>
                <w:rFonts w:ascii="Arial" w:hAnsi="Arial" w:cs="Arial"/>
                <w:color w:val="000000"/>
              </w:rPr>
            </w:pPr>
            <w:r w:rsidRPr="007C3211">
              <w:rPr>
                <w:rFonts w:ascii="Arial" w:hAnsi="Arial" w:cs="Arial"/>
                <w:color w:val="000000"/>
              </w:rPr>
              <w:t>5</w:t>
            </w:r>
          </w:p>
        </w:tc>
        <w:tc>
          <w:tcPr>
            <w:tcW w:w="2791" w:type="dxa"/>
            <w:tcBorders>
              <w:top w:val="nil"/>
              <w:left w:val="nil"/>
              <w:bottom w:val="single" w:sz="4" w:space="0" w:color="auto"/>
              <w:right w:val="single" w:sz="4" w:space="0" w:color="auto"/>
            </w:tcBorders>
            <w:vAlign w:val="center"/>
            <w:hideMark/>
          </w:tcPr>
          <w:p w14:paraId="4FE6614D" w14:textId="14D3B30B" w:rsidR="001911F0" w:rsidRPr="00CB67C4" w:rsidRDefault="00427949">
            <w:pPr>
              <w:jc w:val="center"/>
              <w:rPr>
                <w:rFonts w:ascii="Arial" w:hAnsi="Arial" w:cs="Arial"/>
                <w:color w:val="000000"/>
              </w:rPr>
            </w:pPr>
            <w:r>
              <w:rPr>
                <w:rFonts w:ascii="Arial" w:hAnsi="Arial" w:cs="Arial"/>
                <w:color w:val="000000"/>
              </w:rPr>
              <w:t>9.87</w:t>
            </w:r>
          </w:p>
        </w:tc>
        <w:tc>
          <w:tcPr>
            <w:tcW w:w="2384" w:type="dxa"/>
            <w:tcBorders>
              <w:top w:val="nil"/>
              <w:left w:val="nil"/>
              <w:bottom w:val="single" w:sz="4" w:space="0" w:color="auto"/>
              <w:right w:val="single" w:sz="4" w:space="0" w:color="auto"/>
            </w:tcBorders>
            <w:noWrap/>
            <w:vAlign w:val="bottom"/>
            <w:hideMark/>
          </w:tcPr>
          <w:p w14:paraId="542F9785" w14:textId="04C8EBAF" w:rsidR="001911F0" w:rsidRPr="00CB67C4" w:rsidRDefault="003E6808">
            <w:pPr>
              <w:jc w:val="center"/>
              <w:rPr>
                <w:rFonts w:ascii="Arial" w:hAnsi="Arial" w:cs="Arial"/>
                <w:color w:val="000000"/>
              </w:rPr>
            </w:pPr>
            <w:r>
              <w:rPr>
                <w:rFonts w:ascii="Arial" w:hAnsi="Arial" w:cs="Arial"/>
                <w:color w:val="000000"/>
              </w:rPr>
              <w:t>4.04</w:t>
            </w:r>
          </w:p>
        </w:tc>
      </w:tr>
      <w:tr w:rsidR="002258FF" w:rsidRPr="00A4716C" w14:paraId="07544F4B" w14:textId="77777777" w:rsidTr="001911F0">
        <w:trPr>
          <w:trHeight w:val="282"/>
        </w:trPr>
        <w:tc>
          <w:tcPr>
            <w:tcW w:w="3082" w:type="dxa"/>
            <w:tcBorders>
              <w:top w:val="nil"/>
              <w:left w:val="single" w:sz="4" w:space="0" w:color="auto"/>
              <w:bottom w:val="single" w:sz="4" w:space="0" w:color="auto"/>
              <w:right w:val="single" w:sz="4" w:space="0" w:color="auto"/>
            </w:tcBorders>
            <w:vAlign w:val="center"/>
            <w:hideMark/>
          </w:tcPr>
          <w:p w14:paraId="4525A968" w14:textId="77777777" w:rsidR="001911F0" w:rsidRPr="007C3211" w:rsidRDefault="001911F0">
            <w:pPr>
              <w:jc w:val="center"/>
              <w:rPr>
                <w:rFonts w:ascii="Arial" w:hAnsi="Arial" w:cs="Arial"/>
                <w:color w:val="000000"/>
              </w:rPr>
            </w:pPr>
            <w:r w:rsidRPr="007C3211">
              <w:rPr>
                <w:rFonts w:ascii="Arial" w:hAnsi="Arial" w:cs="Arial"/>
                <w:color w:val="000000"/>
              </w:rPr>
              <w:t xml:space="preserve">  6+</w:t>
            </w:r>
          </w:p>
        </w:tc>
        <w:tc>
          <w:tcPr>
            <w:tcW w:w="2791" w:type="dxa"/>
            <w:tcBorders>
              <w:top w:val="nil"/>
              <w:left w:val="nil"/>
              <w:bottom w:val="single" w:sz="4" w:space="0" w:color="auto"/>
              <w:right w:val="single" w:sz="4" w:space="0" w:color="auto"/>
            </w:tcBorders>
            <w:vAlign w:val="center"/>
            <w:hideMark/>
          </w:tcPr>
          <w:p w14:paraId="50E0CC01" w14:textId="4DB402A6" w:rsidR="001911F0" w:rsidRPr="00CB67C4" w:rsidRDefault="00E07884">
            <w:pPr>
              <w:jc w:val="center"/>
              <w:rPr>
                <w:rFonts w:ascii="Arial" w:hAnsi="Arial" w:cs="Arial"/>
                <w:color w:val="000000"/>
              </w:rPr>
            </w:pPr>
            <w:r w:rsidRPr="00CB67C4">
              <w:rPr>
                <w:rFonts w:ascii="Arial" w:hAnsi="Arial" w:cs="Arial"/>
                <w:color w:val="000000"/>
              </w:rPr>
              <w:t>-</w:t>
            </w:r>
          </w:p>
        </w:tc>
        <w:tc>
          <w:tcPr>
            <w:tcW w:w="2384" w:type="dxa"/>
            <w:tcBorders>
              <w:top w:val="nil"/>
              <w:left w:val="nil"/>
              <w:bottom w:val="single" w:sz="4" w:space="0" w:color="auto"/>
              <w:right w:val="single" w:sz="4" w:space="0" w:color="auto"/>
            </w:tcBorders>
            <w:noWrap/>
            <w:vAlign w:val="bottom"/>
            <w:hideMark/>
          </w:tcPr>
          <w:p w14:paraId="5AFF184E" w14:textId="1265B344" w:rsidR="001911F0" w:rsidRPr="00CB67C4" w:rsidRDefault="003E6808">
            <w:pPr>
              <w:jc w:val="center"/>
              <w:rPr>
                <w:rFonts w:ascii="Arial" w:hAnsi="Arial" w:cs="Arial"/>
                <w:color w:val="000000"/>
              </w:rPr>
            </w:pPr>
            <w:r>
              <w:rPr>
                <w:rFonts w:ascii="Arial" w:hAnsi="Arial" w:cs="Arial"/>
                <w:color w:val="000000"/>
              </w:rPr>
              <w:t>4.63</w:t>
            </w:r>
          </w:p>
        </w:tc>
      </w:tr>
      <w:bookmarkEnd w:id="3"/>
    </w:tbl>
    <w:p w14:paraId="243B1287" w14:textId="77777777" w:rsidR="00421D70" w:rsidRDefault="00421D70" w:rsidP="00C8468E">
      <w:pPr>
        <w:jc w:val="both"/>
        <w:rPr>
          <w:rFonts w:ascii="Arial" w:hAnsi="Arial" w:cs="Arial"/>
          <w:lang w:eastAsia="en-GB"/>
        </w:rPr>
      </w:pPr>
    </w:p>
    <w:p w14:paraId="4CB03044" w14:textId="513557BC" w:rsidR="0061165C" w:rsidRDefault="00F539E7" w:rsidP="00C8468E">
      <w:pPr>
        <w:jc w:val="both"/>
        <w:rPr>
          <w:rFonts w:ascii="Arial" w:hAnsi="Arial" w:cs="Arial"/>
          <w:lang w:eastAsia="en-GB"/>
        </w:rPr>
      </w:pPr>
      <w:r>
        <w:rPr>
          <w:rFonts w:ascii="Arial" w:hAnsi="Arial" w:cs="Arial"/>
          <w:lang w:eastAsia="en-GB"/>
        </w:rPr>
        <w:t xml:space="preserve">The Government announced as part of the Spending Review that it would implement a new rent convergence mechanism, following the scrapping of the previous scheme in 2015. </w:t>
      </w:r>
      <w:r w:rsidR="00A9197F" w:rsidRPr="00E06E7A">
        <w:rPr>
          <w:rFonts w:ascii="Arial" w:hAnsi="Arial" w:cs="Arial"/>
          <w:lang w:eastAsia="en-GB"/>
        </w:rPr>
        <w:t xml:space="preserve">Such a mechanism would allow rents on </w:t>
      </w:r>
      <w:r w:rsidR="00A9197F">
        <w:rPr>
          <w:rFonts w:ascii="Arial" w:hAnsi="Arial" w:cs="Arial"/>
          <w:lang w:eastAsia="en-GB"/>
        </w:rPr>
        <w:t>s</w:t>
      </w:r>
      <w:r w:rsidR="00A9197F" w:rsidRPr="00E06E7A">
        <w:rPr>
          <w:rFonts w:ascii="Arial" w:hAnsi="Arial" w:cs="Arial"/>
          <w:lang w:eastAsia="en-GB"/>
        </w:rPr>
        <w:t xml:space="preserve">ocial </w:t>
      </w:r>
      <w:r w:rsidR="00A9197F">
        <w:rPr>
          <w:rFonts w:ascii="Arial" w:hAnsi="Arial" w:cs="Arial"/>
          <w:lang w:eastAsia="en-GB"/>
        </w:rPr>
        <w:t>r</w:t>
      </w:r>
      <w:r w:rsidR="00A9197F" w:rsidRPr="00E06E7A">
        <w:rPr>
          <w:rFonts w:ascii="Arial" w:hAnsi="Arial" w:cs="Arial"/>
          <w:lang w:eastAsia="en-GB"/>
        </w:rPr>
        <w:t>ent properties that are currently ‘below formula’ (i.e. lower than the usual maximum that may be charged when a property is let to a new tenant) to increase by an additional amount, over and above the CPI+1% limit, up to formula level.</w:t>
      </w:r>
      <w:r w:rsidR="00A9197F">
        <w:rPr>
          <w:rFonts w:ascii="Arial" w:hAnsi="Arial" w:cs="Arial"/>
          <w:lang w:eastAsia="en-GB"/>
        </w:rPr>
        <w:t xml:space="preserve">  This was something that was called for by the sector as part of the Government’s consultation on the new rent policy.  The </w:t>
      </w:r>
      <w:r w:rsidR="00067E02">
        <w:rPr>
          <w:rFonts w:ascii="Arial" w:hAnsi="Arial" w:cs="Arial"/>
          <w:lang w:eastAsia="en-GB"/>
        </w:rPr>
        <w:t xml:space="preserve">reasoning </w:t>
      </w:r>
      <w:r w:rsidR="00A9197F">
        <w:rPr>
          <w:rFonts w:ascii="Arial" w:hAnsi="Arial" w:cs="Arial"/>
          <w:lang w:eastAsia="en-GB"/>
        </w:rPr>
        <w:t>behind it being</w:t>
      </w:r>
      <w:r w:rsidR="00067E02">
        <w:rPr>
          <w:rFonts w:ascii="Arial" w:hAnsi="Arial" w:cs="Arial"/>
          <w:lang w:eastAsia="en-GB"/>
        </w:rPr>
        <w:t xml:space="preserve"> that the sector would not be a</w:t>
      </w:r>
      <w:r w:rsidR="005B7F76">
        <w:rPr>
          <w:rFonts w:ascii="Arial" w:hAnsi="Arial" w:cs="Arial"/>
          <w:lang w:eastAsia="en-GB"/>
        </w:rPr>
        <w:t>b</w:t>
      </w:r>
      <w:r w:rsidR="00067E02">
        <w:rPr>
          <w:rFonts w:ascii="Arial" w:hAnsi="Arial" w:cs="Arial"/>
          <w:lang w:eastAsia="en-GB"/>
        </w:rPr>
        <w:t xml:space="preserve">le to </w:t>
      </w:r>
      <w:r w:rsidR="00347CB4">
        <w:rPr>
          <w:rFonts w:ascii="Arial" w:hAnsi="Arial" w:cs="Arial"/>
          <w:lang w:eastAsia="en-GB"/>
        </w:rPr>
        <w:t>deliver</w:t>
      </w:r>
      <w:r w:rsidR="004C4650">
        <w:rPr>
          <w:rFonts w:ascii="Arial" w:hAnsi="Arial" w:cs="Arial"/>
          <w:lang w:eastAsia="en-GB"/>
        </w:rPr>
        <w:t xml:space="preserve"> </w:t>
      </w:r>
      <w:r w:rsidR="00347CB4">
        <w:rPr>
          <w:rFonts w:ascii="Arial" w:hAnsi="Arial" w:cs="Arial"/>
          <w:lang w:eastAsia="en-GB"/>
        </w:rPr>
        <w:t>the G</w:t>
      </w:r>
      <w:r w:rsidR="005B7F76" w:rsidRPr="00E06E7A">
        <w:rPr>
          <w:rFonts w:ascii="Arial" w:hAnsi="Arial" w:cs="Arial"/>
          <w:lang w:eastAsia="en-GB"/>
        </w:rPr>
        <w:t>overnment’s ambitions</w:t>
      </w:r>
      <w:r w:rsidR="005B7F76">
        <w:rPr>
          <w:rFonts w:ascii="Arial" w:hAnsi="Arial" w:cs="Arial"/>
          <w:lang w:eastAsia="en-GB"/>
        </w:rPr>
        <w:t xml:space="preserve"> </w:t>
      </w:r>
      <w:r w:rsidR="005B7F76" w:rsidRPr="00E06E7A">
        <w:rPr>
          <w:rFonts w:ascii="Arial" w:hAnsi="Arial" w:cs="Arial"/>
          <w:lang w:eastAsia="en-GB"/>
        </w:rPr>
        <w:t>of investment in new</w:t>
      </w:r>
      <w:r w:rsidR="005B7F76">
        <w:rPr>
          <w:rFonts w:ascii="Arial" w:hAnsi="Arial" w:cs="Arial"/>
          <w:lang w:eastAsia="en-GB"/>
        </w:rPr>
        <w:t>,</w:t>
      </w:r>
      <w:r w:rsidR="005B7F76" w:rsidRPr="00E06E7A">
        <w:rPr>
          <w:rFonts w:ascii="Arial" w:hAnsi="Arial" w:cs="Arial"/>
          <w:lang w:eastAsia="en-GB"/>
        </w:rPr>
        <w:t xml:space="preserve"> and existing</w:t>
      </w:r>
      <w:r w:rsidR="005B7F76">
        <w:rPr>
          <w:rFonts w:ascii="Arial" w:hAnsi="Arial" w:cs="Arial"/>
          <w:lang w:eastAsia="en-GB"/>
        </w:rPr>
        <w:t>,</w:t>
      </w:r>
      <w:r w:rsidR="005B7F76" w:rsidRPr="00E06E7A">
        <w:rPr>
          <w:rFonts w:ascii="Arial" w:hAnsi="Arial" w:cs="Arial"/>
          <w:lang w:eastAsia="en-GB"/>
        </w:rPr>
        <w:t xml:space="preserve"> social and affordable housing</w:t>
      </w:r>
      <w:r w:rsidR="005B7F76">
        <w:rPr>
          <w:rFonts w:ascii="Arial" w:hAnsi="Arial" w:cs="Arial"/>
          <w:lang w:eastAsia="en-GB"/>
        </w:rPr>
        <w:t xml:space="preserve"> </w:t>
      </w:r>
      <w:r w:rsidR="004C4650">
        <w:rPr>
          <w:rFonts w:ascii="Arial" w:hAnsi="Arial" w:cs="Arial"/>
          <w:lang w:eastAsia="en-GB"/>
        </w:rPr>
        <w:t xml:space="preserve">unless </w:t>
      </w:r>
      <w:r w:rsidR="00347CB4">
        <w:rPr>
          <w:rFonts w:ascii="Arial" w:hAnsi="Arial" w:cs="Arial"/>
          <w:lang w:eastAsia="en-GB"/>
        </w:rPr>
        <w:t xml:space="preserve">additional funding could be released through rent convergence. </w:t>
      </w:r>
    </w:p>
    <w:p w14:paraId="1CA91103" w14:textId="77777777" w:rsidR="00347CB4" w:rsidRDefault="00347CB4" w:rsidP="00C8468E">
      <w:pPr>
        <w:jc w:val="both"/>
        <w:rPr>
          <w:rFonts w:ascii="Arial" w:hAnsi="Arial" w:cs="Arial"/>
          <w:lang w:eastAsia="en-GB"/>
        </w:rPr>
      </w:pPr>
    </w:p>
    <w:p w14:paraId="5AF36DE6" w14:textId="0F956AC9" w:rsidR="0094042C" w:rsidRDefault="00A41E2D" w:rsidP="00C8468E">
      <w:pPr>
        <w:jc w:val="both"/>
        <w:rPr>
          <w:rFonts w:ascii="Arial" w:hAnsi="Arial" w:cs="Arial"/>
          <w:lang w:eastAsia="en-GB"/>
        </w:rPr>
      </w:pPr>
      <w:r>
        <w:rPr>
          <w:rFonts w:ascii="Arial" w:hAnsi="Arial" w:cs="Arial"/>
          <w:lang w:eastAsia="en-GB"/>
        </w:rPr>
        <w:t>In January</w:t>
      </w:r>
      <w:r w:rsidR="009E4586">
        <w:rPr>
          <w:rFonts w:ascii="Arial" w:hAnsi="Arial" w:cs="Arial"/>
          <w:lang w:eastAsia="en-GB"/>
        </w:rPr>
        <w:t xml:space="preserve"> 2026, the Government </w:t>
      </w:r>
      <w:r w:rsidR="00507C53">
        <w:rPr>
          <w:rFonts w:ascii="Arial" w:hAnsi="Arial" w:cs="Arial"/>
          <w:lang w:eastAsia="en-GB"/>
        </w:rPr>
        <w:t>confirmed that councils can increase ‘below formula’ rents</w:t>
      </w:r>
      <w:r w:rsidR="0094042C">
        <w:rPr>
          <w:rFonts w:ascii="Arial" w:hAnsi="Arial" w:cs="Arial"/>
          <w:lang w:eastAsia="en-GB"/>
        </w:rPr>
        <w:t xml:space="preserve"> gradually, as follows:</w:t>
      </w:r>
    </w:p>
    <w:p w14:paraId="5E77845C" w14:textId="77777777" w:rsidR="00C63035" w:rsidRPr="002258FF" w:rsidRDefault="00C63035" w:rsidP="002258FF">
      <w:pPr>
        <w:jc w:val="both"/>
        <w:rPr>
          <w:rFonts w:ascii="Arial" w:hAnsi="Arial" w:cs="Arial"/>
          <w:lang w:eastAsia="en-GB"/>
        </w:rPr>
      </w:pPr>
    </w:p>
    <w:p w14:paraId="765905F0" w14:textId="30E86607" w:rsidR="0094042C" w:rsidRPr="002258FF" w:rsidRDefault="0094042C" w:rsidP="002258FF">
      <w:pPr>
        <w:pStyle w:val="ListParagraph"/>
        <w:numPr>
          <w:ilvl w:val="0"/>
          <w:numId w:val="64"/>
        </w:numPr>
        <w:spacing w:after="0" w:line="240" w:lineRule="auto"/>
        <w:jc w:val="both"/>
        <w:rPr>
          <w:rFonts w:ascii="Arial" w:hAnsi="Arial" w:cs="Arial"/>
          <w:sz w:val="24"/>
          <w:szCs w:val="24"/>
          <w:lang w:eastAsia="en-GB"/>
        </w:rPr>
      </w:pPr>
      <w:r w:rsidRPr="002258FF">
        <w:rPr>
          <w:rFonts w:ascii="Arial" w:hAnsi="Arial" w:cs="Arial"/>
          <w:sz w:val="24"/>
          <w:szCs w:val="24"/>
          <w:lang w:eastAsia="en-GB"/>
        </w:rPr>
        <w:t>£1 per week above inflation from April 2027</w:t>
      </w:r>
    </w:p>
    <w:p w14:paraId="11B934CC" w14:textId="087CE0FD" w:rsidR="0094042C" w:rsidRPr="002258FF" w:rsidRDefault="0094042C" w:rsidP="002258FF">
      <w:pPr>
        <w:pStyle w:val="ListParagraph"/>
        <w:numPr>
          <w:ilvl w:val="0"/>
          <w:numId w:val="64"/>
        </w:numPr>
        <w:spacing w:after="0" w:line="240" w:lineRule="auto"/>
        <w:jc w:val="both"/>
        <w:rPr>
          <w:rFonts w:ascii="Arial" w:hAnsi="Arial" w:cs="Arial"/>
          <w:sz w:val="24"/>
          <w:szCs w:val="24"/>
          <w:lang w:eastAsia="en-GB"/>
        </w:rPr>
      </w:pPr>
      <w:r w:rsidRPr="002258FF">
        <w:rPr>
          <w:rFonts w:ascii="Arial" w:hAnsi="Arial" w:cs="Arial"/>
          <w:sz w:val="24"/>
          <w:szCs w:val="24"/>
          <w:lang w:eastAsia="en-GB"/>
        </w:rPr>
        <w:t>£2 per week above inflation from April 2028</w:t>
      </w:r>
    </w:p>
    <w:p w14:paraId="7CED7CFA" w14:textId="5DB7B91E" w:rsidR="0094042C" w:rsidRPr="002258FF" w:rsidRDefault="0094042C" w:rsidP="002258FF">
      <w:pPr>
        <w:pStyle w:val="ListParagraph"/>
        <w:numPr>
          <w:ilvl w:val="0"/>
          <w:numId w:val="64"/>
        </w:numPr>
        <w:spacing w:after="0" w:line="240" w:lineRule="auto"/>
        <w:jc w:val="both"/>
        <w:rPr>
          <w:rFonts w:ascii="Arial" w:hAnsi="Arial" w:cs="Arial"/>
          <w:sz w:val="24"/>
          <w:szCs w:val="24"/>
          <w:lang w:eastAsia="en-GB"/>
        </w:rPr>
      </w:pPr>
      <w:r w:rsidRPr="002258FF">
        <w:rPr>
          <w:rFonts w:ascii="Arial" w:hAnsi="Arial" w:cs="Arial"/>
          <w:sz w:val="24"/>
          <w:szCs w:val="24"/>
          <w:lang w:eastAsia="en-GB"/>
        </w:rPr>
        <w:t>Continuing until the formula level is reached</w:t>
      </w:r>
    </w:p>
    <w:p w14:paraId="6929465D" w14:textId="77777777" w:rsidR="0094042C" w:rsidRPr="0094042C" w:rsidRDefault="0094042C" w:rsidP="0094042C">
      <w:pPr>
        <w:jc w:val="both"/>
        <w:rPr>
          <w:rFonts w:ascii="Arial" w:hAnsi="Arial" w:cs="Arial"/>
          <w:lang w:eastAsia="en-GB"/>
        </w:rPr>
      </w:pPr>
    </w:p>
    <w:p w14:paraId="5A046AB9" w14:textId="5648C3B7" w:rsidR="00421D70" w:rsidRDefault="00C63035" w:rsidP="00C8468E">
      <w:pPr>
        <w:jc w:val="both"/>
        <w:rPr>
          <w:rFonts w:ascii="Arial" w:hAnsi="Arial" w:cs="Arial"/>
          <w:lang w:eastAsia="en-GB"/>
        </w:rPr>
      </w:pPr>
      <w:r>
        <w:rPr>
          <w:rFonts w:ascii="Arial" w:hAnsi="Arial" w:cs="Arial"/>
          <w:lang w:eastAsia="en-GB"/>
        </w:rPr>
        <w:t xml:space="preserve">Given the timing of this announcement no assumptions on rent convergence have been made in this MTFS.  This will be considered as part of setting rent levels for 2027/28. </w:t>
      </w:r>
    </w:p>
    <w:p w14:paraId="059F0BB1" w14:textId="77777777" w:rsidR="006C58DC" w:rsidRPr="005C6861" w:rsidRDefault="006C58DC" w:rsidP="006C58DC">
      <w:pPr>
        <w:pStyle w:val="Default"/>
        <w:jc w:val="both"/>
        <w:rPr>
          <w:rFonts w:ascii="Arial" w:hAnsi="Arial" w:cs="Arial"/>
          <w:color w:val="auto"/>
          <w:szCs w:val="20"/>
          <w:lang w:val="en-GB"/>
        </w:rPr>
      </w:pPr>
    </w:p>
    <w:bookmarkEnd w:id="2"/>
    <w:p w14:paraId="52854537" w14:textId="77777777" w:rsidR="004F742F" w:rsidRPr="00B87F80" w:rsidRDefault="009F1C01" w:rsidP="008C47B0">
      <w:pPr>
        <w:rPr>
          <w:rFonts w:ascii="Arial" w:hAnsi="Arial" w:cs="Arial"/>
          <w:b/>
          <w:szCs w:val="20"/>
        </w:rPr>
      </w:pPr>
      <w:r w:rsidRPr="00B87F80">
        <w:rPr>
          <w:rFonts w:ascii="Arial" w:hAnsi="Arial" w:cs="Arial"/>
          <w:b/>
          <w:szCs w:val="20"/>
        </w:rPr>
        <w:t>Net Interest Receipts</w:t>
      </w:r>
    </w:p>
    <w:p w14:paraId="5DBD3D80" w14:textId="77777777" w:rsidR="008C47B0" w:rsidRPr="00B87F80" w:rsidRDefault="008C47B0" w:rsidP="008C47B0">
      <w:pPr>
        <w:rPr>
          <w:rFonts w:ascii="Arial" w:hAnsi="Arial" w:cs="Arial"/>
          <w:b/>
          <w:szCs w:val="20"/>
        </w:rPr>
      </w:pPr>
    </w:p>
    <w:p w14:paraId="33DC0927" w14:textId="04B5937D" w:rsidR="009F1C01" w:rsidRPr="0034733B" w:rsidRDefault="004F742F" w:rsidP="00514790">
      <w:pPr>
        <w:jc w:val="both"/>
        <w:rPr>
          <w:rFonts w:ascii="Arial" w:hAnsi="Arial" w:cs="Arial"/>
        </w:rPr>
      </w:pPr>
      <w:r w:rsidRPr="0034733B">
        <w:rPr>
          <w:rFonts w:ascii="Arial" w:hAnsi="Arial" w:cs="Arial"/>
        </w:rPr>
        <w:t xml:space="preserve">The HRA receives investment interest on the balances it holds (HRA balances are made up of General Balances, </w:t>
      </w:r>
      <w:r w:rsidR="00361E4F" w:rsidRPr="0034733B">
        <w:rPr>
          <w:rFonts w:ascii="Arial" w:hAnsi="Arial" w:cs="Arial"/>
        </w:rPr>
        <w:t>capital receipts</w:t>
      </w:r>
      <w:r w:rsidR="004B319B" w:rsidRPr="0034733B">
        <w:rPr>
          <w:rFonts w:ascii="Arial" w:hAnsi="Arial" w:cs="Arial"/>
        </w:rPr>
        <w:t xml:space="preserve">, </w:t>
      </w:r>
      <w:r w:rsidRPr="0034733B">
        <w:rPr>
          <w:rFonts w:ascii="Arial" w:hAnsi="Arial" w:cs="Arial"/>
        </w:rPr>
        <w:t xml:space="preserve">earmarked reserves and the Major Repairs Reserve).  </w:t>
      </w:r>
      <w:r w:rsidR="001C3256" w:rsidRPr="0034733B">
        <w:rPr>
          <w:rFonts w:ascii="Arial" w:hAnsi="Arial" w:cs="Arial"/>
        </w:rPr>
        <w:t xml:space="preserve">The MTFS </w:t>
      </w:r>
      <w:r w:rsidR="00A1060F" w:rsidRPr="0034733B">
        <w:rPr>
          <w:rFonts w:ascii="Arial" w:hAnsi="Arial" w:cs="Arial"/>
        </w:rPr>
        <w:t>20</w:t>
      </w:r>
      <w:r w:rsidR="00526ACE" w:rsidRPr="0034733B">
        <w:rPr>
          <w:rFonts w:ascii="Arial" w:hAnsi="Arial" w:cs="Arial"/>
        </w:rPr>
        <w:t>2</w:t>
      </w:r>
      <w:r w:rsidR="00EB3981" w:rsidRPr="0034733B">
        <w:rPr>
          <w:rFonts w:ascii="Arial" w:hAnsi="Arial" w:cs="Arial"/>
        </w:rPr>
        <w:t>6-31</w:t>
      </w:r>
      <w:r w:rsidR="001C3256" w:rsidRPr="0034733B">
        <w:rPr>
          <w:rFonts w:ascii="Arial" w:hAnsi="Arial" w:cs="Arial"/>
        </w:rPr>
        <w:t xml:space="preserve"> includes interest income into the HRA based on the level of HRA balances assumed </w:t>
      </w:r>
      <w:r w:rsidR="00BC6D13">
        <w:rPr>
          <w:rFonts w:ascii="Arial" w:hAnsi="Arial" w:cs="Arial"/>
        </w:rPr>
        <w:t>over the same period</w:t>
      </w:r>
      <w:r w:rsidR="001C3256" w:rsidRPr="0034733B">
        <w:rPr>
          <w:rFonts w:ascii="Arial" w:hAnsi="Arial" w:cs="Arial"/>
        </w:rPr>
        <w:t xml:space="preserve">.  </w:t>
      </w:r>
      <w:r w:rsidR="009F1C01" w:rsidRPr="0034733B">
        <w:rPr>
          <w:rFonts w:ascii="Arial" w:hAnsi="Arial" w:cs="Arial"/>
        </w:rPr>
        <w:t xml:space="preserve">The HRA is sensitive to changes in interest rates linked to </w:t>
      </w:r>
      <w:r w:rsidR="00425089" w:rsidRPr="0034733B">
        <w:rPr>
          <w:rFonts w:ascii="Arial" w:hAnsi="Arial" w:cs="Arial"/>
        </w:rPr>
        <w:t>its</w:t>
      </w:r>
      <w:r w:rsidR="009F1C01" w:rsidRPr="0034733B">
        <w:rPr>
          <w:rFonts w:ascii="Arial" w:hAnsi="Arial" w:cs="Arial"/>
        </w:rPr>
        <w:t xml:space="preserve"> investments, as an indication a change in interest rates </w:t>
      </w:r>
      <w:r w:rsidR="0A5ED1A2" w:rsidRPr="0034733B">
        <w:rPr>
          <w:rFonts w:ascii="Arial" w:hAnsi="Arial" w:cs="Arial"/>
        </w:rPr>
        <w:t>available on investments</w:t>
      </w:r>
      <w:r w:rsidR="009F1C01" w:rsidRPr="0034733B">
        <w:rPr>
          <w:rFonts w:ascii="Arial" w:hAnsi="Arial" w:cs="Arial"/>
        </w:rPr>
        <w:t xml:space="preserve"> of +/- 0.5% would have an estimated impact of </w:t>
      </w:r>
      <w:r w:rsidR="009F1C01" w:rsidRPr="002F65A9">
        <w:rPr>
          <w:rFonts w:ascii="Arial" w:hAnsi="Arial" w:cs="Arial"/>
        </w:rPr>
        <w:t>approximately £</w:t>
      </w:r>
      <w:r w:rsidR="000C5549" w:rsidRPr="002F65A9">
        <w:rPr>
          <w:rFonts w:ascii="Arial" w:hAnsi="Arial" w:cs="Arial"/>
        </w:rPr>
        <w:t>0.</w:t>
      </w:r>
      <w:r w:rsidR="007F3BCC">
        <w:rPr>
          <w:rFonts w:ascii="Arial" w:hAnsi="Arial" w:cs="Arial"/>
        </w:rPr>
        <w:t>505</w:t>
      </w:r>
      <w:r w:rsidR="00421218" w:rsidRPr="002F65A9">
        <w:rPr>
          <w:rFonts w:ascii="Arial" w:hAnsi="Arial" w:cs="Arial"/>
        </w:rPr>
        <w:t>m</w:t>
      </w:r>
      <w:r w:rsidR="009F1C01" w:rsidRPr="002F65A9">
        <w:rPr>
          <w:rFonts w:ascii="Arial" w:hAnsi="Arial" w:cs="Arial"/>
        </w:rPr>
        <w:t>.</w:t>
      </w:r>
      <w:r w:rsidR="250986ED" w:rsidRPr="002F65A9">
        <w:rPr>
          <w:rFonts w:ascii="Arial" w:hAnsi="Arial" w:cs="Arial"/>
        </w:rPr>
        <w:t xml:space="preserve">  A</w:t>
      </w:r>
      <w:r w:rsidR="250986ED" w:rsidRPr="0034733B">
        <w:rPr>
          <w:rFonts w:ascii="Arial" w:hAnsi="Arial" w:cs="Arial"/>
        </w:rPr>
        <w:t xml:space="preserve"> rise of 0.5% in the Bank of England base rate would not translate into a 0.5% increase in investment rates available.</w:t>
      </w:r>
    </w:p>
    <w:p w14:paraId="43E5D80D" w14:textId="77777777" w:rsidR="00514790" w:rsidRPr="007B2F6B" w:rsidRDefault="00514790" w:rsidP="00514790">
      <w:pPr>
        <w:jc w:val="both"/>
        <w:rPr>
          <w:rFonts w:ascii="Arial" w:hAnsi="Arial" w:cs="Arial"/>
          <w:highlight w:val="green"/>
        </w:rPr>
      </w:pPr>
    </w:p>
    <w:p w14:paraId="0914CD95" w14:textId="77777777" w:rsidR="009F1C01" w:rsidRPr="003100E8" w:rsidRDefault="009F1C01" w:rsidP="00514790">
      <w:pPr>
        <w:pStyle w:val="Default"/>
        <w:jc w:val="both"/>
        <w:rPr>
          <w:rFonts w:ascii="Arial" w:hAnsi="Arial" w:cs="Arial"/>
          <w:color w:val="auto"/>
          <w:szCs w:val="20"/>
          <w:lang w:val="en-GB"/>
        </w:rPr>
      </w:pPr>
      <w:r w:rsidRPr="002B10CC">
        <w:rPr>
          <w:rFonts w:ascii="Arial" w:hAnsi="Arial" w:cs="Arial"/>
          <w:color w:val="auto"/>
          <w:szCs w:val="20"/>
          <w:lang w:val="en-GB"/>
        </w:rPr>
        <w:t xml:space="preserve">Although the HRA is not sensitive to changes in interest rates linked to </w:t>
      </w:r>
      <w:r w:rsidR="00425089" w:rsidRPr="002B10CC">
        <w:rPr>
          <w:rFonts w:ascii="Arial" w:hAnsi="Arial" w:cs="Arial"/>
          <w:color w:val="auto"/>
          <w:szCs w:val="20"/>
          <w:lang w:val="en-GB"/>
        </w:rPr>
        <w:t>its</w:t>
      </w:r>
      <w:r w:rsidRPr="002B10CC">
        <w:rPr>
          <w:rFonts w:ascii="Arial" w:hAnsi="Arial" w:cs="Arial"/>
          <w:color w:val="auto"/>
          <w:szCs w:val="20"/>
          <w:lang w:val="en-GB"/>
        </w:rPr>
        <w:t xml:space="preserve"> portfolio of borrowing, as all borrowing is at fixed interest rates, it does face a pressure of increased borrowing costs due to new borrowing being taken in support of investment in </w:t>
      </w:r>
      <w:r w:rsidR="00A6167E" w:rsidRPr="002B10CC">
        <w:rPr>
          <w:rFonts w:ascii="Arial" w:hAnsi="Arial" w:cs="Arial"/>
          <w:color w:val="auto"/>
          <w:szCs w:val="20"/>
          <w:lang w:val="en-GB"/>
        </w:rPr>
        <w:t>its</w:t>
      </w:r>
      <w:r w:rsidRPr="002B10CC">
        <w:rPr>
          <w:rFonts w:ascii="Arial" w:hAnsi="Arial" w:cs="Arial"/>
          <w:color w:val="auto"/>
          <w:szCs w:val="20"/>
          <w:lang w:val="en-GB"/>
        </w:rPr>
        <w:t xml:space="preserve"> new build </w:t>
      </w:r>
      <w:r w:rsidR="00233B50" w:rsidRPr="002B10CC">
        <w:rPr>
          <w:rFonts w:ascii="Arial" w:hAnsi="Arial" w:cs="Arial"/>
          <w:color w:val="auto"/>
          <w:szCs w:val="20"/>
          <w:lang w:val="en-GB"/>
        </w:rPr>
        <w:t>programme.  Although new build schemes bring additional income to resource the cost of borrowing there is a timing risk of when the specific borrowing is taken, particularly when internal balances are used in the short term, against the assumptions used for the initial assessment of the scheme.</w:t>
      </w:r>
    </w:p>
    <w:p w14:paraId="77B9E5F7" w14:textId="77777777" w:rsidR="00DF4C23" w:rsidRPr="00943B44" w:rsidRDefault="00DF4C23" w:rsidP="00514790">
      <w:pPr>
        <w:pStyle w:val="Default"/>
        <w:jc w:val="both"/>
        <w:rPr>
          <w:rFonts w:ascii="Arial" w:hAnsi="Arial" w:cs="Arial"/>
          <w:bCs/>
          <w:color w:val="auto"/>
          <w:szCs w:val="20"/>
          <w:highlight w:val="cyan"/>
          <w:lang w:val="en-GB"/>
        </w:rPr>
      </w:pPr>
    </w:p>
    <w:p w14:paraId="7E1F8FA9" w14:textId="77777777" w:rsidR="004F742F" w:rsidRPr="003100E8" w:rsidRDefault="004F742F" w:rsidP="004F742F">
      <w:pPr>
        <w:autoSpaceDE w:val="0"/>
        <w:autoSpaceDN w:val="0"/>
        <w:adjustRightInd w:val="0"/>
        <w:jc w:val="both"/>
        <w:rPr>
          <w:rFonts w:ascii="Arial" w:hAnsi="Arial" w:cs="Arial"/>
          <w:b/>
          <w:color w:val="C45911"/>
          <w:sz w:val="28"/>
          <w:szCs w:val="28"/>
        </w:rPr>
      </w:pPr>
      <w:r w:rsidRPr="003100E8">
        <w:rPr>
          <w:rFonts w:ascii="Arial" w:hAnsi="Arial" w:cs="Arial"/>
          <w:b/>
          <w:color w:val="C45911"/>
          <w:sz w:val="28"/>
          <w:szCs w:val="28"/>
        </w:rPr>
        <w:t>Releasing Resources</w:t>
      </w:r>
    </w:p>
    <w:p w14:paraId="1BD751FD" w14:textId="77777777" w:rsidR="004F742F" w:rsidRPr="00943B44" w:rsidRDefault="004F742F" w:rsidP="004F742F">
      <w:pPr>
        <w:autoSpaceDE w:val="0"/>
        <w:autoSpaceDN w:val="0"/>
        <w:adjustRightInd w:val="0"/>
        <w:jc w:val="both"/>
        <w:rPr>
          <w:rFonts w:ascii="Arial" w:hAnsi="Arial" w:cs="Arial"/>
          <w:b/>
          <w:color w:val="0000FF"/>
          <w:sz w:val="28"/>
          <w:szCs w:val="28"/>
          <w:highlight w:val="cyan"/>
        </w:rPr>
      </w:pPr>
    </w:p>
    <w:p w14:paraId="2E7119AC" w14:textId="67F03633" w:rsidR="002365C4" w:rsidRPr="00D4527E" w:rsidRDefault="00A1060F" w:rsidP="009E2CEB">
      <w:pPr>
        <w:autoSpaceDE w:val="0"/>
        <w:autoSpaceDN w:val="0"/>
        <w:adjustRightInd w:val="0"/>
        <w:jc w:val="both"/>
        <w:rPr>
          <w:rFonts w:ascii="Arial" w:hAnsi="Arial" w:cs="Arial"/>
        </w:rPr>
      </w:pPr>
      <w:r w:rsidRPr="00D4527E">
        <w:rPr>
          <w:rFonts w:ascii="Arial" w:hAnsi="Arial" w:cs="Arial"/>
        </w:rPr>
        <w:t xml:space="preserve">The HRA Business plan </w:t>
      </w:r>
      <w:r w:rsidR="005919E3" w:rsidRPr="00D4527E">
        <w:rPr>
          <w:rFonts w:ascii="Arial" w:hAnsi="Arial" w:cs="Arial"/>
        </w:rPr>
        <w:t>2024-2054 focuses on growing surplus</w:t>
      </w:r>
      <w:r w:rsidR="002F42A0" w:rsidRPr="00D4527E">
        <w:rPr>
          <w:rFonts w:ascii="Arial" w:hAnsi="Arial" w:cs="Arial"/>
        </w:rPr>
        <w:t xml:space="preserve"> in the revenue account to </w:t>
      </w:r>
      <w:r w:rsidRPr="00D4527E">
        <w:rPr>
          <w:rFonts w:ascii="Arial" w:hAnsi="Arial" w:cs="Arial"/>
        </w:rPr>
        <w:t xml:space="preserve">be released </w:t>
      </w:r>
      <w:r w:rsidR="00EB2DF9" w:rsidRPr="00D4527E">
        <w:rPr>
          <w:rFonts w:ascii="Arial" w:hAnsi="Arial" w:cs="Arial"/>
        </w:rPr>
        <w:t>to support priority capital investm</w:t>
      </w:r>
      <w:r w:rsidR="0030464F" w:rsidRPr="00D4527E">
        <w:rPr>
          <w:rFonts w:ascii="Arial" w:hAnsi="Arial" w:cs="Arial"/>
        </w:rPr>
        <w:t>ent in council house new build</w:t>
      </w:r>
      <w:r w:rsidR="002F42A0" w:rsidRPr="00D4527E">
        <w:rPr>
          <w:rFonts w:ascii="Arial" w:hAnsi="Arial" w:cs="Arial"/>
        </w:rPr>
        <w:t>s and investment in existing stock</w:t>
      </w:r>
      <w:r w:rsidR="00EB2DF9" w:rsidRPr="00D4527E">
        <w:rPr>
          <w:rFonts w:ascii="Arial" w:hAnsi="Arial" w:cs="Arial"/>
        </w:rPr>
        <w:t xml:space="preserve">.  </w:t>
      </w:r>
      <w:r w:rsidR="0030464F" w:rsidRPr="00D4527E">
        <w:rPr>
          <w:rFonts w:ascii="Arial" w:hAnsi="Arial" w:cs="Arial"/>
        </w:rPr>
        <w:t xml:space="preserve">Although there is no specific savings target in the HRA </w:t>
      </w:r>
      <w:r w:rsidR="004F742F" w:rsidRPr="00D4527E">
        <w:rPr>
          <w:rFonts w:ascii="Arial" w:hAnsi="Arial" w:cs="Arial"/>
          <w:lang w:eastAsia="en-GB"/>
        </w:rPr>
        <w:t>the Coun</w:t>
      </w:r>
      <w:r w:rsidR="002365C4" w:rsidRPr="00D4527E">
        <w:rPr>
          <w:rFonts w:ascii="Arial" w:hAnsi="Arial" w:cs="Arial"/>
          <w:lang w:eastAsia="en-GB"/>
        </w:rPr>
        <w:t xml:space="preserve">cil will continue to pursue </w:t>
      </w:r>
      <w:r w:rsidR="00AC7EF0" w:rsidRPr="00D4527E">
        <w:rPr>
          <w:rFonts w:ascii="Arial" w:hAnsi="Arial" w:cs="Arial"/>
          <w:lang w:eastAsia="en-GB"/>
        </w:rPr>
        <w:t>opportunities</w:t>
      </w:r>
      <w:r w:rsidR="00D4527E" w:rsidRPr="00D4527E">
        <w:rPr>
          <w:rFonts w:ascii="Arial" w:hAnsi="Arial" w:cs="Arial"/>
          <w:lang w:eastAsia="en-GB"/>
        </w:rPr>
        <w:t xml:space="preserve"> to</w:t>
      </w:r>
      <w:r w:rsidR="0030464F" w:rsidRPr="00D4527E">
        <w:rPr>
          <w:rFonts w:ascii="Arial" w:hAnsi="Arial" w:cs="Arial"/>
          <w:lang w:eastAsia="en-GB"/>
        </w:rPr>
        <w:t xml:space="preserve"> releas</w:t>
      </w:r>
      <w:r w:rsidR="00D4527E" w:rsidRPr="00D4527E">
        <w:rPr>
          <w:rFonts w:ascii="Arial" w:hAnsi="Arial" w:cs="Arial"/>
          <w:lang w:eastAsia="en-GB"/>
        </w:rPr>
        <w:t>e</w:t>
      </w:r>
      <w:r w:rsidR="0030464F" w:rsidRPr="00D4527E">
        <w:rPr>
          <w:rFonts w:ascii="Arial" w:hAnsi="Arial" w:cs="Arial"/>
          <w:lang w:eastAsia="en-GB"/>
        </w:rPr>
        <w:t xml:space="preserve"> resources for re-investment</w:t>
      </w:r>
      <w:r w:rsidR="006023C8" w:rsidRPr="00D4527E">
        <w:rPr>
          <w:rFonts w:ascii="Arial" w:hAnsi="Arial" w:cs="Arial"/>
          <w:lang w:eastAsia="en-GB"/>
        </w:rPr>
        <w:t xml:space="preserve">, </w:t>
      </w:r>
      <w:r w:rsidR="00D4527E" w:rsidRPr="00D4527E">
        <w:rPr>
          <w:rFonts w:ascii="Arial" w:hAnsi="Arial" w:cs="Arial"/>
          <w:lang w:eastAsia="en-GB"/>
        </w:rPr>
        <w:t>as well as</w:t>
      </w:r>
      <w:r w:rsidR="006023C8" w:rsidRPr="00D4527E">
        <w:rPr>
          <w:rFonts w:ascii="Arial" w:hAnsi="Arial" w:cs="Arial"/>
          <w:lang w:eastAsia="en-GB"/>
        </w:rPr>
        <w:t xml:space="preserve"> continu</w:t>
      </w:r>
      <w:r w:rsidR="00D4527E" w:rsidRPr="00D4527E">
        <w:rPr>
          <w:rFonts w:ascii="Arial" w:hAnsi="Arial" w:cs="Arial"/>
          <w:lang w:eastAsia="en-GB"/>
        </w:rPr>
        <w:t>ing</w:t>
      </w:r>
      <w:r w:rsidR="006023C8" w:rsidRPr="00D4527E">
        <w:rPr>
          <w:rFonts w:ascii="Arial" w:hAnsi="Arial" w:cs="Arial"/>
          <w:lang w:eastAsia="en-GB"/>
        </w:rPr>
        <w:t xml:space="preserve"> to </w:t>
      </w:r>
      <w:r w:rsidR="00EF0E4B">
        <w:rPr>
          <w:rFonts w:ascii="Arial" w:hAnsi="Arial" w:cs="Arial"/>
          <w:lang w:eastAsia="en-GB"/>
        </w:rPr>
        <w:t>maintain strong budgetary co</w:t>
      </w:r>
      <w:r w:rsidR="005224D3">
        <w:rPr>
          <w:rFonts w:ascii="Arial" w:hAnsi="Arial" w:cs="Arial"/>
          <w:lang w:eastAsia="en-GB"/>
        </w:rPr>
        <w:t>ntrol</w:t>
      </w:r>
      <w:r w:rsidR="006023C8">
        <w:rPr>
          <w:rFonts w:ascii="Arial" w:hAnsi="Arial" w:cs="Arial"/>
          <w:lang w:eastAsia="en-GB"/>
        </w:rPr>
        <w:t xml:space="preserve"> to </w:t>
      </w:r>
      <w:r w:rsidR="006023C8" w:rsidRPr="00D4527E">
        <w:rPr>
          <w:rFonts w:ascii="Arial" w:hAnsi="Arial" w:cs="Arial"/>
          <w:lang w:eastAsia="en-GB"/>
        </w:rPr>
        <w:t xml:space="preserve">ensure  </w:t>
      </w:r>
      <w:r w:rsidR="00D4527E">
        <w:rPr>
          <w:rFonts w:ascii="Arial" w:hAnsi="Arial" w:cs="Arial"/>
          <w:lang w:eastAsia="en-GB"/>
        </w:rPr>
        <w:t xml:space="preserve">revenue </w:t>
      </w:r>
      <w:r w:rsidR="006023C8" w:rsidRPr="00D4527E">
        <w:rPr>
          <w:rFonts w:ascii="Arial" w:hAnsi="Arial" w:cs="Arial"/>
          <w:lang w:eastAsia="en-GB"/>
        </w:rPr>
        <w:t xml:space="preserve">costs are contained </w:t>
      </w:r>
      <w:r w:rsidR="006023C8">
        <w:rPr>
          <w:rFonts w:ascii="Arial" w:hAnsi="Arial" w:cs="Arial"/>
          <w:lang w:eastAsia="en-GB"/>
        </w:rPr>
        <w:t xml:space="preserve">so </w:t>
      </w:r>
      <w:r w:rsidR="005224D3">
        <w:rPr>
          <w:rFonts w:ascii="Arial" w:hAnsi="Arial" w:cs="Arial"/>
          <w:lang w:eastAsia="en-GB"/>
        </w:rPr>
        <w:t>as</w:t>
      </w:r>
      <w:r w:rsidR="006023C8" w:rsidRPr="00D4527E">
        <w:rPr>
          <w:rFonts w:ascii="Arial" w:hAnsi="Arial" w:cs="Arial"/>
          <w:lang w:eastAsia="en-GB"/>
        </w:rPr>
        <w:t xml:space="preserve"> not</w:t>
      </w:r>
      <w:r w:rsidR="005224D3">
        <w:rPr>
          <w:rFonts w:ascii="Arial" w:hAnsi="Arial" w:cs="Arial"/>
          <w:lang w:eastAsia="en-GB"/>
        </w:rPr>
        <w:t xml:space="preserve"> to</w:t>
      </w:r>
      <w:r w:rsidR="006023C8">
        <w:rPr>
          <w:rFonts w:ascii="Arial" w:hAnsi="Arial" w:cs="Arial"/>
          <w:lang w:eastAsia="en-GB"/>
        </w:rPr>
        <w:t xml:space="preserve"> </w:t>
      </w:r>
      <w:r w:rsidR="006023C8" w:rsidRPr="00D4527E">
        <w:rPr>
          <w:rFonts w:ascii="Arial" w:hAnsi="Arial" w:cs="Arial"/>
          <w:lang w:eastAsia="en-GB"/>
        </w:rPr>
        <w:t>put pressure on the required revenue contributions to the capital programme.</w:t>
      </w:r>
    </w:p>
    <w:p w14:paraId="43F2AF41" w14:textId="77777777" w:rsidR="00F71115" w:rsidRPr="00DC3195" w:rsidRDefault="00F71115" w:rsidP="004F742F">
      <w:pPr>
        <w:pStyle w:val="Heading1"/>
        <w:rPr>
          <w:bCs w:val="0"/>
          <w:color w:val="C45911"/>
          <w:highlight w:val="cyan"/>
        </w:rPr>
      </w:pPr>
    </w:p>
    <w:p w14:paraId="503A2D4D" w14:textId="77777777" w:rsidR="004F742F" w:rsidRPr="00493BB6" w:rsidRDefault="004F742F" w:rsidP="004F742F">
      <w:pPr>
        <w:pStyle w:val="Heading1"/>
        <w:rPr>
          <w:color w:val="C45911"/>
        </w:rPr>
      </w:pPr>
      <w:r w:rsidRPr="00493BB6">
        <w:rPr>
          <w:color w:val="C45911"/>
        </w:rPr>
        <w:t>Housing Revenue Account Forecast</w:t>
      </w:r>
    </w:p>
    <w:p w14:paraId="62E8B0E5" w14:textId="77777777" w:rsidR="004F742F" w:rsidRPr="00493BB6" w:rsidRDefault="004F742F" w:rsidP="004F742F">
      <w:pPr>
        <w:rPr>
          <w:rFonts w:ascii="Arial" w:hAnsi="Arial" w:cs="Arial"/>
        </w:rPr>
      </w:pPr>
    </w:p>
    <w:p w14:paraId="0E7A8E2B" w14:textId="77777777" w:rsidR="00D56801" w:rsidRDefault="004F742F" w:rsidP="004F742F">
      <w:pPr>
        <w:jc w:val="both"/>
        <w:rPr>
          <w:rFonts w:ascii="Arial" w:hAnsi="Arial" w:cs="Arial"/>
        </w:rPr>
      </w:pPr>
      <w:r w:rsidRPr="00493BB6">
        <w:rPr>
          <w:rFonts w:ascii="Arial" w:hAnsi="Arial" w:cs="Arial"/>
        </w:rPr>
        <w:t xml:space="preserve">Appendix </w:t>
      </w:r>
      <w:r w:rsidR="005939F3" w:rsidRPr="00493BB6">
        <w:rPr>
          <w:rFonts w:ascii="Arial" w:hAnsi="Arial" w:cs="Arial"/>
        </w:rPr>
        <w:t>2</w:t>
      </w:r>
      <w:r w:rsidRPr="00493BB6">
        <w:rPr>
          <w:rFonts w:ascii="Arial" w:hAnsi="Arial" w:cs="Arial"/>
        </w:rPr>
        <w:t xml:space="preserve"> provides a summary five-year Housing Revenue Account for the Council.  </w:t>
      </w:r>
    </w:p>
    <w:p w14:paraId="132B046A" w14:textId="77777777" w:rsidR="00D56801" w:rsidRDefault="00D56801" w:rsidP="004F742F">
      <w:pPr>
        <w:jc w:val="both"/>
        <w:rPr>
          <w:rFonts w:ascii="Arial" w:hAnsi="Arial" w:cs="Arial"/>
        </w:rPr>
      </w:pPr>
    </w:p>
    <w:p w14:paraId="13D73DCD" w14:textId="0EACB867" w:rsidR="004F742F" w:rsidRPr="00493BB6" w:rsidRDefault="00C26229" w:rsidP="004F742F">
      <w:pPr>
        <w:jc w:val="both"/>
        <w:rPr>
          <w:rFonts w:ascii="Arial" w:hAnsi="Arial" w:cs="Arial"/>
        </w:rPr>
      </w:pPr>
      <w:r>
        <w:rPr>
          <w:rFonts w:ascii="Arial" w:hAnsi="Arial" w:cs="Arial"/>
        </w:rPr>
        <w:t xml:space="preserve">Appendix 3 provides a summary five-year Housing Repairs Service </w:t>
      </w:r>
      <w:r w:rsidR="00E4346E">
        <w:rPr>
          <w:rFonts w:ascii="Arial" w:hAnsi="Arial" w:cs="Arial"/>
        </w:rPr>
        <w:t xml:space="preserve">(HRS) </w:t>
      </w:r>
      <w:r w:rsidR="00143981">
        <w:rPr>
          <w:rFonts w:ascii="Arial" w:hAnsi="Arial" w:cs="Arial"/>
        </w:rPr>
        <w:t xml:space="preserve">Account </w:t>
      </w:r>
      <w:r w:rsidR="00F46F12">
        <w:rPr>
          <w:rFonts w:ascii="Arial" w:hAnsi="Arial" w:cs="Arial"/>
        </w:rPr>
        <w:t>though</w:t>
      </w:r>
      <w:r w:rsidR="00761C5A">
        <w:rPr>
          <w:rFonts w:ascii="Arial" w:hAnsi="Arial" w:cs="Arial"/>
        </w:rPr>
        <w:t>,</w:t>
      </w:r>
      <w:r w:rsidR="00143981">
        <w:rPr>
          <w:rFonts w:ascii="Arial" w:hAnsi="Arial" w:cs="Arial"/>
        </w:rPr>
        <w:t xml:space="preserve"> due to the full cost recovery nature of the </w:t>
      </w:r>
      <w:r w:rsidR="00DC70B5">
        <w:rPr>
          <w:rFonts w:ascii="Arial" w:hAnsi="Arial" w:cs="Arial"/>
        </w:rPr>
        <w:t>HRS</w:t>
      </w:r>
      <w:r w:rsidR="00761C5A">
        <w:rPr>
          <w:rFonts w:ascii="Arial" w:hAnsi="Arial" w:cs="Arial"/>
        </w:rPr>
        <w:t>,</w:t>
      </w:r>
      <w:r w:rsidR="00143981">
        <w:rPr>
          <w:rFonts w:ascii="Arial" w:hAnsi="Arial" w:cs="Arial"/>
        </w:rPr>
        <w:t xml:space="preserve"> the</w:t>
      </w:r>
      <w:r w:rsidR="00E33621">
        <w:rPr>
          <w:rFonts w:ascii="Arial" w:hAnsi="Arial" w:cs="Arial"/>
        </w:rPr>
        <w:t xml:space="preserve"> </w:t>
      </w:r>
      <w:r w:rsidR="00DC70B5">
        <w:rPr>
          <w:rFonts w:ascii="Arial" w:hAnsi="Arial" w:cs="Arial"/>
        </w:rPr>
        <w:t xml:space="preserve">budgets are set at </w:t>
      </w:r>
      <w:r w:rsidR="00401A82">
        <w:rPr>
          <w:rFonts w:ascii="Arial" w:hAnsi="Arial" w:cs="Arial"/>
        </w:rPr>
        <w:t>z</w:t>
      </w:r>
      <w:r w:rsidR="006F5627">
        <w:rPr>
          <w:rFonts w:ascii="Arial" w:hAnsi="Arial" w:cs="Arial"/>
        </w:rPr>
        <w:t>ero with all costs fully-repat</w:t>
      </w:r>
      <w:r w:rsidR="00761C5A">
        <w:rPr>
          <w:rFonts w:ascii="Arial" w:hAnsi="Arial" w:cs="Arial"/>
        </w:rPr>
        <w:t xml:space="preserve">riated to the HRA and included within the </w:t>
      </w:r>
      <w:r w:rsidR="001639C6">
        <w:rPr>
          <w:rFonts w:ascii="Arial" w:hAnsi="Arial" w:cs="Arial"/>
        </w:rPr>
        <w:t>HRA Summary.</w:t>
      </w:r>
    </w:p>
    <w:p w14:paraId="40F249CD" w14:textId="77777777" w:rsidR="009A2EA3" w:rsidRPr="00493BB6" w:rsidRDefault="009A2EA3" w:rsidP="004F742F">
      <w:pPr>
        <w:pStyle w:val="Heading7"/>
        <w:rPr>
          <w:color w:val="C45911"/>
          <w:sz w:val="28"/>
        </w:rPr>
      </w:pPr>
    </w:p>
    <w:p w14:paraId="6B459B6C" w14:textId="3BD3A1C8" w:rsidR="004F742F" w:rsidRPr="00493BB6" w:rsidRDefault="00F71115" w:rsidP="004F742F">
      <w:pPr>
        <w:pStyle w:val="Heading7"/>
        <w:rPr>
          <w:color w:val="C45911"/>
        </w:rPr>
      </w:pPr>
      <w:r w:rsidRPr="00493BB6">
        <w:rPr>
          <w:color w:val="C45911"/>
          <w:sz w:val="28"/>
        </w:rPr>
        <w:t>R</w:t>
      </w:r>
      <w:r w:rsidR="004F742F" w:rsidRPr="00493BB6">
        <w:rPr>
          <w:color w:val="C45911"/>
          <w:sz w:val="28"/>
        </w:rPr>
        <w:t>isks to the Housing Revenue Account Budget</w:t>
      </w:r>
    </w:p>
    <w:p w14:paraId="686860D6" w14:textId="77777777" w:rsidR="004F742F" w:rsidRPr="00493BB6" w:rsidRDefault="004F742F" w:rsidP="004F742F">
      <w:pPr>
        <w:rPr>
          <w:rFonts w:ascii="Arial" w:hAnsi="Arial" w:cs="Arial"/>
        </w:rPr>
      </w:pPr>
    </w:p>
    <w:p w14:paraId="0757F372" w14:textId="77777777" w:rsidR="004F742F" w:rsidRPr="00493BB6" w:rsidRDefault="004F742F" w:rsidP="004F742F">
      <w:pPr>
        <w:jc w:val="both"/>
        <w:rPr>
          <w:rFonts w:ascii="Arial" w:hAnsi="Arial" w:cs="Arial"/>
        </w:rPr>
      </w:pPr>
      <w:r w:rsidRPr="00493BB6">
        <w:rPr>
          <w:rFonts w:ascii="Arial" w:hAnsi="Arial" w:cs="Arial"/>
        </w:rPr>
        <w:t>The Council has adopted a corporate approach to risk management and financial risk management</w:t>
      </w:r>
      <w:r w:rsidR="009D135B" w:rsidRPr="00493BB6">
        <w:rPr>
          <w:rFonts w:ascii="Arial" w:hAnsi="Arial" w:cs="Arial"/>
        </w:rPr>
        <w:t xml:space="preserve"> which</w:t>
      </w:r>
      <w:r w:rsidRPr="00493BB6">
        <w:rPr>
          <w:rFonts w:ascii="Arial" w:hAnsi="Arial" w:cs="Arial"/>
        </w:rPr>
        <w:t xml:space="preserve"> is integrated into the Council’s overall management and decision-making processes.  </w:t>
      </w:r>
    </w:p>
    <w:p w14:paraId="54232000" w14:textId="77777777" w:rsidR="004F742F" w:rsidRPr="00493BB6" w:rsidRDefault="004F742F" w:rsidP="004F742F">
      <w:pPr>
        <w:pStyle w:val="BodyText"/>
        <w:jc w:val="both"/>
        <w:rPr>
          <w:b w:val="0"/>
        </w:rPr>
      </w:pPr>
    </w:p>
    <w:p w14:paraId="628F73B1" w14:textId="77777777" w:rsidR="004F742F" w:rsidRPr="00493BB6" w:rsidRDefault="004F742F" w:rsidP="004F742F">
      <w:pPr>
        <w:pStyle w:val="BodyText"/>
        <w:jc w:val="both"/>
        <w:rPr>
          <w:b w:val="0"/>
        </w:rPr>
      </w:pPr>
      <w:r w:rsidRPr="00493BB6">
        <w:rPr>
          <w:b w:val="0"/>
        </w:rPr>
        <w:t>A number of key high-level risks have been identified which could have a positive impact that could yield additional resources, but conversely some risks may have a negative impact and result in a reduction of resources. These key risks are action planned and continually reviewed as the MTFS develops.  The main areas they cover are:</w:t>
      </w:r>
    </w:p>
    <w:p w14:paraId="34564962" w14:textId="77777777" w:rsidR="004F742F" w:rsidRPr="00DC3195" w:rsidRDefault="004F742F" w:rsidP="004F742F">
      <w:pPr>
        <w:ind w:left="394"/>
        <w:jc w:val="both"/>
        <w:rPr>
          <w:rFonts w:ascii="Arial" w:hAnsi="Arial" w:cs="Arial"/>
          <w:highlight w:val="cyan"/>
        </w:rPr>
      </w:pPr>
    </w:p>
    <w:p w14:paraId="5F362BB9" w14:textId="77777777" w:rsidR="00437A9D" w:rsidRDefault="00437A9D" w:rsidP="00437A9D">
      <w:pPr>
        <w:numPr>
          <w:ilvl w:val="0"/>
          <w:numId w:val="1"/>
        </w:numPr>
        <w:ind w:left="748" w:hanging="357"/>
        <w:jc w:val="both"/>
        <w:rPr>
          <w:rFonts w:ascii="Arial" w:hAnsi="Arial" w:cs="Arial"/>
        </w:rPr>
      </w:pPr>
      <w:r>
        <w:rPr>
          <w:rFonts w:ascii="Arial" w:hAnsi="Arial" w:cs="Arial"/>
        </w:rPr>
        <w:t>Uncertainty around future local government structures due to pending LGR and the impact on the future of the City Council</w:t>
      </w:r>
    </w:p>
    <w:p w14:paraId="6D4A06A5" w14:textId="6DF1F0BB" w:rsidR="009E2CEB" w:rsidRPr="009449D1" w:rsidRDefault="004F742F" w:rsidP="00CF25BB">
      <w:pPr>
        <w:numPr>
          <w:ilvl w:val="0"/>
          <w:numId w:val="1"/>
        </w:numPr>
        <w:jc w:val="both"/>
        <w:rPr>
          <w:rFonts w:ascii="Arial" w:hAnsi="Arial" w:cs="Arial"/>
        </w:rPr>
      </w:pPr>
      <w:r w:rsidRPr="009449D1">
        <w:rPr>
          <w:rFonts w:ascii="Arial" w:hAnsi="Arial" w:cs="Arial"/>
        </w:rPr>
        <w:t xml:space="preserve">Risk of further government </w:t>
      </w:r>
      <w:r w:rsidR="00AE233E" w:rsidRPr="009449D1">
        <w:rPr>
          <w:rFonts w:ascii="Arial" w:hAnsi="Arial" w:cs="Arial"/>
        </w:rPr>
        <w:t>interventions</w:t>
      </w:r>
      <w:r w:rsidRPr="009449D1">
        <w:rPr>
          <w:rFonts w:ascii="Arial" w:hAnsi="Arial" w:cs="Arial"/>
        </w:rPr>
        <w:t xml:space="preserve"> limiting the flexibilities and freedoms offered by the HRA Self -Financing regime</w:t>
      </w:r>
      <w:r w:rsidR="00CF0385" w:rsidRPr="009449D1">
        <w:rPr>
          <w:rFonts w:ascii="Arial" w:hAnsi="Arial" w:cs="Arial"/>
        </w:rPr>
        <w:t xml:space="preserve"> particularly housing rent levels</w:t>
      </w:r>
      <w:r w:rsidR="009449D1" w:rsidRPr="009449D1">
        <w:rPr>
          <w:rFonts w:ascii="Arial" w:hAnsi="Arial" w:cs="Arial"/>
        </w:rPr>
        <w:t xml:space="preserve"> (mitigated by the current 10-year settlement)</w:t>
      </w:r>
      <w:r w:rsidR="003C33FD">
        <w:rPr>
          <w:rFonts w:ascii="Arial" w:hAnsi="Arial" w:cs="Arial"/>
        </w:rPr>
        <w:t>.</w:t>
      </w:r>
    </w:p>
    <w:p w14:paraId="31B96C71" w14:textId="2852B962" w:rsidR="00304887" w:rsidRPr="009F7DC8" w:rsidRDefault="00F33541" w:rsidP="009F7DC8">
      <w:pPr>
        <w:pStyle w:val="Footer"/>
        <w:numPr>
          <w:ilvl w:val="0"/>
          <w:numId w:val="1"/>
        </w:numPr>
        <w:tabs>
          <w:tab w:val="clear" w:pos="4153"/>
          <w:tab w:val="clear" w:pos="8306"/>
          <w:tab w:val="left" w:pos="0"/>
        </w:tabs>
        <w:jc w:val="both"/>
        <w:rPr>
          <w:rFonts w:ascii="Arial" w:hAnsi="Arial" w:cs="Arial"/>
        </w:rPr>
      </w:pPr>
      <w:r w:rsidRPr="009449D1">
        <w:rPr>
          <w:rFonts w:ascii="Arial" w:hAnsi="Arial" w:cs="Arial"/>
        </w:rPr>
        <w:t>Fluctuations in</w:t>
      </w:r>
      <w:r w:rsidR="004E46D5" w:rsidRPr="009449D1">
        <w:rPr>
          <w:rFonts w:ascii="Arial" w:hAnsi="Arial" w:cs="Arial"/>
        </w:rPr>
        <w:t xml:space="preserve"> rental income and arrears, </w:t>
      </w:r>
      <w:r w:rsidR="009F7DC8" w:rsidRPr="00D97EEB">
        <w:rPr>
          <w:rFonts w:ascii="Arial" w:hAnsi="Arial" w:cs="Arial"/>
        </w:rPr>
        <w:t>as household incomes continue to be squeezed.</w:t>
      </w:r>
    </w:p>
    <w:p w14:paraId="00574C1F" w14:textId="0DEDA041" w:rsidR="00CF0385" w:rsidRPr="009449D1" w:rsidRDefault="00304887" w:rsidP="00CF25BB">
      <w:pPr>
        <w:numPr>
          <w:ilvl w:val="0"/>
          <w:numId w:val="1"/>
        </w:numPr>
        <w:jc w:val="both"/>
        <w:rPr>
          <w:rFonts w:ascii="Arial" w:hAnsi="Arial" w:cs="Arial"/>
        </w:rPr>
      </w:pPr>
      <w:r w:rsidRPr="009449D1">
        <w:rPr>
          <w:rFonts w:ascii="Arial" w:hAnsi="Arial" w:cs="Arial"/>
        </w:rPr>
        <w:t>Increased cost of repairs and maintenance</w:t>
      </w:r>
      <w:r w:rsidR="00F22816" w:rsidRPr="009449D1">
        <w:rPr>
          <w:rFonts w:ascii="Arial" w:hAnsi="Arial" w:cs="Arial"/>
        </w:rPr>
        <w:t xml:space="preserve"> to housing stoc</w:t>
      </w:r>
      <w:r w:rsidR="00204160" w:rsidRPr="009449D1">
        <w:rPr>
          <w:rFonts w:ascii="Arial" w:hAnsi="Arial" w:cs="Arial"/>
        </w:rPr>
        <w:t>k</w:t>
      </w:r>
      <w:r w:rsidR="00063CA9">
        <w:rPr>
          <w:rFonts w:ascii="Arial" w:hAnsi="Arial" w:cs="Arial"/>
        </w:rPr>
        <w:t>, particularly in light of latest stock condition surveys</w:t>
      </w:r>
    </w:p>
    <w:p w14:paraId="300FF676" w14:textId="5F6FB2D7" w:rsidR="00CF0385" w:rsidRPr="009449D1" w:rsidRDefault="00CF0385" w:rsidP="00CF25BB">
      <w:pPr>
        <w:numPr>
          <w:ilvl w:val="0"/>
          <w:numId w:val="1"/>
        </w:numPr>
        <w:jc w:val="both"/>
        <w:rPr>
          <w:rFonts w:ascii="Arial" w:hAnsi="Arial" w:cs="Arial"/>
        </w:rPr>
      </w:pPr>
      <w:r w:rsidRPr="009449D1">
        <w:rPr>
          <w:rFonts w:ascii="Arial" w:hAnsi="Arial" w:cs="Arial"/>
        </w:rPr>
        <w:t xml:space="preserve">Implications arising from the </w:t>
      </w:r>
      <w:r w:rsidR="00E43B94" w:rsidRPr="009449D1">
        <w:rPr>
          <w:rFonts w:ascii="Arial" w:hAnsi="Arial" w:cs="Arial"/>
        </w:rPr>
        <w:t>Government’s NPPF and man</w:t>
      </w:r>
      <w:r w:rsidR="0089783E" w:rsidRPr="009449D1">
        <w:rPr>
          <w:rFonts w:ascii="Arial" w:hAnsi="Arial" w:cs="Arial"/>
        </w:rPr>
        <w:t>datory housing targets</w:t>
      </w:r>
      <w:r w:rsidR="009E1A22">
        <w:rPr>
          <w:rFonts w:ascii="Arial" w:hAnsi="Arial" w:cs="Arial"/>
        </w:rPr>
        <w:t>.</w:t>
      </w:r>
    </w:p>
    <w:p w14:paraId="3545AA63" w14:textId="5B2CC3BC" w:rsidR="009460CB" w:rsidRPr="009449D1" w:rsidRDefault="009460CB" w:rsidP="00CF25BB">
      <w:pPr>
        <w:numPr>
          <w:ilvl w:val="0"/>
          <w:numId w:val="1"/>
        </w:numPr>
        <w:ind w:left="748" w:hanging="357"/>
        <w:jc w:val="both"/>
        <w:rPr>
          <w:rFonts w:ascii="Arial" w:hAnsi="Arial" w:cs="Arial"/>
        </w:rPr>
      </w:pPr>
      <w:r w:rsidRPr="009449D1">
        <w:rPr>
          <w:rFonts w:ascii="Arial" w:hAnsi="Arial" w:cs="Arial"/>
        </w:rPr>
        <w:t>Impact of economic climate on demand for services, particularly from those most vulnerable in the City e.g. housing waiting lists</w:t>
      </w:r>
      <w:r w:rsidR="009E1A22">
        <w:rPr>
          <w:rFonts w:ascii="Arial" w:hAnsi="Arial" w:cs="Arial"/>
        </w:rPr>
        <w:t>.</w:t>
      </w:r>
    </w:p>
    <w:p w14:paraId="043F06E4" w14:textId="77777777" w:rsidR="004F4F83" w:rsidRDefault="0089783E" w:rsidP="00D5019B">
      <w:pPr>
        <w:numPr>
          <w:ilvl w:val="0"/>
          <w:numId w:val="1"/>
        </w:numPr>
        <w:jc w:val="both"/>
        <w:rPr>
          <w:rFonts w:ascii="Arial" w:hAnsi="Arial" w:cs="Arial"/>
        </w:rPr>
      </w:pPr>
      <w:r w:rsidRPr="004F4F83">
        <w:rPr>
          <w:rFonts w:ascii="Arial" w:hAnsi="Arial" w:cs="Arial"/>
        </w:rPr>
        <w:t>Imp</w:t>
      </w:r>
      <w:r w:rsidR="00E84000" w:rsidRPr="004F4F83">
        <w:rPr>
          <w:rFonts w:ascii="Arial" w:hAnsi="Arial" w:cs="Arial"/>
        </w:rPr>
        <w:t>lications of Government policies on demand for services e.g. asylum dispersal, early prison release</w:t>
      </w:r>
      <w:r w:rsidR="003C33FD" w:rsidRPr="004F4F83">
        <w:rPr>
          <w:rFonts w:ascii="Arial" w:hAnsi="Arial" w:cs="Arial"/>
        </w:rPr>
        <w:t>.</w:t>
      </w:r>
    </w:p>
    <w:p w14:paraId="442BBA3A" w14:textId="04554B72" w:rsidR="004F4F83" w:rsidRDefault="004F4F83" w:rsidP="00D5019B">
      <w:pPr>
        <w:numPr>
          <w:ilvl w:val="0"/>
          <w:numId w:val="1"/>
        </w:numPr>
        <w:jc w:val="both"/>
        <w:rPr>
          <w:rFonts w:ascii="Arial" w:hAnsi="Arial" w:cs="Arial"/>
        </w:rPr>
      </w:pPr>
      <w:r>
        <w:rPr>
          <w:rFonts w:ascii="Arial" w:hAnsi="Arial" w:cs="Arial"/>
        </w:rPr>
        <w:t>The potential for future new statutory and regulatory requirements</w:t>
      </w:r>
      <w:r w:rsidR="00110635">
        <w:rPr>
          <w:rFonts w:ascii="Arial" w:hAnsi="Arial" w:cs="Arial"/>
        </w:rPr>
        <w:t>, particularly in relation to buildings standards and safety e.g. new Decent Homes Standard.</w:t>
      </w:r>
    </w:p>
    <w:p w14:paraId="2268EE39" w14:textId="0AB07C7D" w:rsidR="006C3B29" w:rsidRDefault="006C3B29" w:rsidP="00D5019B">
      <w:pPr>
        <w:numPr>
          <w:ilvl w:val="0"/>
          <w:numId w:val="1"/>
        </w:numPr>
        <w:jc w:val="both"/>
        <w:rPr>
          <w:rFonts w:ascii="Arial" w:hAnsi="Arial" w:cs="Arial"/>
        </w:rPr>
      </w:pPr>
      <w:r>
        <w:rPr>
          <w:rFonts w:ascii="Arial" w:hAnsi="Arial" w:cs="Arial"/>
        </w:rPr>
        <w:t xml:space="preserve">Implications arising from standards and requirements arising from the Social Housing </w:t>
      </w:r>
      <w:r w:rsidR="00E316F0">
        <w:rPr>
          <w:rFonts w:ascii="Arial" w:hAnsi="Arial" w:cs="Arial"/>
        </w:rPr>
        <w:t>Regulation</w:t>
      </w:r>
      <w:r w:rsidR="00F81B43">
        <w:rPr>
          <w:rFonts w:ascii="Arial" w:hAnsi="Arial" w:cs="Arial"/>
        </w:rPr>
        <w:t xml:space="preserve"> Act</w:t>
      </w:r>
      <w:r w:rsidR="00E316F0">
        <w:rPr>
          <w:rFonts w:ascii="Arial" w:hAnsi="Arial" w:cs="Arial"/>
        </w:rPr>
        <w:t xml:space="preserve"> and new inspection regime.</w:t>
      </w:r>
    </w:p>
    <w:p w14:paraId="04B32206" w14:textId="00E66979" w:rsidR="00437A9D" w:rsidRPr="004F4F83" w:rsidRDefault="00437A9D" w:rsidP="00D5019B">
      <w:pPr>
        <w:numPr>
          <w:ilvl w:val="0"/>
          <w:numId w:val="1"/>
        </w:numPr>
        <w:jc w:val="both"/>
        <w:rPr>
          <w:rFonts w:ascii="Arial" w:hAnsi="Arial" w:cs="Arial"/>
        </w:rPr>
      </w:pPr>
      <w:r w:rsidRPr="004F4F83">
        <w:rPr>
          <w:rFonts w:ascii="Arial" w:hAnsi="Arial" w:cs="Arial"/>
        </w:rPr>
        <w:t>The impact of the Government’s fiscal policy on the broader economic environment, such as the impacts of movement in inflation, housing growth, and interest rates on the Council’s day to-day costs, income and treasury management activities.</w:t>
      </w:r>
    </w:p>
    <w:p w14:paraId="6F6EE55B" w14:textId="5F70BA14" w:rsidR="00233B50" w:rsidRPr="009449D1" w:rsidRDefault="00EB3FCF" w:rsidP="00CF25BB">
      <w:pPr>
        <w:numPr>
          <w:ilvl w:val="0"/>
          <w:numId w:val="1"/>
        </w:numPr>
        <w:jc w:val="both"/>
        <w:rPr>
          <w:rFonts w:ascii="Arial" w:hAnsi="Arial" w:cs="Arial"/>
        </w:rPr>
      </w:pPr>
      <w:r w:rsidRPr="009449D1">
        <w:rPr>
          <w:rFonts w:ascii="Arial" w:hAnsi="Arial" w:cs="Arial"/>
        </w:rPr>
        <w:t>Changes to key assumptions within the MTFS</w:t>
      </w:r>
      <w:r w:rsidR="00233B50" w:rsidRPr="009449D1">
        <w:rPr>
          <w:rFonts w:ascii="Arial" w:hAnsi="Arial" w:cs="Arial"/>
        </w:rPr>
        <w:t>.</w:t>
      </w:r>
    </w:p>
    <w:p w14:paraId="0C61D025" w14:textId="77777777" w:rsidR="00233B50" w:rsidRPr="009449D1" w:rsidRDefault="00233B50" w:rsidP="00CF25BB">
      <w:pPr>
        <w:numPr>
          <w:ilvl w:val="0"/>
          <w:numId w:val="1"/>
        </w:numPr>
        <w:jc w:val="both"/>
        <w:rPr>
          <w:rFonts w:ascii="Arial" w:hAnsi="Arial" w:cs="Arial"/>
        </w:rPr>
      </w:pPr>
      <w:r w:rsidRPr="009449D1">
        <w:rPr>
          <w:rFonts w:ascii="Arial" w:hAnsi="Arial" w:cs="Arial"/>
        </w:rPr>
        <w:t>Financial and budget management issues.</w:t>
      </w:r>
    </w:p>
    <w:p w14:paraId="1F7AC720" w14:textId="77777777" w:rsidR="00A1060F" w:rsidRPr="009449D1" w:rsidRDefault="00A1060F" w:rsidP="00A1060F">
      <w:pPr>
        <w:ind w:left="754"/>
        <w:jc w:val="both"/>
        <w:rPr>
          <w:rFonts w:ascii="Arial" w:hAnsi="Arial" w:cs="Arial"/>
          <w:color w:val="FF0000"/>
        </w:rPr>
      </w:pPr>
    </w:p>
    <w:p w14:paraId="4435EC7E" w14:textId="4EE34E32" w:rsidR="004F742F" w:rsidRPr="005C6861" w:rsidRDefault="004F742F" w:rsidP="004F742F">
      <w:pPr>
        <w:jc w:val="both"/>
        <w:rPr>
          <w:rFonts w:ascii="Arial" w:hAnsi="Arial" w:cs="Arial"/>
        </w:rPr>
      </w:pPr>
      <w:r w:rsidRPr="009449D1">
        <w:rPr>
          <w:rFonts w:ascii="Arial" w:hAnsi="Arial" w:cs="Arial"/>
        </w:rPr>
        <w:t xml:space="preserve">Appendix </w:t>
      </w:r>
      <w:r w:rsidR="00F926A5">
        <w:rPr>
          <w:rFonts w:ascii="Arial" w:hAnsi="Arial" w:cs="Arial"/>
        </w:rPr>
        <w:t>6</w:t>
      </w:r>
      <w:r w:rsidRPr="009449D1">
        <w:rPr>
          <w:rFonts w:ascii="Arial" w:hAnsi="Arial" w:cs="Arial"/>
        </w:rPr>
        <w:t xml:space="preserve"> details the risk action plans for the internal and external risks. Officers will continually monitor and appraise these risks as part of the on-going budget monitoring and reporting to Members.</w:t>
      </w:r>
    </w:p>
    <w:p w14:paraId="63BE7DC1" w14:textId="77777777" w:rsidR="000F48A9" w:rsidRPr="005C6861" w:rsidRDefault="004F742F" w:rsidP="000F48A9">
      <w:pPr>
        <w:pStyle w:val="Title"/>
        <w:tabs>
          <w:tab w:val="left" w:pos="9000"/>
        </w:tabs>
        <w:jc w:val="left"/>
        <w:rPr>
          <w:rFonts w:ascii="Arial" w:hAnsi="Arial" w:cs="Arial"/>
          <w:bCs/>
          <w:color w:val="C45911"/>
          <w:sz w:val="32"/>
          <w:szCs w:val="32"/>
          <w:u w:val="none"/>
        </w:rPr>
      </w:pPr>
      <w:r w:rsidRPr="005C6861">
        <w:rPr>
          <w:rFonts w:ascii="Arial" w:hAnsi="Arial" w:cs="Arial"/>
        </w:rPr>
        <w:br w:type="page"/>
      </w:r>
      <w:r w:rsidR="00736A6B" w:rsidRPr="005C6861">
        <w:rPr>
          <w:rFonts w:ascii="Arial" w:hAnsi="Arial" w:cs="Arial"/>
          <w:bCs/>
          <w:color w:val="C45911"/>
          <w:sz w:val="32"/>
          <w:szCs w:val="32"/>
          <w:u w:val="none"/>
        </w:rPr>
        <w:t xml:space="preserve">Section 6 – The Housing Investment Programme </w:t>
      </w:r>
    </w:p>
    <w:p w14:paraId="1DEB491B" w14:textId="77777777" w:rsidR="00736A6B" w:rsidRPr="005C6861" w:rsidRDefault="00736A6B" w:rsidP="000F48A9">
      <w:pPr>
        <w:pStyle w:val="Title"/>
        <w:tabs>
          <w:tab w:val="left" w:pos="9000"/>
        </w:tabs>
        <w:jc w:val="left"/>
        <w:rPr>
          <w:rFonts w:ascii="Arial" w:hAnsi="Arial" w:cs="Arial"/>
          <w:bCs/>
          <w:color w:val="0000FF"/>
          <w:szCs w:val="24"/>
          <w:u w:val="none"/>
        </w:rPr>
      </w:pPr>
    </w:p>
    <w:p w14:paraId="66604B2D" w14:textId="77777777" w:rsidR="000F48A9" w:rsidRPr="00647EE5" w:rsidRDefault="000F48A9" w:rsidP="000F48A9">
      <w:pPr>
        <w:jc w:val="both"/>
        <w:rPr>
          <w:rFonts w:ascii="Arial" w:hAnsi="Arial" w:cs="Arial"/>
        </w:rPr>
      </w:pPr>
      <w:r w:rsidRPr="00647EE5">
        <w:rPr>
          <w:rFonts w:ascii="Arial" w:hAnsi="Arial" w:cs="Arial"/>
        </w:rPr>
        <w:t xml:space="preserve">The Housing Investment Programme (HIP) covers all aspects of capital expenditure relating to the Council’s landlord function.  The Capital Strategy for the HIP reflects the </w:t>
      </w:r>
      <w:r w:rsidR="00FF7713" w:rsidRPr="00647EE5">
        <w:rPr>
          <w:rFonts w:ascii="Arial" w:hAnsi="Arial" w:cs="Arial"/>
        </w:rPr>
        <w:t>30-year Business Plan</w:t>
      </w:r>
      <w:r w:rsidRPr="00647EE5">
        <w:rPr>
          <w:rFonts w:ascii="Arial" w:hAnsi="Arial" w:cs="Arial"/>
        </w:rPr>
        <w:t xml:space="preserve"> and details the </w:t>
      </w:r>
      <w:r w:rsidR="00A975F4" w:rsidRPr="00647EE5">
        <w:rPr>
          <w:rFonts w:ascii="Arial" w:hAnsi="Arial" w:cs="Arial"/>
        </w:rPr>
        <w:t>5-year</w:t>
      </w:r>
      <w:r w:rsidRPr="00647EE5">
        <w:rPr>
          <w:rFonts w:ascii="Arial" w:hAnsi="Arial" w:cs="Arial"/>
        </w:rPr>
        <w:t xml:space="preserve"> capital programme.  </w:t>
      </w:r>
    </w:p>
    <w:p w14:paraId="1730EA4C" w14:textId="77777777" w:rsidR="000F48A9" w:rsidRPr="000A13A9" w:rsidRDefault="000F48A9" w:rsidP="000F48A9">
      <w:pPr>
        <w:pStyle w:val="BodyText"/>
        <w:tabs>
          <w:tab w:val="left" w:pos="9000"/>
        </w:tabs>
        <w:jc w:val="both"/>
        <w:rPr>
          <w:b w:val="0"/>
          <w:bCs w:val="0"/>
          <w:highlight w:val="green"/>
        </w:rPr>
      </w:pPr>
    </w:p>
    <w:p w14:paraId="4A991D22" w14:textId="77777777" w:rsidR="000F48A9" w:rsidRPr="00647EE5" w:rsidRDefault="000F48A9" w:rsidP="000F48A9">
      <w:pPr>
        <w:pStyle w:val="BodyText"/>
        <w:tabs>
          <w:tab w:val="left" w:pos="9000"/>
        </w:tabs>
        <w:jc w:val="both"/>
        <w:rPr>
          <w:color w:val="C45911"/>
          <w:sz w:val="28"/>
          <w:szCs w:val="28"/>
        </w:rPr>
      </w:pPr>
      <w:r w:rsidRPr="00647EE5">
        <w:rPr>
          <w:color w:val="C45911"/>
          <w:sz w:val="28"/>
          <w:szCs w:val="28"/>
        </w:rPr>
        <w:t>Capital Spending Plans</w:t>
      </w:r>
    </w:p>
    <w:p w14:paraId="6EFF6BAE" w14:textId="77777777" w:rsidR="000F48A9" w:rsidRPr="00647EE5" w:rsidRDefault="000F48A9" w:rsidP="000F48A9">
      <w:pPr>
        <w:pStyle w:val="BodyText"/>
        <w:tabs>
          <w:tab w:val="left" w:pos="9000"/>
        </w:tabs>
        <w:jc w:val="both"/>
      </w:pPr>
    </w:p>
    <w:p w14:paraId="57D2D33E" w14:textId="63EA4997" w:rsidR="00953768" w:rsidRPr="00647EE5" w:rsidRDefault="000F48A9" w:rsidP="00953768">
      <w:pPr>
        <w:pStyle w:val="Heading5"/>
        <w:rPr>
          <w:b w:val="0"/>
          <w:color w:val="auto"/>
          <w:sz w:val="24"/>
        </w:rPr>
      </w:pPr>
      <w:r w:rsidRPr="00647EE5">
        <w:rPr>
          <w:b w:val="0"/>
          <w:color w:val="auto"/>
          <w:sz w:val="24"/>
        </w:rPr>
        <w:t xml:space="preserve">The 5-year HIP has been drawn up to ensure that the Council meets its legal obligations as a landlord. The Council has already invested significant resources over recent years to achieve the Decent Homes Standard and seeks to maintain </w:t>
      </w:r>
      <w:r w:rsidR="00CF26A2">
        <w:rPr>
          <w:b w:val="0"/>
          <w:color w:val="auto"/>
          <w:sz w:val="24"/>
        </w:rPr>
        <w:t>it’s own,</w:t>
      </w:r>
      <w:r w:rsidRPr="00647EE5">
        <w:rPr>
          <w:b w:val="0"/>
          <w:color w:val="auto"/>
          <w:sz w:val="24"/>
        </w:rPr>
        <w:t xml:space="preserve"> enhanced</w:t>
      </w:r>
      <w:r w:rsidR="00C509CB">
        <w:rPr>
          <w:b w:val="0"/>
          <w:color w:val="auto"/>
          <w:sz w:val="24"/>
        </w:rPr>
        <w:t>,</w:t>
      </w:r>
      <w:r w:rsidRPr="00647EE5">
        <w:rPr>
          <w:b w:val="0"/>
          <w:color w:val="auto"/>
          <w:sz w:val="24"/>
        </w:rPr>
        <w:t xml:space="preserve"> Lincoln Standard.</w:t>
      </w:r>
      <w:r w:rsidR="00EC5775" w:rsidRPr="00647EE5">
        <w:rPr>
          <w:b w:val="0"/>
          <w:color w:val="auto"/>
          <w:sz w:val="24"/>
        </w:rPr>
        <w:t xml:space="preserve">  </w:t>
      </w:r>
    </w:p>
    <w:p w14:paraId="3250DD36" w14:textId="77777777" w:rsidR="00953768" w:rsidRPr="00647EE5" w:rsidRDefault="00953768" w:rsidP="000F48A9">
      <w:pPr>
        <w:widowControl w:val="0"/>
        <w:tabs>
          <w:tab w:val="left" w:pos="9000"/>
        </w:tabs>
        <w:jc w:val="both"/>
        <w:rPr>
          <w:rFonts w:ascii="Arial" w:hAnsi="Arial" w:cs="Arial"/>
        </w:rPr>
      </w:pPr>
    </w:p>
    <w:p w14:paraId="634333F0" w14:textId="33431FFE" w:rsidR="000F48A9" w:rsidRPr="00647EE5" w:rsidRDefault="00EC5775" w:rsidP="005720D0">
      <w:pPr>
        <w:widowControl w:val="0"/>
        <w:tabs>
          <w:tab w:val="left" w:pos="9000"/>
        </w:tabs>
        <w:contextualSpacing/>
        <w:jc w:val="both"/>
        <w:rPr>
          <w:rFonts w:ascii="Arial" w:hAnsi="Arial" w:cs="Arial"/>
        </w:rPr>
      </w:pPr>
      <w:r w:rsidRPr="00647EE5">
        <w:rPr>
          <w:rFonts w:ascii="Arial" w:hAnsi="Arial" w:cs="Arial"/>
        </w:rPr>
        <w:t xml:space="preserve">The 5-year housing programme amounts </w:t>
      </w:r>
      <w:r w:rsidRPr="00430032">
        <w:rPr>
          <w:rFonts w:ascii="Arial" w:hAnsi="Arial" w:cs="Arial"/>
        </w:rPr>
        <w:t>to £</w:t>
      </w:r>
      <w:r w:rsidR="00D22065" w:rsidRPr="00430032">
        <w:rPr>
          <w:rFonts w:ascii="Arial" w:hAnsi="Arial" w:cs="Arial"/>
        </w:rPr>
        <w:t>8</w:t>
      </w:r>
      <w:r w:rsidR="00FC63CF" w:rsidRPr="00430032">
        <w:rPr>
          <w:rFonts w:ascii="Arial" w:hAnsi="Arial" w:cs="Arial"/>
        </w:rPr>
        <w:t>6.887</w:t>
      </w:r>
      <w:r w:rsidR="007F5560" w:rsidRPr="00430032">
        <w:rPr>
          <w:rFonts w:ascii="Arial" w:hAnsi="Arial" w:cs="Arial"/>
        </w:rPr>
        <w:t>m</w:t>
      </w:r>
      <w:r w:rsidRPr="00647EE5">
        <w:rPr>
          <w:rFonts w:ascii="Arial" w:hAnsi="Arial" w:cs="Arial"/>
        </w:rPr>
        <w:t xml:space="preserve"> and </w:t>
      </w:r>
      <w:r w:rsidR="000F48A9" w:rsidRPr="00647EE5">
        <w:rPr>
          <w:rFonts w:ascii="Arial" w:hAnsi="Arial" w:cs="Arial"/>
        </w:rPr>
        <w:t>comprises the following main areas of work:</w:t>
      </w:r>
    </w:p>
    <w:p w14:paraId="242C576E" w14:textId="77777777" w:rsidR="000F48A9" w:rsidRPr="00647EE5" w:rsidRDefault="000F48A9" w:rsidP="005720D0">
      <w:pPr>
        <w:widowControl w:val="0"/>
        <w:tabs>
          <w:tab w:val="left" w:pos="9000"/>
        </w:tabs>
        <w:contextualSpacing/>
        <w:jc w:val="both"/>
        <w:rPr>
          <w:rFonts w:ascii="Arial" w:hAnsi="Arial" w:cs="Arial"/>
        </w:rPr>
      </w:pPr>
    </w:p>
    <w:p w14:paraId="5422D740" w14:textId="743612DC" w:rsidR="000F48A9" w:rsidRPr="00430032" w:rsidRDefault="00633A26" w:rsidP="00CF25BB">
      <w:pPr>
        <w:numPr>
          <w:ilvl w:val="0"/>
          <w:numId w:val="28"/>
        </w:numPr>
        <w:contextualSpacing/>
        <w:jc w:val="both"/>
        <w:rPr>
          <w:rFonts w:ascii="Arial" w:hAnsi="Arial" w:cs="Arial"/>
        </w:rPr>
      </w:pPr>
      <w:r w:rsidRPr="00430032">
        <w:rPr>
          <w:rFonts w:ascii="Arial" w:hAnsi="Arial" w:cs="Arial"/>
        </w:rPr>
        <w:t>Housing Investment</w:t>
      </w:r>
      <w:r w:rsidR="00EC5775" w:rsidRPr="00430032">
        <w:rPr>
          <w:rFonts w:ascii="Arial" w:hAnsi="Arial" w:cs="Arial"/>
        </w:rPr>
        <w:t xml:space="preserve"> £</w:t>
      </w:r>
      <w:r w:rsidR="0010469C" w:rsidRPr="00430032">
        <w:rPr>
          <w:rFonts w:ascii="Arial" w:hAnsi="Arial" w:cs="Arial"/>
        </w:rPr>
        <w:t>6</w:t>
      </w:r>
      <w:r w:rsidR="00FC63CF" w:rsidRPr="00430032">
        <w:rPr>
          <w:rFonts w:ascii="Arial" w:hAnsi="Arial" w:cs="Arial"/>
        </w:rPr>
        <w:t>9.93</w:t>
      </w:r>
      <w:r w:rsidR="005E4A5C">
        <w:rPr>
          <w:rFonts w:ascii="Arial" w:hAnsi="Arial" w:cs="Arial"/>
        </w:rPr>
        <w:t>2</w:t>
      </w:r>
      <w:r w:rsidR="00522119" w:rsidRPr="00430032">
        <w:rPr>
          <w:rFonts w:ascii="Arial" w:hAnsi="Arial" w:cs="Arial"/>
        </w:rPr>
        <w:t>m</w:t>
      </w:r>
      <w:r w:rsidRPr="00430032">
        <w:rPr>
          <w:rFonts w:ascii="Arial" w:hAnsi="Arial" w:cs="Arial"/>
        </w:rPr>
        <w:t>:</w:t>
      </w:r>
    </w:p>
    <w:p w14:paraId="510E139E" w14:textId="050588E4" w:rsidR="00633A26" w:rsidRPr="005C0E17" w:rsidRDefault="00633A26" w:rsidP="00CF25BB">
      <w:pPr>
        <w:numPr>
          <w:ilvl w:val="1"/>
          <w:numId w:val="28"/>
        </w:numPr>
        <w:contextualSpacing/>
        <w:jc w:val="both"/>
        <w:rPr>
          <w:rFonts w:ascii="Arial" w:hAnsi="Arial" w:cs="Arial"/>
        </w:rPr>
      </w:pPr>
      <w:r w:rsidRPr="005C0E17">
        <w:rPr>
          <w:rFonts w:ascii="Arial" w:hAnsi="Arial" w:cs="Arial"/>
        </w:rPr>
        <w:t xml:space="preserve">Developing and </w:t>
      </w:r>
      <w:r w:rsidR="00380C9A" w:rsidRPr="005C0E17">
        <w:rPr>
          <w:rFonts w:ascii="Arial" w:hAnsi="Arial" w:cs="Arial"/>
        </w:rPr>
        <w:t>improving core housing services</w:t>
      </w:r>
      <w:r w:rsidR="00A33633" w:rsidRPr="005C0E17">
        <w:rPr>
          <w:rFonts w:ascii="Arial" w:hAnsi="Arial" w:cs="Arial"/>
          <w:lang w:eastAsia="en-GB"/>
        </w:rPr>
        <w:t xml:space="preserve"> (focusing on the allocation of resources to the key elements of decent homes, in line with the most recent stock condition surveys, and supporting the Lincoln Standard.</w:t>
      </w:r>
    </w:p>
    <w:p w14:paraId="56BC0AA4" w14:textId="77777777" w:rsidR="00FE03AF" w:rsidRPr="005C0E17" w:rsidRDefault="00FE03AF" w:rsidP="00CF25BB">
      <w:pPr>
        <w:pStyle w:val="ListParagraph"/>
        <w:numPr>
          <w:ilvl w:val="1"/>
          <w:numId w:val="28"/>
        </w:numPr>
        <w:spacing w:after="0" w:line="240" w:lineRule="auto"/>
        <w:jc w:val="both"/>
        <w:rPr>
          <w:rFonts w:ascii="Arial" w:hAnsi="Arial" w:cs="Arial"/>
          <w:sz w:val="24"/>
          <w:szCs w:val="24"/>
        </w:rPr>
      </w:pPr>
      <w:r w:rsidRPr="005C0E17">
        <w:rPr>
          <w:rFonts w:ascii="Arial" w:hAnsi="Arial" w:cs="Arial"/>
          <w:sz w:val="24"/>
          <w:szCs w:val="24"/>
        </w:rPr>
        <w:t>Regeneration estates and neighbourhoods</w:t>
      </w:r>
    </w:p>
    <w:p w14:paraId="06F10C33" w14:textId="3F3D898E" w:rsidR="00FE03AF" w:rsidRPr="005C0E17" w:rsidRDefault="00FE03AF" w:rsidP="00CF25BB">
      <w:pPr>
        <w:pStyle w:val="ListParagraph"/>
        <w:numPr>
          <w:ilvl w:val="1"/>
          <w:numId w:val="28"/>
        </w:numPr>
        <w:spacing w:after="0" w:line="240" w:lineRule="auto"/>
        <w:jc w:val="both"/>
        <w:rPr>
          <w:rFonts w:ascii="Arial" w:hAnsi="Arial" w:cs="Arial"/>
          <w:sz w:val="24"/>
          <w:szCs w:val="24"/>
        </w:rPr>
      </w:pPr>
      <w:r w:rsidRPr="005C0E17">
        <w:rPr>
          <w:rFonts w:ascii="Arial" w:hAnsi="Arial" w:cs="Arial"/>
          <w:sz w:val="24"/>
          <w:szCs w:val="24"/>
        </w:rPr>
        <w:t>Reducing carbon emissions</w:t>
      </w:r>
    </w:p>
    <w:p w14:paraId="1BBB5288" w14:textId="77777777" w:rsidR="005720D0" w:rsidRPr="005C0E17" w:rsidRDefault="005720D0" w:rsidP="005720D0">
      <w:pPr>
        <w:pStyle w:val="ListParagraph"/>
        <w:spacing w:after="0" w:line="240" w:lineRule="auto"/>
        <w:ind w:left="1440"/>
        <w:jc w:val="both"/>
        <w:rPr>
          <w:rFonts w:ascii="Arial" w:hAnsi="Arial" w:cs="Arial"/>
          <w:sz w:val="24"/>
          <w:szCs w:val="24"/>
        </w:rPr>
      </w:pPr>
    </w:p>
    <w:p w14:paraId="0FA5A233" w14:textId="0FFA8AAA" w:rsidR="00A85595" w:rsidRPr="005C0E17" w:rsidRDefault="00A032C1" w:rsidP="00CF25BB">
      <w:pPr>
        <w:numPr>
          <w:ilvl w:val="0"/>
          <w:numId w:val="28"/>
        </w:numPr>
        <w:contextualSpacing/>
        <w:jc w:val="both"/>
        <w:rPr>
          <w:rFonts w:ascii="Arial" w:hAnsi="Arial" w:cs="Arial"/>
        </w:rPr>
      </w:pPr>
      <w:r w:rsidRPr="005C0E17">
        <w:rPr>
          <w:rFonts w:ascii="Arial" w:hAnsi="Arial" w:cs="Arial"/>
        </w:rPr>
        <w:t xml:space="preserve">Housing </w:t>
      </w:r>
      <w:r w:rsidRPr="00430032">
        <w:rPr>
          <w:rFonts w:ascii="Arial" w:hAnsi="Arial" w:cs="Arial"/>
        </w:rPr>
        <w:t>Strategy</w:t>
      </w:r>
      <w:r w:rsidR="000F48A9" w:rsidRPr="00430032">
        <w:rPr>
          <w:rFonts w:ascii="Arial" w:hAnsi="Arial" w:cs="Arial"/>
        </w:rPr>
        <w:t xml:space="preserve"> </w:t>
      </w:r>
      <w:r w:rsidR="009537E8" w:rsidRPr="00430032">
        <w:rPr>
          <w:rFonts w:ascii="Arial" w:hAnsi="Arial" w:cs="Arial"/>
        </w:rPr>
        <w:t>£</w:t>
      </w:r>
      <w:r w:rsidR="006560E7" w:rsidRPr="00430032">
        <w:rPr>
          <w:rFonts w:ascii="Arial" w:hAnsi="Arial" w:cs="Arial"/>
        </w:rPr>
        <w:t>16.95</w:t>
      </w:r>
      <w:r w:rsidR="00FC63CF" w:rsidRPr="00430032">
        <w:rPr>
          <w:rFonts w:ascii="Arial" w:hAnsi="Arial" w:cs="Arial"/>
        </w:rPr>
        <w:t>5</w:t>
      </w:r>
      <w:r w:rsidR="002B77A3" w:rsidRPr="00430032">
        <w:rPr>
          <w:rFonts w:ascii="Arial" w:hAnsi="Arial" w:cs="Arial"/>
        </w:rPr>
        <w:t>m</w:t>
      </w:r>
      <w:r w:rsidR="005720D0" w:rsidRPr="00430032">
        <w:rPr>
          <w:rFonts w:ascii="Arial" w:hAnsi="Arial" w:cs="Arial"/>
        </w:rPr>
        <w:t>*</w:t>
      </w:r>
      <w:r w:rsidR="00A85595" w:rsidRPr="00430032">
        <w:rPr>
          <w:rFonts w:ascii="Arial" w:hAnsi="Arial" w:cs="Arial"/>
        </w:rPr>
        <w:t>:</w:t>
      </w:r>
    </w:p>
    <w:p w14:paraId="2065049E" w14:textId="0251D7E5" w:rsidR="005720D0" w:rsidRPr="00647EE5" w:rsidRDefault="00A85595" w:rsidP="00CF25BB">
      <w:pPr>
        <w:numPr>
          <w:ilvl w:val="1"/>
          <w:numId w:val="28"/>
        </w:numPr>
        <w:contextualSpacing/>
        <w:jc w:val="both"/>
        <w:rPr>
          <w:rFonts w:ascii="Arial" w:hAnsi="Arial" w:cs="Arial"/>
        </w:rPr>
      </w:pPr>
      <w:r w:rsidRPr="00647EE5">
        <w:rPr>
          <w:rFonts w:ascii="Arial" w:hAnsi="Arial" w:cs="Arial"/>
        </w:rPr>
        <w:t>Additional affordable housing (</w:t>
      </w:r>
      <w:r w:rsidR="00A032C1" w:rsidRPr="00647EE5">
        <w:rPr>
          <w:rFonts w:ascii="Arial" w:hAnsi="Arial" w:cs="Arial"/>
          <w:lang w:eastAsia="en-GB"/>
        </w:rPr>
        <w:t>foc</w:t>
      </w:r>
      <w:r w:rsidR="005720D0" w:rsidRPr="00647EE5">
        <w:rPr>
          <w:rFonts w:ascii="Arial" w:hAnsi="Arial" w:cs="Arial"/>
          <w:lang w:eastAsia="en-GB"/>
        </w:rPr>
        <w:t>using on</w:t>
      </w:r>
      <w:r w:rsidR="00A032C1" w:rsidRPr="00647EE5">
        <w:rPr>
          <w:rFonts w:ascii="Arial" w:hAnsi="Arial" w:cs="Arial"/>
          <w:lang w:eastAsia="en-GB"/>
        </w:rPr>
        <w:t xml:space="preserve"> </w:t>
      </w:r>
      <w:r w:rsidR="005720D0" w:rsidRPr="00647EE5">
        <w:rPr>
          <w:rFonts w:ascii="Arial" w:hAnsi="Arial" w:cs="Arial"/>
          <w:lang w:eastAsia="en-GB"/>
        </w:rPr>
        <w:t>continuing</w:t>
      </w:r>
      <w:r w:rsidR="00A032C1" w:rsidRPr="00647EE5">
        <w:rPr>
          <w:rFonts w:ascii="Arial" w:hAnsi="Arial" w:cs="Arial"/>
          <w:lang w:eastAsia="en-GB"/>
        </w:rPr>
        <w:t xml:space="preserve"> to </w:t>
      </w:r>
      <w:r w:rsidR="005720D0" w:rsidRPr="00647EE5">
        <w:rPr>
          <w:rFonts w:ascii="Arial" w:hAnsi="Arial" w:cs="Arial"/>
          <w:lang w:eastAsia="en-GB"/>
        </w:rPr>
        <w:t>maximise</w:t>
      </w:r>
      <w:r w:rsidR="00A032C1" w:rsidRPr="00647EE5">
        <w:rPr>
          <w:rFonts w:ascii="Arial" w:hAnsi="Arial" w:cs="Arial"/>
          <w:lang w:eastAsia="en-GB"/>
        </w:rPr>
        <w:t xml:space="preserve"> the </w:t>
      </w:r>
      <w:r w:rsidR="00A032C1" w:rsidRPr="00647EE5">
        <w:rPr>
          <w:rFonts w:ascii="Arial" w:hAnsi="Arial" w:cs="Arial"/>
        </w:rPr>
        <w:t>use of 1-4-1 retained right to buy receipts, assessing the use of prudential borrowing and seeking government grant funding for new build schemes or purchase &amp; repair schemes that generate a positive</w:t>
      </w:r>
      <w:r w:rsidR="00A032C1" w:rsidRPr="00647EE5">
        <w:rPr>
          <w:rFonts w:ascii="Arial" w:hAnsi="Arial" w:cs="Arial"/>
          <w:lang w:eastAsia="en-GB"/>
        </w:rPr>
        <w:t xml:space="preserve"> net rental stream</w:t>
      </w:r>
      <w:r w:rsidR="005720D0" w:rsidRPr="00647EE5">
        <w:rPr>
          <w:rFonts w:ascii="Arial" w:hAnsi="Arial" w:cs="Arial"/>
          <w:lang w:eastAsia="en-GB"/>
        </w:rPr>
        <w:t>)</w:t>
      </w:r>
      <w:r w:rsidR="00A032C1" w:rsidRPr="00647EE5">
        <w:rPr>
          <w:rFonts w:ascii="Arial" w:hAnsi="Arial" w:cs="Arial"/>
          <w:lang w:eastAsia="en-GB"/>
        </w:rPr>
        <w:t xml:space="preserve">.  </w:t>
      </w:r>
    </w:p>
    <w:p w14:paraId="60FCD81A" w14:textId="77777777" w:rsidR="005720D0" w:rsidRPr="000A13A9" w:rsidRDefault="005720D0" w:rsidP="005720D0">
      <w:pPr>
        <w:ind w:left="1440"/>
        <w:jc w:val="both"/>
        <w:rPr>
          <w:rFonts w:ascii="Arial" w:hAnsi="Arial" w:cs="Arial"/>
          <w:highlight w:val="green"/>
        </w:rPr>
      </w:pPr>
    </w:p>
    <w:p w14:paraId="7732EA1D" w14:textId="3A4A49DA" w:rsidR="000F48A9" w:rsidRPr="000A13A9" w:rsidRDefault="005720D0" w:rsidP="009400EA">
      <w:pPr>
        <w:ind w:left="60"/>
        <w:jc w:val="both"/>
        <w:rPr>
          <w:rFonts w:ascii="Arial" w:hAnsi="Arial" w:cs="Arial"/>
          <w:sz w:val="20"/>
          <w:szCs w:val="20"/>
        </w:rPr>
      </w:pPr>
      <w:r w:rsidRPr="41173401">
        <w:rPr>
          <w:sz w:val="20"/>
          <w:szCs w:val="20"/>
          <w:lang w:eastAsia="en-GB"/>
        </w:rPr>
        <w:t xml:space="preserve">* </w:t>
      </w:r>
      <w:r w:rsidR="009537E8" w:rsidRPr="41173401">
        <w:rPr>
          <w:rFonts w:ascii="Arial" w:hAnsi="Arial" w:cs="Arial"/>
          <w:sz w:val="20"/>
          <w:szCs w:val="20"/>
        </w:rPr>
        <w:t xml:space="preserve">this </w:t>
      </w:r>
      <w:r w:rsidR="00EC5775" w:rsidRPr="41173401">
        <w:rPr>
          <w:rFonts w:ascii="Arial" w:hAnsi="Arial" w:cs="Arial"/>
          <w:sz w:val="20"/>
          <w:szCs w:val="20"/>
        </w:rPr>
        <w:t>includ</w:t>
      </w:r>
      <w:r w:rsidR="009537E8" w:rsidRPr="41173401">
        <w:rPr>
          <w:rFonts w:ascii="Arial" w:hAnsi="Arial" w:cs="Arial"/>
          <w:sz w:val="20"/>
          <w:szCs w:val="20"/>
        </w:rPr>
        <w:t xml:space="preserve">es the </w:t>
      </w:r>
      <w:r w:rsidR="00EC5775" w:rsidRPr="41173401">
        <w:rPr>
          <w:rFonts w:ascii="Arial" w:hAnsi="Arial" w:cs="Arial"/>
          <w:sz w:val="20"/>
          <w:szCs w:val="20"/>
        </w:rPr>
        <w:t>use of retained 1-4-1 right to buy receipts</w:t>
      </w:r>
      <w:r w:rsidR="009537E8" w:rsidRPr="41173401">
        <w:rPr>
          <w:rFonts w:ascii="Arial" w:hAnsi="Arial" w:cs="Arial"/>
          <w:sz w:val="20"/>
          <w:szCs w:val="20"/>
        </w:rPr>
        <w:t xml:space="preserve"> which are not </w:t>
      </w:r>
      <w:r w:rsidR="00B969C9" w:rsidRPr="41173401">
        <w:rPr>
          <w:rFonts w:ascii="Arial" w:hAnsi="Arial" w:cs="Arial"/>
          <w:sz w:val="20"/>
          <w:szCs w:val="20"/>
        </w:rPr>
        <w:t>yet allocated to specific schemes and will be dependent on approval</w:t>
      </w:r>
      <w:r w:rsidR="009537E8" w:rsidRPr="41173401">
        <w:rPr>
          <w:rFonts w:ascii="Arial" w:hAnsi="Arial" w:cs="Arial"/>
          <w:sz w:val="20"/>
          <w:szCs w:val="20"/>
        </w:rPr>
        <w:t>s</w:t>
      </w:r>
      <w:r w:rsidR="00B969C9" w:rsidRPr="41173401">
        <w:rPr>
          <w:rFonts w:ascii="Arial" w:hAnsi="Arial" w:cs="Arial"/>
          <w:sz w:val="20"/>
          <w:szCs w:val="20"/>
        </w:rPr>
        <w:t xml:space="preserve"> of individual </w:t>
      </w:r>
      <w:r w:rsidR="009537E8" w:rsidRPr="41173401">
        <w:rPr>
          <w:rFonts w:ascii="Arial" w:hAnsi="Arial" w:cs="Arial"/>
          <w:sz w:val="20"/>
          <w:szCs w:val="20"/>
        </w:rPr>
        <w:t>business cases</w:t>
      </w:r>
      <w:r w:rsidR="00A33633" w:rsidRPr="41173401">
        <w:rPr>
          <w:rFonts w:ascii="Arial" w:hAnsi="Arial" w:cs="Arial"/>
          <w:sz w:val="20"/>
          <w:szCs w:val="20"/>
        </w:rPr>
        <w:t>)</w:t>
      </w:r>
    </w:p>
    <w:p w14:paraId="00CFDD9E" w14:textId="77777777" w:rsidR="009400EA" w:rsidRPr="000A13A9" w:rsidRDefault="009400EA" w:rsidP="004D58F1">
      <w:pPr>
        <w:jc w:val="both"/>
        <w:rPr>
          <w:rFonts w:ascii="Arial" w:hAnsi="Arial" w:cs="Arial"/>
          <w:highlight w:val="green"/>
        </w:rPr>
      </w:pPr>
    </w:p>
    <w:p w14:paraId="263444F0" w14:textId="4AC87019" w:rsidR="004D58F1" w:rsidRPr="0045682C" w:rsidRDefault="00FF7713" w:rsidP="004D58F1">
      <w:pPr>
        <w:jc w:val="both"/>
        <w:rPr>
          <w:rFonts w:ascii="Arial" w:hAnsi="Arial" w:cs="Arial"/>
        </w:rPr>
      </w:pPr>
      <w:r w:rsidRPr="0045682C">
        <w:rPr>
          <w:rFonts w:ascii="Arial" w:hAnsi="Arial" w:cs="Arial"/>
        </w:rPr>
        <w:t xml:space="preserve">As set out in the Section 5 above the 30-year HRA Business Plan </w:t>
      </w:r>
      <w:r w:rsidR="00A30E4C" w:rsidRPr="0045682C">
        <w:rPr>
          <w:rFonts w:ascii="Arial" w:hAnsi="Arial" w:cs="Arial"/>
        </w:rPr>
        <w:t>was</w:t>
      </w:r>
      <w:r w:rsidR="00F90791" w:rsidRPr="0045682C">
        <w:rPr>
          <w:rFonts w:ascii="Arial" w:hAnsi="Arial" w:cs="Arial"/>
        </w:rPr>
        <w:t xml:space="preserve"> </w:t>
      </w:r>
      <w:r w:rsidR="005B7F50" w:rsidRPr="0045682C">
        <w:rPr>
          <w:rFonts w:ascii="Arial" w:hAnsi="Arial" w:cs="Arial"/>
        </w:rPr>
        <w:t>last</w:t>
      </w:r>
      <w:r w:rsidR="00F90791" w:rsidRPr="0045682C">
        <w:rPr>
          <w:rFonts w:ascii="Arial" w:hAnsi="Arial" w:cs="Arial"/>
        </w:rPr>
        <w:t xml:space="preserve"> </w:t>
      </w:r>
      <w:r w:rsidR="00CF0E91" w:rsidRPr="0045682C">
        <w:rPr>
          <w:rFonts w:ascii="Arial" w:hAnsi="Arial" w:cs="Arial"/>
        </w:rPr>
        <w:t>full</w:t>
      </w:r>
      <w:r w:rsidR="00353225" w:rsidRPr="0045682C">
        <w:rPr>
          <w:rFonts w:ascii="Arial" w:hAnsi="Arial" w:cs="Arial"/>
        </w:rPr>
        <w:t>y</w:t>
      </w:r>
      <w:r w:rsidR="00CF0E91" w:rsidRPr="0045682C">
        <w:rPr>
          <w:rFonts w:ascii="Arial" w:hAnsi="Arial" w:cs="Arial"/>
        </w:rPr>
        <w:t xml:space="preserve"> review</w:t>
      </w:r>
      <w:r w:rsidR="00353225" w:rsidRPr="0045682C">
        <w:rPr>
          <w:rFonts w:ascii="Arial" w:hAnsi="Arial" w:cs="Arial"/>
        </w:rPr>
        <w:t>ed</w:t>
      </w:r>
      <w:r w:rsidR="008D268C" w:rsidRPr="0045682C">
        <w:rPr>
          <w:rFonts w:ascii="Arial" w:hAnsi="Arial" w:cs="Arial"/>
        </w:rPr>
        <w:t xml:space="preserve"> during 202</w:t>
      </w:r>
      <w:r w:rsidR="00D50957" w:rsidRPr="0045682C">
        <w:rPr>
          <w:rFonts w:ascii="Arial" w:hAnsi="Arial" w:cs="Arial"/>
        </w:rPr>
        <w:t>3</w:t>
      </w:r>
      <w:r w:rsidR="002F4B38" w:rsidRPr="0045682C">
        <w:rPr>
          <w:rFonts w:ascii="Arial" w:hAnsi="Arial" w:cs="Arial"/>
        </w:rPr>
        <w:t>/24</w:t>
      </w:r>
      <w:r w:rsidR="004D58F1" w:rsidRPr="0045682C">
        <w:rPr>
          <w:rFonts w:ascii="Arial" w:hAnsi="Arial" w:cs="Arial"/>
        </w:rPr>
        <w:t>,</w:t>
      </w:r>
      <w:r w:rsidR="00C101CB" w:rsidRPr="0045682C">
        <w:rPr>
          <w:rFonts w:ascii="Arial" w:hAnsi="Arial" w:cs="Arial"/>
        </w:rPr>
        <w:t xml:space="preserve"> </w:t>
      </w:r>
      <w:r w:rsidR="004D58F1" w:rsidRPr="0045682C">
        <w:rPr>
          <w:rFonts w:ascii="Arial" w:hAnsi="Arial" w:cs="Arial"/>
        </w:rPr>
        <w:t>to reflect the changes to the local, regional and national operating environment and to reflect the Council</w:t>
      </w:r>
      <w:r w:rsidR="00FF30C6" w:rsidRPr="0045682C">
        <w:rPr>
          <w:rFonts w:ascii="Arial" w:hAnsi="Arial" w:cs="Arial"/>
        </w:rPr>
        <w:t>’</w:t>
      </w:r>
      <w:r w:rsidR="004D58F1" w:rsidRPr="0045682C">
        <w:rPr>
          <w:rFonts w:ascii="Arial" w:hAnsi="Arial" w:cs="Arial"/>
        </w:rPr>
        <w:t xml:space="preserve">s current aims and ambitions in </w:t>
      </w:r>
      <w:r w:rsidR="00990585" w:rsidRPr="0045682C">
        <w:rPr>
          <w:rFonts w:ascii="Arial" w:hAnsi="Arial" w:cs="Arial"/>
        </w:rPr>
        <w:t xml:space="preserve">the current </w:t>
      </w:r>
      <w:r w:rsidR="004D58F1" w:rsidRPr="0045682C">
        <w:rPr>
          <w:rFonts w:ascii="Arial" w:hAnsi="Arial" w:cs="Arial"/>
        </w:rPr>
        <w:t>Vision 2025</w:t>
      </w:r>
      <w:r w:rsidR="004D58F1" w:rsidRPr="0045682C">
        <w:rPr>
          <w:i/>
        </w:rPr>
        <w:t xml:space="preserve">. </w:t>
      </w:r>
      <w:r w:rsidR="00353225" w:rsidRPr="0045682C">
        <w:rPr>
          <w:i/>
        </w:rPr>
        <w:t xml:space="preserve"> </w:t>
      </w:r>
      <w:r w:rsidR="00353225" w:rsidRPr="0045682C">
        <w:rPr>
          <w:rFonts w:ascii="Arial" w:hAnsi="Arial" w:cs="Arial"/>
        </w:rPr>
        <w:t>The</w:t>
      </w:r>
      <w:r w:rsidR="00D20AE7" w:rsidRPr="0045682C">
        <w:rPr>
          <w:rFonts w:ascii="Arial" w:hAnsi="Arial" w:cs="Arial"/>
        </w:rPr>
        <w:t xml:space="preserve"> 30-year</w:t>
      </w:r>
      <w:r w:rsidR="00353225" w:rsidRPr="0045682C">
        <w:rPr>
          <w:rFonts w:ascii="Arial" w:hAnsi="Arial" w:cs="Arial"/>
        </w:rPr>
        <w:t xml:space="preserve"> financial model that supports the Business Plan is </w:t>
      </w:r>
      <w:r w:rsidR="00D20AE7" w:rsidRPr="0045682C">
        <w:rPr>
          <w:rFonts w:ascii="Arial" w:hAnsi="Arial" w:cs="Arial"/>
        </w:rPr>
        <w:t xml:space="preserve">updated each year to reflect the revised financial planning assumptions and </w:t>
      </w:r>
      <w:r w:rsidR="00503596" w:rsidRPr="0045682C">
        <w:rPr>
          <w:rFonts w:ascii="Arial" w:hAnsi="Arial" w:cs="Arial"/>
        </w:rPr>
        <w:t>new schemes</w:t>
      </w:r>
      <w:r w:rsidR="00107056">
        <w:rPr>
          <w:rFonts w:ascii="Arial" w:hAnsi="Arial" w:cs="Arial"/>
        </w:rPr>
        <w:t>, enabling</w:t>
      </w:r>
      <w:r w:rsidR="00503596">
        <w:rPr>
          <w:rFonts w:ascii="Arial" w:hAnsi="Arial" w:cs="Arial"/>
        </w:rPr>
        <w:t xml:space="preserve"> the </w:t>
      </w:r>
      <w:r w:rsidR="00107056">
        <w:rPr>
          <w:rFonts w:ascii="Arial" w:hAnsi="Arial" w:cs="Arial"/>
        </w:rPr>
        <w:t>longer term</w:t>
      </w:r>
      <w:r w:rsidR="00503596">
        <w:rPr>
          <w:rFonts w:ascii="Arial" w:hAnsi="Arial" w:cs="Arial"/>
        </w:rPr>
        <w:t xml:space="preserve"> impact of </w:t>
      </w:r>
      <w:r w:rsidR="00107056">
        <w:rPr>
          <w:rFonts w:ascii="Arial" w:hAnsi="Arial" w:cs="Arial"/>
        </w:rPr>
        <w:t>any key decisions</w:t>
      </w:r>
      <w:r w:rsidR="00503596">
        <w:rPr>
          <w:rFonts w:ascii="Arial" w:hAnsi="Arial" w:cs="Arial"/>
        </w:rPr>
        <w:t xml:space="preserve"> to </w:t>
      </w:r>
      <w:r w:rsidR="00107056">
        <w:rPr>
          <w:rFonts w:ascii="Arial" w:hAnsi="Arial" w:cs="Arial"/>
        </w:rPr>
        <w:t xml:space="preserve">be modelled </w:t>
      </w:r>
      <w:r w:rsidR="00FA7DCB">
        <w:rPr>
          <w:rFonts w:ascii="Arial" w:hAnsi="Arial" w:cs="Arial"/>
        </w:rPr>
        <w:t>more accurately</w:t>
      </w:r>
      <w:r w:rsidR="005F10EE" w:rsidRPr="0045682C">
        <w:rPr>
          <w:rFonts w:ascii="Arial" w:hAnsi="Arial" w:cs="Arial"/>
        </w:rPr>
        <w:t>.</w:t>
      </w:r>
    </w:p>
    <w:p w14:paraId="32AD2FA4" w14:textId="77777777" w:rsidR="00736A6B" w:rsidRPr="000A13A9" w:rsidRDefault="00736A6B" w:rsidP="000F48A9">
      <w:pPr>
        <w:widowControl w:val="0"/>
        <w:tabs>
          <w:tab w:val="left" w:pos="9000"/>
        </w:tabs>
        <w:jc w:val="both"/>
        <w:rPr>
          <w:rFonts w:ascii="Arial" w:hAnsi="Arial" w:cs="Arial"/>
          <w:bCs/>
          <w:highlight w:val="green"/>
        </w:rPr>
      </w:pPr>
    </w:p>
    <w:p w14:paraId="34CF44CF" w14:textId="77777777" w:rsidR="00217BBB" w:rsidRPr="00CB59DA" w:rsidRDefault="00217BBB" w:rsidP="00217BBB">
      <w:pPr>
        <w:pStyle w:val="BodyText"/>
        <w:jc w:val="both"/>
        <w:rPr>
          <w:color w:val="C45911"/>
          <w:sz w:val="28"/>
        </w:rPr>
      </w:pPr>
      <w:r w:rsidRPr="00CB59DA">
        <w:rPr>
          <w:color w:val="C45911"/>
          <w:sz w:val="28"/>
        </w:rPr>
        <w:t>Spending Pressures</w:t>
      </w:r>
    </w:p>
    <w:p w14:paraId="3301F097" w14:textId="77777777" w:rsidR="00217BBB" w:rsidRPr="00CB59DA" w:rsidRDefault="00217BBB" w:rsidP="00217BBB">
      <w:pPr>
        <w:pStyle w:val="BodyText"/>
        <w:jc w:val="both"/>
        <w:rPr>
          <w:color w:val="C45911"/>
          <w:sz w:val="28"/>
        </w:rPr>
      </w:pPr>
    </w:p>
    <w:p w14:paraId="6C5B4450" w14:textId="28F2A06D" w:rsidR="00217BBB" w:rsidRPr="00CB59DA" w:rsidRDefault="000B0746" w:rsidP="00217BBB">
      <w:pPr>
        <w:pStyle w:val="BodyText"/>
        <w:jc w:val="both"/>
        <w:rPr>
          <w:lang w:eastAsia="en-GB"/>
        </w:rPr>
      </w:pPr>
      <w:r w:rsidRPr="00CB59DA">
        <w:rPr>
          <w:lang w:eastAsia="en-GB"/>
        </w:rPr>
        <w:t xml:space="preserve">Impacts of current </w:t>
      </w:r>
      <w:r w:rsidR="00A13070" w:rsidRPr="00CB59DA">
        <w:rPr>
          <w:lang w:eastAsia="en-GB"/>
        </w:rPr>
        <w:t>economic factors/c</w:t>
      </w:r>
      <w:r w:rsidR="00217BBB" w:rsidRPr="00CB59DA">
        <w:rPr>
          <w:lang w:eastAsia="en-GB"/>
        </w:rPr>
        <w:t xml:space="preserve">onstruction </w:t>
      </w:r>
      <w:r w:rsidR="00A13070" w:rsidRPr="00CB59DA">
        <w:rPr>
          <w:lang w:eastAsia="en-GB"/>
        </w:rPr>
        <w:t>i</w:t>
      </w:r>
      <w:r w:rsidR="00217BBB" w:rsidRPr="00CB59DA">
        <w:rPr>
          <w:lang w:eastAsia="en-GB"/>
        </w:rPr>
        <w:t>ndustry</w:t>
      </w:r>
    </w:p>
    <w:p w14:paraId="15FDFE27" w14:textId="77777777" w:rsidR="00217BBB" w:rsidRPr="00CB59DA" w:rsidRDefault="00217BBB" w:rsidP="00217BBB">
      <w:pPr>
        <w:pStyle w:val="BodyText"/>
        <w:jc w:val="both"/>
        <w:rPr>
          <w:lang w:eastAsia="en-GB"/>
        </w:rPr>
      </w:pPr>
    </w:p>
    <w:p w14:paraId="0F44C2C1" w14:textId="1074175E" w:rsidR="00BA1CCC" w:rsidRPr="00CB59DA" w:rsidRDefault="009036AC" w:rsidP="00217BBB">
      <w:pPr>
        <w:pStyle w:val="Heading5"/>
        <w:ind w:left="0"/>
        <w:rPr>
          <w:b w:val="0"/>
          <w:color w:val="auto"/>
          <w:sz w:val="24"/>
        </w:rPr>
      </w:pPr>
      <w:r w:rsidRPr="00CB59DA">
        <w:rPr>
          <w:b w:val="0"/>
          <w:color w:val="auto"/>
          <w:sz w:val="24"/>
          <w:lang w:eastAsia="en-GB"/>
        </w:rPr>
        <w:t xml:space="preserve">Similar to the </w:t>
      </w:r>
      <w:r w:rsidR="00F040F1" w:rsidRPr="00CB59DA">
        <w:rPr>
          <w:b w:val="0"/>
          <w:color w:val="auto"/>
          <w:sz w:val="24"/>
          <w:lang w:eastAsia="en-GB"/>
        </w:rPr>
        <w:t>GIP</w:t>
      </w:r>
      <w:r w:rsidR="00FF30C6" w:rsidRPr="00CB59DA">
        <w:rPr>
          <w:b w:val="0"/>
          <w:color w:val="auto"/>
          <w:sz w:val="24"/>
          <w:lang w:eastAsia="en-GB"/>
        </w:rPr>
        <w:t xml:space="preserve">, </w:t>
      </w:r>
      <w:r w:rsidR="00F040F1">
        <w:rPr>
          <w:b w:val="0"/>
          <w:color w:val="auto"/>
          <w:sz w:val="24"/>
          <w:lang w:eastAsia="en-GB"/>
        </w:rPr>
        <w:t>the HIP</w:t>
      </w:r>
      <w:r w:rsidR="00217BBB">
        <w:rPr>
          <w:b w:val="0"/>
          <w:color w:val="auto"/>
          <w:sz w:val="24"/>
          <w:lang w:eastAsia="en-GB"/>
        </w:rPr>
        <w:t xml:space="preserve"> </w:t>
      </w:r>
      <w:r w:rsidR="004A6A69">
        <w:rPr>
          <w:b w:val="0"/>
          <w:color w:val="auto"/>
          <w:sz w:val="24"/>
          <w:lang w:eastAsia="en-GB"/>
        </w:rPr>
        <w:t>has been impacted by</w:t>
      </w:r>
      <w:r w:rsidR="00217BBB" w:rsidRPr="00CB59DA">
        <w:rPr>
          <w:b w:val="0"/>
          <w:color w:val="auto"/>
          <w:sz w:val="24"/>
          <w:lang w:eastAsia="en-GB"/>
        </w:rPr>
        <w:t xml:space="preserve"> </w:t>
      </w:r>
      <w:r w:rsidR="006555F6" w:rsidRPr="00CB59DA">
        <w:rPr>
          <w:b w:val="0"/>
          <w:color w:val="auto"/>
          <w:sz w:val="24"/>
          <w:lang w:eastAsia="en-GB"/>
        </w:rPr>
        <w:t>the cost of capital projects</w:t>
      </w:r>
      <w:r w:rsidR="006555F6">
        <w:rPr>
          <w:b w:val="0"/>
          <w:color w:val="auto"/>
          <w:sz w:val="24"/>
          <w:lang w:eastAsia="en-GB"/>
        </w:rPr>
        <w:t xml:space="preserve"> </w:t>
      </w:r>
      <w:r w:rsidR="0098782E">
        <w:rPr>
          <w:b w:val="0"/>
          <w:color w:val="auto"/>
          <w:sz w:val="24"/>
          <w:lang w:eastAsia="en-GB"/>
        </w:rPr>
        <w:t xml:space="preserve">due to </w:t>
      </w:r>
      <w:r w:rsidR="00AD5713">
        <w:rPr>
          <w:b w:val="0"/>
          <w:color w:val="auto"/>
          <w:sz w:val="24"/>
          <w:lang w:eastAsia="en-GB"/>
        </w:rPr>
        <w:t>persistently</w:t>
      </w:r>
      <w:r w:rsidR="0098782E">
        <w:rPr>
          <w:b w:val="0"/>
          <w:color w:val="auto"/>
          <w:sz w:val="24"/>
          <w:lang w:eastAsia="en-GB"/>
        </w:rPr>
        <w:t xml:space="preserve"> high costs in the cons</w:t>
      </w:r>
      <w:r w:rsidR="00AD5713">
        <w:rPr>
          <w:b w:val="0"/>
          <w:color w:val="auto"/>
          <w:sz w:val="24"/>
          <w:lang w:eastAsia="en-GB"/>
        </w:rPr>
        <w:t>truction industry</w:t>
      </w:r>
      <w:r w:rsidR="006555F6" w:rsidRPr="00CB59DA">
        <w:rPr>
          <w:b w:val="0"/>
          <w:color w:val="auto"/>
          <w:sz w:val="24"/>
          <w:lang w:eastAsia="en-GB"/>
        </w:rPr>
        <w:t xml:space="preserve"> </w:t>
      </w:r>
      <w:r w:rsidR="00AD5713">
        <w:rPr>
          <w:b w:val="0"/>
          <w:color w:val="auto"/>
          <w:sz w:val="24"/>
          <w:lang w:eastAsia="en-GB"/>
        </w:rPr>
        <w:t>(resulting from</w:t>
      </w:r>
      <w:r w:rsidR="006555F6" w:rsidRPr="00CB59DA">
        <w:rPr>
          <w:b w:val="0"/>
          <w:color w:val="auto"/>
          <w:lang w:eastAsia="en-GB"/>
        </w:rPr>
        <w:t xml:space="preserve"> </w:t>
      </w:r>
      <w:r w:rsidR="006555F6" w:rsidRPr="00CB59DA">
        <w:rPr>
          <w:b w:val="0"/>
          <w:color w:val="auto"/>
          <w:sz w:val="24"/>
        </w:rPr>
        <w:t>inflationary pressures, escalating the costs of material and labour, and also due to availability of a skilled labour supply and certain materials</w:t>
      </w:r>
      <w:r w:rsidR="00AD5713">
        <w:rPr>
          <w:b w:val="0"/>
          <w:color w:val="auto"/>
          <w:sz w:val="24"/>
        </w:rPr>
        <w:t>)</w:t>
      </w:r>
      <w:r w:rsidR="006555F6" w:rsidRPr="00CB59DA">
        <w:rPr>
          <w:b w:val="0"/>
          <w:color w:val="auto"/>
          <w:sz w:val="24"/>
        </w:rPr>
        <w:t>.</w:t>
      </w:r>
      <w:r w:rsidR="00FF30C6" w:rsidRPr="00CB59DA">
        <w:rPr>
          <w:b w:val="0"/>
          <w:color w:val="auto"/>
          <w:sz w:val="24"/>
        </w:rPr>
        <w:t xml:space="preserve"> </w:t>
      </w:r>
      <w:r w:rsidR="006555F6" w:rsidRPr="00CB59DA">
        <w:rPr>
          <w:b w:val="0"/>
          <w:color w:val="auto"/>
          <w:sz w:val="24"/>
        </w:rPr>
        <w:t>In addition, the hig</w:t>
      </w:r>
      <w:r w:rsidR="00BE6871">
        <w:rPr>
          <w:b w:val="0"/>
          <w:color w:val="auto"/>
          <w:sz w:val="24"/>
        </w:rPr>
        <w:t>h</w:t>
      </w:r>
      <w:r w:rsidR="006555F6" w:rsidRPr="00CB59DA">
        <w:rPr>
          <w:b w:val="0"/>
          <w:color w:val="auto"/>
          <w:sz w:val="24"/>
        </w:rPr>
        <w:t xml:space="preserve"> cost of borrowing has also affected the viability of schemes</w:t>
      </w:r>
      <w:r w:rsidR="00035AFF" w:rsidRPr="00CB59DA">
        <w:rPr>
          <w:b w:val="0"/>
          <w:color w:val="auto"/>
          <w:sz w:val="24"/>
        </w:rPr>
        <w:t>.</w:t>
      </w:r>
    </w:p>
    <w:p w14:paraId="594C3F3D" w14:textId="77777777" w:rsidR="00035AFF" w:rsidRPr="00CB59DA" w:rsidRDefault="00035AFF" w:rsidP="00035AFF"/>
    <w:p w14:paraId="4D784986" w14:textId="413AF0A6" w:rsidR="00F35811" w:rsidRPr="00CB59DA" w:rsidRDefault="002955E6" w:rsidP="00F35811">
      <w:pPr>
        <w:pStyle w:val="Heading5"/>
        <w:ind w:left="0"/>
      </w:pPr>
      <w:r w:rsidRPr="00CB59DA">
        <w:rPr>
          <w:b w:val="0"/>
          <w:color w:val="auto"/>
          <w:sz w:val="24"/>
        </w:rPr>
        <w:t xml:space="preserve">It is though inevitable that </w:t>
      </w:r>
      <w:r w:rsidR="00217BBB" w:rsidRPr="00CB59DA">
        <w:rPr>
          <w:b w:val="0"/>
          <w:color w:val="auto"/>
          <w:sz w:val="24"/>
        </w:rPr>
        <w:t xml:space="preserve">there will be cost impacts </w:t>
      </w:r>
      <w:r w:rsidR="008C298E" w:rsidRPr="00CB59DA">
        <w:rPr>
          <w:b w:val="0"/>
          <w:color w:val="auto"/>
          <w:sz w:val="24"/>
        </w:rPr>
        <w:t>on both</w:t>
      </w:r>
      <w:r w:rsidR="00BA1CCC" w:rsidRPr="00CB59DA">
        <w:rPr>
          <w:b w:val="0"/>
          <w:color w:val="auto"/>
          <w:sz w:val="24"/>
        </w:rPr>
        <w:t xml:space="preserve"> the</w:t>
      </w:r>
      <w:r w:rsidR="008C298E" w:rsidRPr="00CB59DA">
        <w:rPr>
          <w:b w:val="0"/>
          <w:color w:val="auto"/>
          <w:sz w:val="24"/>
        </w:rPr>
        <w:t xml:space="preserve"> housing investment programme as well as on specific scheme</w:t>
      </w:r>
      <w:r w:rsidR="00BA1CCC" w:rsidRPr="00CB59DA">
        <w:rPr>
          <w:b w:val="0"/>
          <w:color w:val="auto"/>
          <w:sz w:val="24"/>
        </w:rPr>
        <w:t>s</w:t>
      </w:r>
      <w:r w:rsidR="008C298E" w:rsidRPr="00CB59DA">
        <w:rPr>
          <w:b w:val="0"/>
          <w:color w:val="auto"/>
          <w:sz w:val="24"/>
        </w:rPr>
        <w:t xml:space="preserve"> in the housing strategy programme</w:t>
      </w:r>
      <w:r w:rsidR="00217BBB" w:rsidRPr="00CB59DA">
        <w:rPr>
          <w:b w:val="0"/>
          <w:color w:val="auto"/>
          <w:sz w:val="24"/>
        </w:rPr>
        <w:t xml:space="preserve"> that are currently being developed</w:t>
      </w:r>
      <w:r w:rsidR="00BB405A" w:rsidRPr="00CB59DA">
        <w:rPr>
          <w:b w:val="0"/>
          <w:color w:val="auto"/>
          <w:sz w:val="24"/>
        </w:rPr>
        <w:t xml:space="preserve">.  </w:t>
      </w:r>
      <w:r w:rsidR="004C1DE6" w:rsidRPr="00CB59DA">
        <w:rPr>
          <w:b w:val="0"/>
          <w:color w:val="auto"/>
          <w:sz w:val="24"/>
        </w:rPr>
        <w:t>Particularly</w:t>
      </w:r>
      <w:r w:rsidR="00BB405A" w:rsidRPr="00CB59DA">
        <w:rPr>
          <w:b w:val="0"/>
          <w:color w:val="auto"/>
          <w:sz w:val="24"/>
        </w:rPr>
        <w:t xml:space="preserve"> in relation to new housing developments, these changes in underlying costs of delivery</w:t>
      </w:r>
      <w:r w:rsidR="004C1DE6" w:rsidRPr="00CB59DA">
        <w:rPr>
          <w:b w:val="0"/>
          <w:color w:val="auto"/>
          <w:sz w:val="24"/>
        </w:rPr>
        <w:t xml:space="preserve">, as well as the </w:t>
      </w:r>
      <w:r w:rsidR="002031C5">
        <w:rPr>
          <w:b w:val="0"/>
          <w:color w:val="auto"/>
          <w:sz w:val="24"/>
        </w:rPr>
        <w:t xml:space="preserve">high </w:t>
      </w:r>
      <w:r w:rsidR="004C1DE6" w:rsidRPr="00CB59DA">
        <w:rPr>
          <w:b w:val="0"/>
          <w:color w:val="auto"/>
          <w:sz w:val="24"/>
        </w:rPr>
        <w:t xml:space="preserve">cost of borrowing, may result in some schemes </w:t>
      </w:r>
      <w:r w:rsidR="002031C5">
        <w:rPr>
          <w:b w:val="0"/>
          <w:color w:val="auto"/>
          <w:sz w:val="24"/>
        </w:rPr>
        <w:t>not being financially viable</w:t>
      </w:r>
      <w:r w:rsidR="004C1DE6" w:rsidRPr="00CB59DA">
        <w:rPr>
          <w:b w:val="0"/>
          <w:color w:val="auto"/>
          <w:sz w:val="24"/>
        </w:rPr>
        <w:t>.</w:t>
      </w:r>
      <w:r w:rsidR="00ED3022" w:rsidRPr="00CB59DA">
        <w:rPr>
          <w:b w:val="0"/>
          <w:color w:val="auto"/>
          <w:sz w:val="24"/>
        </w:rPr>
        <w:t xml:space="preserve">  As schemes are bought forward</w:t>
      </w:r>
      <w:r w:rsidR="002031C5">
        <w:rPr>
          <w:b w:val="0"/>
          <w:color w:val="auto"/>
          <w:sz w:val="24"/>
        </w:rPr>
        <w:t xml:space="preserve"> they are </w:t>
      </w:r>
      <w:r w:rsidR="00ED3022" w:rsidRPr="00CB59DA">
        <w:rPr>
          <w:b w:val="0"/>
          <w:color w:val="auto"/>
          <w:sz w:val="24"/>
        </w:rPr>
        <w:t>evaluated</w:t>
      </w:r>
      <w:r w:rsidR="002031C5">
        <w:rPr>
          <w:b w:val="0"/>
          <w:color w:val="auto"/>
          <w:sz w:val="24"/>
        </w:rPr>
        <w:t xml:space="preserve"> to</w:t>
      </w:r>
      <w:r w:rsidR="00110EAA" w:rsidRPr="00CB59DA">
        <w:rPr>
          <w:b w:val="0"/>
          <w:color w:val="auto"/>
          <w:sz w:val="24"/>
        </w:rPr>
        <w:t xml:space="preserve"> ensure </w:t>
      </w:r>
      <w:r w:rsidR="002031C5">
        <w:rPr>
          <w:b w:val="0"/>
          <w:color w:val="auto"/>
          <w:sz w:val="24"/>
        </w:rPr>
        <w:t>they</w:t>
      </w:r>
      <w:r w:rsidR="00110EAA" w:rsidRPr="00CB59DA">
        <w:rPr>
          <w:b w:val="0"/>
          <w:color w:val="auto"/>
          <w:sz w:val="24"/>
        </w:rPr>
        <w:t xml:space="preserve"> demonstrate value for money and </w:t>
      </w:r>
      <w:r w:rsidR="004D5E0B">
        <w:rPr>
          <w:b w:val="0"/>
          <w:color w:val="auto"/>
          <w:sz w:val="24"/>
        </w:rPr>
        <w:t xml:space="preserve"> affordable</w:t>
      </w:r>
      <w:r w:rsidR="00110EAA" w:rsidRPr="00CB59DA">
        <w:rPr>
          <w:b w:val="0"/>
          <w:color w:val="auto"/>
          <w:sz w:val="24"/>
        </w:rPr>
        <w:t xml:space="preserve">.  </w:t>
      </w:r>
      <w:r w:rsidR="00F35811" w:rsidRPr="00CB59DA">
        <w:rPr>
          <w:b w:val="0"/>
          <w:color w:val="auto"/>
          <w:sz w:val="24"/>
        </w:rPr>
        <w:t>Given the importance of investment in the City, to support the local economy, all opportunities to contain costs and/or seek alternative funding</w:t>
      </w:r>
      <w:r w:rsidR="00035AFF" w:rsidRPr="00CB59DA">
        <w:rPr>
          <w:b w:val="0"/>
          <w:color w:val="auto"/>
          <w:sz w:val="24"/>
        </w:rPr>
        <w:t>, primarily through Homes England,</w:t>
      </w:r>
      <w:r w:rsidR="00F35811" w:rsidRPr="00CB59DA">
        <w:rPr>
          <w:b w:val="0"/>
          <w:color w:val="auto"/>
          <w:sz w:val="24"/>
        </w:rPr>
        <w:t xml:space="preserve"> to ensure schemes are delivered will be undertaken.</w:t>
      </w:r>
    </w:p>
    <w:p w14:paraId="2504C3C5" w14:textId="77777777" w:rsidR="00653FEF" w:rsidRPr="00CB59DA" w:rsidRDefault="00653FEF" w:rsidP="000F48A9">
      <w:pPr>
        <w:pStyle w:val="BodyText"/>
        <w:tabs>
          <w:tab w:val="left" w:pos="9000"/>
        </w:tabs>
        <w:jc w:val="both"/>
        <w:rPr>
          <w:color w:val="C45911"/>
          <w:sz w:val="28"/>
          <w:szCs w:val="28"/>
        </w:rPr>
      </w:pPr>
    </w:p>
    <w:p w14:paraId="3909715B" w14:textId="3BCC3B1E" w:rsidR="000F48A9" w:rsidRPr="00CB59DA" w:rsidRDefault="000F48A9" w:rsidP="000F48A9">
      <w:pPr>
        <w:pStyle w:val="BodyText"/>
        <w:tabs>
          <w:tab w:val="left" w:pos="9000"/>
        </w:tabs>
        <w:jc w:val="both"/>
        <w:rPr>
          <w:b w:val="0"/>
          <w:color w:val="C45911"/>
          <w:sz w:val="28"/>
          <w:szCs w:val="20"/>
        </w:rPr>
      </w:pPr>
      <w:r w:rsidRPr="00CB59DA">
        <w:rPr>
          <w:color w:val="C45911"/>
          <w:sz w:val="28"/>
          <w:szCs w:val="28"/>
        </w:rPr>
        <w:t>Resources</w:t>
      </w:r>
    </w:p>
    <w:p w14:paraId="3A4E948A" w14:textId="77777777" w:rsidR="00953768" w:rsidRPr="00CB59DA" w:rsidRDefault="00953768" w:rsidP="000F48A9">
      <w:pPr>
        <w:autoSpaceDE w:val="0"/>
        <w:autoSpaceDN w:val="0"/>
        <w:adjustRightInd w:val="0"/>
        <w:jc w:val="both"/>
        <w:rPr>
          <w:rFonts w:ascii="Arial" w:hAnsi="Arial" w:cs="Arial"/>
        </w:rPr>
      </w:pPr>
    </w:p>
    <w:p w14:paraId="73A53BDC" w14:textId="77777777" w:rsidR="000F48A9" w:rsidRPr="000A13A9" w:rsidRDefault="000F48A9" w:rsidP="000F48A9">
      <w:pPr>
        <w:autoSpaceDE w:val="0"/>
        <w:autoSpaceDN w:val="0"/>
        <w:adjustRightInd w:val="0"/>
        <w:jc w:val="both"/>
        <w:rPr>
          <w:rFonts w:ascii="Arial" w:hAnsi="Arial" w:cs="Arial"/>
          <w:highlight w:val="green"/>
        </w:rPr>
      </w:pPr>
      <w:r w:rsidRPr="00CB59DA">
        <w:rPr>
          <w:rFonts w:ascii="Arial" w:hAnsi="Arial" w:cs="Arial"/>
        </w:rPr>
        <w:t>The resources necessary to fund the Council’s HIP are provided by the following</w:t>
      </w:r>
      <w:r w:rsidRPr="00707D92">
        <w:rPr>
          <w:rFonts w:ascii="Arial" w:hAnsi="Arial" w:cs="Arial"/>
        </w:rPr>
        <w:t>:</w:t>
      </w:r>
    </w:p>
    <w:p w14:paraId="24F65CF0" w14:textId="77777777" w:rsidR="000F48A9" w:rsidRPr="000A13A9" w:rsidRDefault="000F48A9" w:rsidP="000F48A9">
      <w:pPr>
        <w:autoSpaceDE w:val="0"/>
        <w:autoSpaceDN w:val="0"/>
        <w:adjustRightInd w:val="0"/>
        <w:jc w:val="both"/>
        <w:rPr>
          <w:rFonts w:ascii="Arial" w:hAnsi="Arial" w:cs="Arial"/>
          <w:b/>
          <w:bCs/>
          <w:szCs w:val="20"/>
          <w:highlight w:val="green"/>
        </w:rPr>
      </w:pPr>
    </w:p>
    <w:p w14:paraId="1A5819F6" w14:textId="77777777" w:rsidR="000F48A9" w:rsidRPr="000A13A9" w:rsidRDefault="000F48A9" w:rsidP="000F48A9">
      <w:pPr>
        <w:pStyle w:val="Heading7"/>
        <w:autoSpaceDE w:val="0"/>
        <w:autoSpaceDN w:val="0"/>
        <w:adjustRightInd w:val="0"/>
      </w:pPr>
      <w:r>
        <w:t>Major Repairs Reserve</w:t>
      </w:r>
    </w:p>
    <w:p w14:paraId="40E8C3BD" w14:textId="77777777" w:rsidR="000F48A9" w:rsidRPr="000A13A9" w:rsidRDefault="000F48A9" w:rsidP="000F48A9">
      <w:pPr>
        <w:autoSpaceDE w:val="0"/>
        <w:autoSpaceDN w:val="0"/>
        <w:adjustRightInd w:val="0"/>
        <w:jc w:val="both"/>
        <w:rPr>
          <w:rFonts w:ascii="Arial" w:hAnsi="Arial" w:cs="Arial"/>
          <w:sz w:val="20"/>
          <w:szCs w:val="20"/>
        </w:rPr>
      </w:pPr>
    </w:p>
    <w:p w14:paraId="3CAA0D8A" w14:textId="795FEFEF" w:rsidR="000F48A9" w:rsidRPr="000A13A9" w:rsidRDefault="000F48A9" w:rsidP="000F48A9">
      <w:pPr>
        <w:autoSpaceDE w:val="0"/>
        <w:autoSpaceDN w:val="0"/>
        <w:adjustRightInd w:val="0"/>
        <w:jc w:val="both"/>
        <w:rPr>
          <w:rFonts w:ascii="Arial" w:hAnsi="Arial" w:cs="Arial"/>
        </w:rPr>
      </w:pPr>
      <w:r w:rsidRPr="1B09B2AA">
        <w:rPr>
          <w:rFonts w:ascii="Arial" w:hAnsi="Arial" w:cs="Arial"/>
        </w:rPr>
        <w:t xml:space="preserve">The Major Repairs Reserve (MRR) is the main source of capital funding and the mechanism by which timing differences between resources becoming available and being applied are managed. The MRR may be used to fund capital expenditure and to repay existing debt. Depreciation is a real charge on the HRA and is paid into the MRR from the Housing Revenue Account to fund capital expenditure.  The total </w:t>
      </w:r>
      <w:r w:rsidR="0097364F" w:rsidRPr="1B09B2AA">
        <w:rPr>
          <w:rFonts w:ascii="Arial" w:hAnsi="Arial" w:cs="Arial"/>
        </w:rPr>
        <w:t xml:space="preserve">charge </w:t>
      </w:r>
      <w:r w:rsidR="0097364F" w:rsidRPr="00050666">
        <w:rPr>
          <w:rFonts w:ascii="Arial" w:hAnsi="Arial" w:cs="Arial"/>
        </w:rPr>
        <w:t xml:space="preserve">to the </w:t>
      </w:r>
      <w:r w:rsidR="0097364F" w:rsidRPr="004F702F">
        <w:rPr>
          <w:rFonts w:ascii="Arial" w:hAnsi="Arial" w:cs="Arial"/>
        </w:rPr>
        <w:t>revenue account</w:t>
      </w:r>
      <w:r w:rsidR="00AF2D9B" w:rsidRPr="004F702F">
        <w:rPr>
          <w:rFonts w:ascii="Arial" w:hAnsi="Arial" w:cs="Arial"/>
        </w:rPr>
        <w:t xml:space="preserve"> (both HRA and HRS)</w:t>
      </w:r>
      <w:r w:rsidRPr="004F702F">
        <w:rPr>
          <w:rFonts w:ascii="Arial" w:hAnsi="Arial" w:cs="Arial"/>
        </w:rPr>
        <w:t xml:space="preserve"> over the 5-year MTFS period through depreciation is £</w:t>
      </w:r>
      <w:r w:rsidR="008E7D20" w:rsidRPr="004F702F">
        <w:rPr>
          <w:rFonts w:ascii="Arial" w:hAnsi="Arial" w:cs="Arial"/>
        </w:rPr>
        <w:t>4</w:t>
      </w:r>
      <w:r w:rsidR="00ED69D3" w:rsidRPr="004F702F">
        <w:rPr>
          <w:rFonts w:ascii="Arial" w:hAnsi="Arial" w:cs="Arial"/>
        </w:rPr>
        <w:t>7.</w:t>
      </w:r>
      <w:r w:rsidR="004D666A" w:rsidRPr="004F702F">
        <w:rPr>
          <w:rFonts w:ascii="Arial" w:hAnsi="Arial" w:cs="Arial"/>
        </w:rPr>
        <w:t>472</w:t>
      </w:r>
      <w:r w:rsidR="007C2A95" w:rsidRPr="004F702F">
        <w:rPr>
          <w:rFonts w:ascii="Arial" w:hAnsi="Arial" w:cs="Arial"/>
        </w:rPr>
        <w:t>m</w:t>
      </w:r>
      <w:r w:rsidR="005C77EB" w:rsidRPr="004F702F">
        <w:rPr>
          <w:rFonts w:ascii="Arial" w:hAnsi="Arial" w:cs="Arial"/>
        </w:rPr>
        <w:t xml:space="preserve">, </w:t>
      </w:r>
      <w:r w:rsidR="00B02422" w:rsidRPr="004F702F">
        <w:rPr>
          <w:rFonts w:ascii="Arial" w:hAnsi="Arial" w:cs="Arial"/>
        </w:rPr>
        <w:t>and</w:t>
      </w:r>
      <w:r w:rsidR="005C77EB" w:rsidRPr="004F702F">
        <w:rPr>
          <w:rFonts w:ascii="Arial" w:hAnsi="Arial" w:cs="Arial"/>
        </w:rPr>
        <w:t xml:space="preserve"> £</w:t>
      </w:r>
      <w:r w:rsidR="00857310" w:rsidRPr="004F702F">
        <w:rPr>
          <w:rFonts w:ascii="Arial" w:hAnsi="Arial" w:cs="Arial"/>
        </w:rPr>
        <w:t>4</w:t>
      </w:r>
      <w:r w:rsidR="00863B3A" w:rsidRPr="004F702F">
        <w:rPr>
          <w:rFonts w:ascii="Arial" w:hAnsi="Arial" w:cs="Arial"/>
        </w:rPr>
        <w:t>7.372</w:t>
      </w:r>
      <w:r w:rsidR="00857310" w:rsidRPr="004F702F">
        <w:rPr>
          <w:rFonts w:ascii="Arial" w:hAnsi="Arial" w:cs="Arial"/>
        </w:rPr>
        <w:t>m</w:t>
      </w:r>
      <w:r w:rsidR="005C77EB" w:rsidRPr="004F702F">
        <w:rPr>
          <w:rFonts w:ascii="Arial" w:hAnsi="Arial" w:cs="Arial"/>
        </w:rPr>
        <w:t xml:space="preserve"> is planned to be utilised</w:t>
      </w:r>
      <w:r w:rsidR="00591D8C">
        <w:rPr>
          <w:rFonts w:ascii="Arial" w:hAnsi="Arial" w:cs="Arial"/>
        </w:rPr>
        <w:t>.</w:t>
      </w:r>
      <w:r w:rsidR="005C77EB" w:rsidRPr="004F702F">
        <w:rPr>
          <w:rFonts w:ascii="Arial" w:hAnsi="Arial" w:cs="Arial"/>
        </w:rPr>
        <w:t xml:space="preserve"> </w:t>
      </w:r>
    </w:p>
    <w:p w14:paraId="62D645D7" w14:textId="77777777" w:rsidR="002A207B" w:rsidRPr="000A13A9" w:rsidRDefault="002A207B" w:rsidP="000F48A9">
      <w:pPr>
        <w:autoSpaceDE w:val="0"/>
        <w:autoSpaceDN w:val="0"/>
        <w:adjustRightInd w:val="0"/>
        <w:jc w:val="both"/>
        <w:rPr>
          <w:rFonts w:ascii="Arial" w:hAnsi="Arial" w:cs="Arial"/>
          <w:highlight w:val="green"/>
        </w:rPr>
      </w:pPr>
    </w:p>
    <w:p w14:paraId="27DA380B" w14:textId="74C0B04E" w:rsidR="000F48A9" w:rsidRPr="00EA4ACA" w:rsidRDefault="000F48A9" w:rsidP="000F48A9">
      <w:pPr>
        <w:autoSpaceDE w:val="0"/>
        <w:autoSpaceDN w:val="0"/>
        <w:adjustRightInd w:val="0"/>
        <w:jc w:val="both"/>
        <w:rPr>
          <w:rFonts w:ascii="Arial" w:hAnsi="Arial" w:cs="Arial"/>
          <w:b/>
        </w:rPr>
      </w:pPr>
      <w:r w:rsidRPr="00EA4ACA">
        <w:rPr>
          <w:rFonts w:ascii="Arial" w:hAnsi="Arial" w:cs="Arial"/>
          <w:b/>
        </w:rPr>
        <w:t xml:space="preserve">Revenue Contributions </w:t>
      </w:r>
      <w:r w:rsidR="00B80991" w:rsidRPr="00EA4ACA">
        <w:rPr>
          <w:rFonts w:ascii="Arial" w:hAnsi="Arial" w:cs="Arial"/>
          <w:b/>
        </w:rPr>
        <w:t>to Capital Outlay</w:t>
      </w:r>
    </w:p>
    <w:p w14:paraId="79A4D44F" w14:textId="77777777" w:rsidR="000F48A9" w:rsidRPr="00EA4ACA" w:rsidRDefault="000F48A9" w:rsidP="000F48A9">
      <w:pPr>
        <w:autoSpaceDE w:val="0"/>
        <w:autoSpaceDN w:val="0"/>
        <w:adjustRightInd w:val="0"/>
        <w:jc w:val="both"/>
        <w:rPr>
          <w:rFonts w:ascii="Arial" w:hAnsi="Arial" w:cs="Arial"/>
        </w:rPr>
      </w:pPr>
    </w:p>
    <w:p w14:paraId="4371E47E" w14:textId="5C264F2B" w:rsidR="00953768" w:rsidRPr="00EA4ACA" w:rsidRDefault="00736A6B" w:rsidP="002E6B48">
      <w:pPr>
        <w:autoSpaceDE w:val="0"/>
        <w:autoSpaceDN w:val="0"/>
        <w:adjustRightInd w:val="0"/>
        <w:jc w:val="both"/>
        <w:rPr>
          <w:rFonts w:ascii="Arial" w:hAnsi="Arial" w:cs="Arial"/>
        </w:rPr>
      </w:pPr>
      <w:r w:rsidRPr="00EA4ACA">
        <w:rPr>
          <w:rFonts w:ascii="Arial" w:hAnsi="Arial" w:cs="Arial"/>
        </w:rPr>
        <w:t>The</w:t>
      </w:r>
      <w:r w:rsidR="00225BEF" w:rsidRPr="00EA4ACA">
        <w:rPr>
          <w:rFonts w:ascii="Arial" w:hAnsi="Arial" w:cs="Arial"/>
        </w:rPr>
        <w:t xml:space="preserve"> 5-year</w:t>
      </w:r>
      <w:r w:rsidRPr="00EA4ACA">
        <w:rPr>
          <w:rFonts w:ascii="Arial" w:hAnsi="Arial" w:cs="Arial"/>
        </w:rPr>
        <w:t xml:space="preserve"> MTFS </w:t>
      </w:r>
      <w:r w:rsidR="000F48A9" w:rsidRPr="00EA4ACA">
        <w:rPr>
          <w:rFonts w:ascii="Arial" w:hAnsi="Arial" w:cs="Arial"/>
        </w:rPr>
        <w:t xml:space="preserve">includes </w:t>
      </w:r>
      <w:r w:rsidR="00E85415" w:rsidRPr="00EA4ACA">
        <w:rPr>
          <w:rFonts w:ascii="Arial" w:hAnsi="Arial" w:cs="Arial"/>
        </w:rPr>
        <w:t xml:space="preserve">contributions </w:t>
      </w:r>
      <w:r w:rsidR="00E85415" w:rsidRPr="00D04A4F">
        <w:rPr>
          <w:rFonts w:ascii="Arial" w:hAnsi="Arial" w:cs="Arial"/>
        </w:rPr>
        <w:t xml:space="preserve">of </w:t>
      </w:r>
      <w:r w:rsidR="000F48A9" w:rsidRPr="00D04A4F">
        <w:rPr>
          <w:rFonts w:ascii="Arial" w:hAnsi="Arial" w:cs="Arial"/>
        </w:rPr>
        <w:t>£</w:t>
      </w:r>
      <w:r w:rsidR="00343D4B" w:rsidRPr="00D04A4F">
        <w:rPr>
          <w:rFonts w:ascii="Arial" w:hAnsi="Arial" w:cs="Arial"/>
        </w:rPr>
        <w:t>2</w:t>
      </w:r>
      <w:r w:rsidR="00EA4ACA" w:rsidRPr="00D04A4F">
        <w:rPr>
          <w:rFonts w:ascii="Arial" w:hAnsi="Arial" w:cs="Arial"/>
        </w:rPr>
        <w:t>3</w:t>
      </w:r>
      <w:r w:rsidR="00D06356" w:rsidRPr="00D04A4F">
        <w:rPr>
          <w:rFonts w:ascii="Arial" w:hAnsi="Arial" w:cs="Arial"/>
        </w:rPr>
        <w:t>m</w:t>
      </w:r>
      <w:r w:rsidR="000F48A9" w:rsidRPr="00D04A4F">
        <w:rPr>
          <w:rFonts w:ascii="Arial" w:hAnsi="Arial" w:cs="Arial"/>
        </w:rPr>
        <w:t xml:space="preserve"> </w:t>
      </w:r>
      <w:r w:rsidR="00E85415" w:rsidRPr="00D04A4F">
        <w:rPr>
          <w:rFonts w:ascii="Arial" w:hAnsi="Arial" w:cs="Arial"/>
        </w:rPr>
        <w:t xml:space="preserve">of </w:t>
      </w:r>
      <w:r w:rsidR="00B80991" w:rsidRPr="00D04A4F">
        <w:rPr>
          <w:rFonts w:ascii="Arial" w:hAnsi="Arial" w:cs="Arial"/>
        </w:rPr>
        <w:t>revenue contributions</w:t>
      </w:r>
      <w:r w:rsidR="006448F3" w:rsidRPr="00D04A4F">
        <w:rPr>
          <w:rFonts w:ascii="Arial" w:hAnsi="Arial" w:cs="Arial"/>
        </w:rPr>
        <w:t xml:space="preserve"> </w:t>
      </w:r>
      <w:r w:rsidR="000F48A9" w:rsidRPr="00D04A4F">
        <w:rPr>
          <w:rFonts w:ascii="Arial" w:hAnsi="Arial" w:cs="Arial"/>
        </w:rPr>
        <w:t xml:space="preserve">over the </w:t>
      </w:r>
      <w:r w:rsidR="00D52A13" w:rsidRPr="00D04A4F">
        <w:rPr>
          <w:rFonts w:ascii="Arial" w:hAnsi="Arial" w:cs="Arial"/>
        </w:rPr>
        <w:t>five-year</w:t>
      </w:r>
      <w:r w:rsidR="000F48A9" w:rsidRPr="00D04A4F">
        <w:rPr>
          <w:rFonts w:ascii="Arial" w:hAnsi="Arial" w:cs="Arial"/>
        </w:rPr>
        <w:t xml:space="preserve"> period</w:t>
      </w:r>
      <w:r w:rsidR="00E85415" w:rsidRPr="00D04A4F">
        <w:rPr>
          <w:rFonts w:ascii="Arial" w:hAnsi="Arial" w:cs="Arial"/>
        </w:rPr>
        <w:t xml:space="preserve"> of which £</w:t>
      </w:r>
      <w:r w:rsidR="00980238" w:rsidRPr="00D04A4F">
        <w:rPr>
          <w:rFonts w:ascii="Arial" w:hAnsi="Arial" w:cs="Arial"/>
        </w:rPr>
        <w:t>2</w:t>
      </w:r>
      <w:r w:rsidR="000627AB" w:rsidRPr="00D04A4F">
        <w:rPr>
          <w:rFonts w:ascii="Arial" w:hAnsi="Arial" w:cs="Arial"/>
        </w:rPr>
        <w:t>2.079</w:t>
      </w:r>
      <w:r w:rsidR="003656D7" w:rsidRPr="00D04A4F">
        <w:rPr>
          <w:rFonts w:ascii="Arial" w:hAnsi="Arial" w:cs="Arial"/>
        </w:rPr>
        <w:t>m</w:t>
      </w:r>
      <w:r w:rsidR="00E85415" w:rsidRPr="00D04A4F">
        <w:rPr>
          <w:rFonts w:ascii="Arial" w:hAnsi="Arial" w:cs="Arial"/>
        </w:rPr>
        <w:t xml:space="preserve"> is pl</w:t>
      </w:r>
      <w:r w:rsidR="00E85415" w:rsidRPr="2629CFD6">
        <w:rPr>
          <w:rFonts w:ascii="Arial" w:hAnsi="Arial" w:cs="Arial"/>
        </w:rPr>
        <w:t>anned to be utilised</w:t>
      </w:r>
      <w:r w:rsidR="00456E00" w:rsidRPr="2629CFD6">
        <w:rPr>
          <w:rFonts w:ascii="Arial" w:hAnsi="Arial" w:cs="Arial"/>
        </w:rPr>
        <w:t xml:space="preserve"> (including balances brought forward)</w:t>
      </w:r>
      <w:r w:rsidR="000F48A9" w:rsidRPr="2629CFD6">
        <w:rPr>
          <w:rFonts w:ascii="Arial" w:hAnsi="Arial" w:cs="Arial"/>
        </w:rPr>
        <w:t>.</w:t>
      </w:r>
    </w:p>
    <w:p w14:paraId="0357911D" w14:textId="77777777" w:rsidR="00953768" w:rsidRPr="000A13A9" w:rsidRDefault="00953768" w:rsidP="002E6B48">
      <w:pPr>
        <w:autoSpaceDE w:val="0"/>
        <w:autoSpaceDN w:val="0"/>
        <w:adjustRightInd w:val="0"/>
        <w:jc w:val="both"/>
        <w:rPr>
          <w:rFonts w:ascii="Arial" w:hAnsi="Arial" w:cs="Arial"/>
          <w:highlight w:val="green"/>
        </w:rPr>
      </w:pPr>
    </w:p>
    <w:p w14:paraId="5166C91F" w14:textId="77777777" w:rsidR="002E6B48" w:rsidRPr="008905B9" w:rsidRDefault="002E6B48" w:rsidP="002E6B48">
      <w:pPr>
        <w:autoSpaceDE w:val="0"/>
        <w:autoSpaceDN w:val="0"/>
        <w:adjustRightInd w:val="0"/>
        <w:jc w:val="both"/>
        <w:rPr>
          <w:rFonts w:ascii="Arial" w:hAnsi="Arial" w:cs="Arial"/>
          <w:b/>
        </w:rPr>
      </w:pPr>
      <w:r w:rsidRPr="008905B9">
        <w:rPr>
          <w:rFonts w:ascii="Arial" w:hAnsi="Arial" w:cs="Arial"/>
          <w:b/>
        </w:rPr>
        <w:t>Grants and Contributions</w:t>
      </w:r>
    </w:p>
    <w:p w14:paraId="6F3E7DF4" w14:textId="77777777" w:rsidR="002E6B48" w:rsidRPr="008905B9" w:rsidRDefault="002E6B48" w:rsidP="002E6B48">
      <w:pPr>
        <w:autoSpaceDE w:val="0"/>
        <w:autoSpaceDN w:val="0"/>
        <w:adjustRightInd w:val="0"/>
        <w:jc w:val="both"/>
        <w:rPr>
          <w:rFonts w:ascii="Arial" w:hAnsi="Arial" w:cs="Arial"/>
        </w:rPr>
      </w:pPr>
    </w:p>
    <w:p w14:paraId="4B72F5B9" w14:textId="789DF778" w:rsidR="002E6B48" w:rsidRPr="008905B9" w:rsidRDefault="000B008B" w:rsidP="002E6B48">
      <w:pPr>
        <w:autoSpaceDE w:val="0"/>
        <w:autoSpaceDN w:val="0"/>
        <w:adjustRightInd w:val="0"/>
        <w:jc w:val="both"/>
        <w:rPr>
          <w:rFonts w:ascii="Arial" w:hAnsi="Arial" w:cs="Arial"/>
        </w:rPr>
      </w:pPr>
      <w:r w:rsidRPr="008905B9">
        <w:rPr>
          <w:rFonts w:ascii="Arial" w:hAnsi="Arial" w:cs="Arial"/>
        </w:rPr>
        <w:t>It is planned that £</w:t>
      </w:r>
      <w:r w:rsidRPr="00732F25">
        <w:rPr>
          <w:rFonts w:ascii="Arial" w:hAnsi="Arial" w:cs="Arial"/>
        </w:rPr>
        <w:t>5.2</w:t>
      </w:r>
      <w:r w:rsidR="00AB4BE1" w:rsidRPr="00732F25">
        <w:rPr>
          <w:rFonts w:ascii="Arial" w:hAnsi="Arial" w:cs="Arial"/>
        </w:rPr>
        <w:t>10</w:t>
      </w:r>
      <w:r w:rsidRPr="00732F25">
        <w:rPr>
          <w:rFonts w:ascii="Arial" w:hAnsi="Arial" w:cs="Arial"/>
        </w:rPr>
        <w:t>m</w:t>
      </w:r>
      <w:r w:rsidR="002E6B48" w:rsidRPr="00732F25">
        <w:rPr>
          <w:rFonts w:ascii="Arial" w:hAnsi="Arial" w:cs="Arial"/>
        </w:rPr>
        <w:t xml:space="preserve"> grants</w:t>
      </w:r>
      <w:r w:rsidR="0002099B" w:rsidRPr="008905B9">
        <w:rPr>
          <w:rFonts w:ascii="Arial" w:hAnsi="Arial" w:cs="Arial"/>
        </w:rPr>
        <w:t xml:space="preserve"> </w:t>
      </w:r>
      <w:r w:rsidR="00865262" w:rsidRPr="008905B9">
        <w:rPr>
          <w:rFonts w:ascii="Arial" w:hAnsi="Arial" w:cs="Arial"/>
        </w:rPr>
        <w:t>or</w:t>
      </w:r>
      <w:r w:rsidR="0002099B" w:rsidRPr="008905B9">
        <w:rPr>
          <w:rFonts w:ascii="Arial" w:hAnsi="Arial" w:cs="Arial"/>
        </w:rPr>
        <w:t xml:space="preserve"> contributions</w:t>
      </w:r>
      <w:r w:rsidR="002E6B48" w:rsidRPr="008905B9">
        <w:rPr>
          <w:rFonts w:ascii="Arial" w:hAnsi="Arial" w:cs="Arial"/>
        </w:rPr>
        <w:t xml:space="preserve"> </w:t>
      </w:r>
      <w:r w:rsidRPr="008905B9">
        <w:rPr>
          <w:rFonts w:ascii="Arial" w:hAnsi="Arial" w:cs="Arial"/>
        </w:rPr>
        <w:t xml:space="preserve">will </w:t>
      </w:r>
      <w:r w:rsidR="00EF6282" w:rsidRPr="008905B9">
        <w:rPr>
          <w:rFonts w:ascii="Arial" w:hAnsi="Arial" w:cs="Arial"/>
        </w:rPr>
        <w:t>be utilised</w:t>
      </w:r>
      <w:r w:rsidR="007C495F" w:rsidRPr="008905B9">
        <w:rPr>
          <w:rFonts w:ascii="Arial" w:hAnsi="Arial" w:cs="Arial"/>
        </w:rPr>
        <w:t xml:space="preserve"> </w:t>
      </w:r>
      <w:r w:rsidR="00F44DB1" w:rsidRPr="008905B9">
        <w:rPr>
          <w:rFonts w:ascii="Arial" w:hAnsi="Arial" w:cs="Arial"/>
        </w:rPr>
        <w:t>over</w:t>
      </w:r>
      <w:r w:rsidR="007C495F" w:rsidRPr="008905B9">
        <w:rPr>
          <w:rFonts w:ascii="Arial" w:hAnsi="Arial" w:cs="Arial"/>
        </w:rPr>
        <w:t xml:space="preserve"> the </w:t>
      </w:r>
      <w:r w:rsidR="00B80991" w:rsidRPr="008905B9">
        <w:rPr>
          <w:rFonts w:ascii="Arial" w:hAnsi="Arial" w:cs="Arial"/>
        </w:rPr>
        <w:t>five-year</w:t>
      </w:r>
      <w:r w:rsidR="007C495F" w:rsidRPr="008905B9">
        <w:rPr>
          <w:rFonts w:ascii="Arial" w:hAnsi="Arial" w:cs="Arial"/>
        </w:rPr>
        <w:t xml:space="preserve"> MTFS period</w:t>
      </w:r>
      <w:r w:rsidR="002E6B48" w:rsidRPr="008905B9">
        <w:rPr>
          <w:rFonts w:ascii="Arial" w:hAnsi="Arial" w:cs="Arial"/>
        </w:rPr>
        <w:t>.</w:t>
      </w:r>
      <w:r w:rsidR="00B948D8">
        <w:rPr>
          <w:rFonts w:ascii="Arial" w:hAnsi="Arial" w:cs="Arial"/>
        </w:rPr>
        <w:t xml:space="preserve"> </w:t>
      </w:r>
    </w:p>
    <w:p w14:paraId="14498C42" w14:textId="77777777" w:rsidR="000F48A9" w:rsidRPr="000A13A9" w:rsidRDefault="000F48A9" w:rsidP="000F48A9">
      <w:pPr>
        <w:autoSpaceDE w:val="0"/>
        <w:autoSpaceDN w:val="0"/>
        <w:adjustRightInd w:val="0"/>
        <w:jc w:val="both"/>
        <w:rPr>
          <w:rFonts w:ascii="Arial" w:hAnsi="Arial" w:cs="Arial"/>
          <w:highlight w:val="green"/>
        </w:rPr>
      </w:pPr>
    </w:p>
    <w:p w14:paraId="64966F7B" w14:textId="77777777" w:rsidR="000F48A9" w:rsidRPr="00806676" w:rsidRDefault="000F48A9" w:rsidP="000F48A9">
      <w:pPr>
        <w:pStyle w:val="Default"/>
        <w:spacing w:after="220"/>
        <w:jc w:val="both"/>
        <w:rPr>
          <w:rFonts w:ascii="Arial" w:hAnsi="Arial" w:cs="Arial"/>
          <w:b/>
          <w:color w:val="auto"/>
          <w:szCs w:val="20"/>
          <w:lang w:val="en-GB"/>
        </w:rPr>
      </w:pPr>
      <w:r w:rsidRPr="00806676">
        <w:rPr>
          <w:rFonts w:ascii="Arial" w:hAnsi="Arial" w:cs="Arial"/>
          <w:b/>
          <w:color w:val="auto"/>
          <w:szCs w:val="20"/>
          <w:lang w:val="en-GB"/>
        </w:rPr>
        <w:t>Capital Receipts</w:t>
      </w:r>
    </w:p>
    <w:p w14:paraId="32FB0525" w14:textId="77777777" w:rsidR="00B80399" w:rsidRDefault="00625D45" w:rsidP="000F48A9">
      <w:pPr>
        <w:autoSpaceDE w:val="0"/>
        <w:autoSpaceDN w:val="0"/>
        <w:adjustRightInd w:val="0"/>
        <w:jc w:val="both"/>
        <w:rPr>
          <w:rFonts w:ascii="Arial" w:hAnsi="Arial" w:cs="Arial"/>
        </w:rPr>
      </w:pPr>
      <w:r>
        <w:rPr>
          <w:rFonts w:ascii="Arial" w:hAnsi="Arial" w:cs="Arial"/>
        </w:rPr>
        <w:t xml:space="preserve">Receipts from the sale of council housing fall within the </w:t>
      </w:r>
      <w:r w:rsidRPr="00806676">
        <w:rPr>
          <w:rFonts w:ascii="Arial" w:hAnsi="Arial" w:cs="Arial"/>
        </w:rPr>
        <w:t>Right-to-Buy (RTB)</w:t>
      </w:r>
      <w:r>
        <w:rPr>
          <w:rFonts w:ascii="Arial" w:hAnsi="Arial" w:cs="Arial"/>
        </w:rPr>
        <w:t xml:space="preserve"> regime.  </w:t>
      </w:r>
      <w:r w:rsidR="00217981">
        <w:rPr>
          <w:rFonts w:ascii="Arial" w:hAnsi="Arial" w:cs="Arial"/>
        </w:rPr>
        <w:t>C</w:t>
      </w:r>
      <w:r w:rsidR="00217981" w:rsidRPr="00217981">
        <w:rPr>
          <w:rFonts w:ascii="Arial" w:hAnsi="Arial" w:cs="Arial"/>
        </w:rPr>
        <w:t xml:space="preserve">urrent arrangement for RTB receipts allows councils to keep and use up to 100% </w:t>
      </w:r>
      <w:r w:rsidR="00217981">
        <w:rPr>
          <w:rFonts w:ascii="Arial" w:hAnsi="Arial" w:cs="Arial"/>
        </w:rPr>
        <w:t xml:space="preserve">(previously an element was pooled with the Government) </w:t>
      </w:r>
      <w:r w:rsidR="00217981" w:rsidRPr="00217981">
        <w:rPr>
          <w:rFonts w:ascii="Arial" w:hAnsi="Arial" w:cs="Arial"/>
        </w:rPr>
        <w:t>of these funds to build or buy replacement affordable homes</w:t>
      </w:r>
      <w:r w:rsidR="00B80399">
        <w:rPr>
          <w:rFonts w:ascii="Arial" w:hAnsi="Arial" w:cs="Arial"/>
        </w:rPr>
        <w:t>, including social rent, affordable rent, shared ownership and first homes</w:t>
      </w:r>
      <w:r w:rsidR="00296E66">
        <w:rPr>
          <w:rFonts w:ascii="Arial" w:hAnsi="Arial" w:cs="Arial"/>
        </w:rPr>
        <w:t xml:space="preserve">.  </w:t>
      </w:r>
      <w:r w:rsidR="00296E66" w:rsidRPr="00806676">
        <w:rPr>
          <w:rFonts w:ascii="Arial" w:hAnsi="Arial" w:cs="Arial"/>
        </w:rPr>
        <w:t>Th</w:t>
      </w:r>
      <w:r w:rsidR="00B80399">
        <w:rPr>
          <w:rFonts w:ascii="Arial" w:hAnsi="Arial" w:cs="Arial"/>
        </w:rPr>
        <w:t>is</w:t>
      </w:r>
      <w:r w:rsidR="00296E66" w:rsidRPr="00806676">
        <w:rPr>
          <w:rFonts w:ascii="Arial" w:hAnsi="Arial" w:cs="Arial"/>
        </w:rPr>
        <w:t xml:space="preserve"> </w:t>
      </w:r>
      <w:r w:rsidR="00B80399">
        <w:rPr>
          <w:rFonts w:ascii="Arial" w:hAnsi="Arial" w:cs="Arial"/>
        </w:rPr>
        <w:t>is</w:t>
      </w:r>
      <w:r w:rsidR="00296E66" w:rsidRPr="00806676">
        <w:rPr>
          <w:rFonts w:ascii="Arial" w:hAnsi="Arial" w:cs="Arial"/>
        </w:rPr>
        <w:t xml:space="preserve"> subject to a formal retention agreement between the Council and MHCLG</w:t>
      </w:r>
      <w:r w:rsidR="00B80399">
        <w:rPr>
          <w:rFonts w:ascii="Arial" w:hAnsi="Arial" w:cs="Arial"/>
        </w:rPr>
        <w:t>.</w:t>
      </w:r>
    </w:p>
    <w:p w14:paraId="35AC2556" w14:textId="4AF84EFC" w:rsidR="00B80399" w:rsidRDefault="00296E66" w:rsidP="00E012E3">
      <w:pPr>
        <w:autoSpaceDE w:val="0"/>
        <w:autoSpaceDN w:val="0"/>
        <w:adjustRightInd w:val="0"/>
        <w:jc w:val="both"/>
        <w:rPr>
          <w:rFonts w:ascii="Arial" w:hAnsi="Arial" w:cs="Arial"/>
        </w:rPr>
      </w:pPr>
      <w:r w:rsidRPr="00806676">
        <w:rPr>
          <w:rFonts w:ascii="Arial" w:hAnsi="Arial" w:cs="Arial"/>
        </w:rPr>
        <w:t xml:space="preserve"> </w:t>
      </w:r>
    </w:p>
    <w:p w14:paraId="608BD380" w14:textId="77777777" w:rsidR="008C4D53" w:rsidRPr="00F261B6" w:rsidRDefault="007C7F1E" w:rsidP="00E012E3">
      <w:pPr>
        <w:autoSpaceDE w:val="0"/>
        <w:autoSpaceDN w:val="0"/>
        <w:adjustRightInd w:val="0"/>
        <w:jc w:val="both"/>
        <w:rPr>
          <w:rFonts w:ascii="Arial" w:hAnsi="Arial" w:cs="Arial"/>
        </w:rPr>
      </w:pPr>
      <w:r w:rsidRPr="00F261B6">
        <w:rPr>
          <w:rFonts w:ascii="Arial" w:hAnsi="Arial" w:cs="Arial"/>
        </w:rPr>
        <w:t>The Government have recently introduced new</w:t>
      </w:r>
      <w:r w:rsidR="00217981" w:rsidRPr="00F261B6">
        <w:rPr>
          <w:rFonts w:ascii="Arial" w:hAnsi="Arial" w:cs="Arial"/>
        </w:rPr>
        <w:t xml:space="preserve"> flexibilities</w:t>
      </w:r>
      <w:r w:rsidRPr="00F261B6">
        <w:rPr>
          <w:rFonts w:ascii="Arial" w:hAnsi="Arial" w:cs="Arial"/>
        </w:rPr>
        <w:t xml:space="preserve"> on the use of RTB receipts</w:t>
      </w:r>
      <w:r w:rsidR="008C4D53" w:rsidRPr="00F261B6">
        <w:rPr>
          <w:rFonts w:ascii="Arial" w:hAnsi="Arial" w:cs="Arial"/>
        </w:rPr>
        <w:t>:</w:t>
      </w:r>
    </w:p>
    <w:p w14:paraId="46417FD0" w14:textId="77777777" w:rsidR="008C4D53" w:rsidRPr="00F261B6" w:rsidRDefault="00217981" w:rsidP="00E012E3">
      <w:pPr>
        <w:pStyle w:val="ListParagraph"/>
        <w:numPr>
          <w:ilvl w:val="0"/>
          <w:numId w:val="62"/>
        </w:numPr>
        <w:autoSpaceDE w:val="0"/>
        <w:autoSpaceDN w:val="0"/>
        <w:adjustRightInd w:val="0"/>
        <w:spacing w:after="0" w:line="240" w:lineRule="auto"/>
        <w:jc w:val="both"/>
        <w:rPr>
          <w:rFonts w:ascii="Arial" w:hAnsi="Arial" w:cs="Arial"/>
          <w:sz w:val="24"/>
          <w:szCs w:val="24"/>
        </w:rPr>
      </w:pPr>
      <w:r w:rsidRPr="00F261B6">
        <w:rPr>
          <w:rFonts w:ascii="Arial" w:hAnsi="Arial" w:cs="Arial"/>
          <w:sz w:val="24"/>
          <w:szCs w:val="24"/>
        </w:rPr>
        <w:t>lifting</w:t>
      </w:r>
      <w:r w:rsidR="007C7F1E" w:rsidRPr="00F261B6">
        <w:rPr>
          <w:rFonts w:ascii="Arial" w:hAnsi="Arial" w:cs="Arial"/>
          <w:sz w:val="24"/>
          <w:szCs w:val="24"/>
        </w:rPr>
        <w:t xml:space="preserve"> the</w:t>
      </w:r>
      <w:r w:rsidRPr="00F261B6">
        <w:rPr>
          <w:rFonts w:ascii="Arial" w:hAnsi="Arial" w:cs="Arial"/>
          <w:sz w:val="24"/>
          <w:szCs w:val="24"/>
        </w:rPr>
        <w:t xml:space="preserve"> caps on </w:t>
      </w:r>
      <w:r w:rsidR="008C4D53" w:rsidRPr="00F261B6">
        <w:rPr>
          <w:rFonts w:ascii="Arial" w:hAnsi="Arial" w:cs="Arial"/>
          <w:sz w:val="24"/>
          <w:szCs w:val="24"/>
        </w:rPr>
        <w:t xml:space="preserve">using receipts for acquiring existing properties (instead of new builds), </w:t>
      </w:r>
    </w:p>
    <w:p w14:paraId="4891C2E2" w14:textId="2C0E089E" w:rsidR="008C4D53" w:rsidRPr="00F261B6" w:rsidRDefault="008C4D53" w:rsidP="00E012E3">
      <w:pPr>
        <w:pStyle w:val="ListParagraph"/>
        <w:numPr>
          <w:ilvl w:val="0"/>
          <w:numId w:val="62"/>
        </w:numPr>
        <w:autoSpaceDE w:val="0"/>
        <w:autoSpaceDN w:val="0"/>
        <w:adjustRightInd w:val="0"/>
        <w:spacing w:after="0" w:line="240" w:lineRule="auto"/>
        <w:jc w:val="both"/>
        <w:rPr>
          <w:rFonts w:ascii="Arial" w:hAnsi="Arial" w:cs="Arial"/>
          <w:sz w:val="24"/>
          <w:szCs w:val="24"/>
        </w:rPr>
      </w:pPr>
      <w:r w:rsidRPr="00F261B6">
        <w:rPr>
          <w:rFonts w:ascii="Arial" w:hAnsi="Arial" w:cs="Arial"/>
          <w:sz w:val="24"/>
          <w:szCs w:val="24"/>
        </w:rPr>
        <w:t>allowing RTB receipts to be used alongside other funds e.g. grant funding and S106 contributions</w:t>
      </w:r>
      <w:r w:rsidR="00217981" w:rsidRPr="00F261B6">
        <w:rPr>
          <w:rFonts w:ascii="Arial" w:hAnsi="Arial" w:cs="Arial"/>
          <w:sz w:val="24"/>
          <w:szCs w:val="24"/>
        </w:rPr>
        <w:t xml:space="preserve"> </w:t>
      </w:r>
    </w:p>
    <w:p w14:paraId="6F18DEFB" w14:textId="5522686D" w:rsidR="00625D45" w:rsidRPr="00F261B6" w:rsidRDefault="00807C7D" w:rsidP="00E012E3">
      <w:pPr>
        <w:pStyle w:val="ListParagraph"/>
        <w:numPr>
          <w:ilvl w:val="0"/>
          <w:numId w:val="62"/>
        </w:numPr>
        <w:autoSpaceDE w:val="0"/>
        <w:autoSpaceDN w:val="0"/>
        <w:adjustRightInd w:val="0"/>
        <w:spacing w:after="0" w:line="240" w:lineRule="auto"/>
        <w:jc w:val="both"/>
        <w:rPr>
          <w:rFonts w:ascii="Arial" w:hAnsi="Arial" w:cs="Arial"/>
          <w:sz w:val="24"/>
          <w:szCs w:val="24"/>
        </w:rPr>
      </w:pPr>
      <w:r w:rsidRPr="00F261B6">
        <w:rPr>
          <w:rFonts w:ascii="Arial" w:hAnsi="Arial" w:cs="Arial"/>
          <w:sz w:val="24"/>
          <w:szCs w:val="24"/>
        </w:rPr>
        <w:t>extending the timef</w:t>
      </w:r>
      <w:r w:rsidR="00CE2881" w:rsidRPr="00F261B6">
        <w:rPr>
          <w:rFonts w:ascii="Arial" w:hAnsi="Arial" w:cs="Arial"/>
          <w:sz w:val="24"/>
          <w:szCs w:val="24"/>
        </w:rPr>
        <w:t>rame in which local authorities had to spend RTB receipts from 5-</w:t>
      </w:r>
      <w:r w:rsidR="00E012E3">
        <w:rPr>
          <w:rFonts w:ascii="Arial" w:hAnsi="Arial" w:cs="Arial"/>
          <w:sz w:val="24"/>
          <w:szCs w:val="24"/>
        </w:rPr>
        <w:t>y</w:t>
      </w:r>
      <w:r w:rsidR="00CE2881" w:rsidRPr="00F261B6">
        <w:rPr>
          <w:rFonts w:ascii="Arial" w:hAnsi="Arial" w:cs="Arial"/>
          <w:sz w:val="24"/>
          <w:szCs w:val="24"/>
        </w:rPr>
        <w:t xml:space="preserve">ears to </w:t>
      </w:r>
      <w:r w:rsidR="000E63CB" w:rsidRPr="00F261B6">
        <w:rPr>
          <w:rFonts w:ascii="Arial" w:hAnsi="Arial" w:cs="Arial"/>
          <w:sz w:val="24"/>
          <w:szCs w:val="24"/>
        </w:rPr>
        <w:t>10-years for receipts received from 2027/2028 onwards.</w:t>
      </w:r>
    </w:p>
    <w:p w14:paraId="7805A38E" w14:textId="4AFDA605" w:rsidR="00257D67" w:rsidRDefault="00430048" w:rsidP="00E012E3">
      <w:pPr>
        <w:pStyle w:val="ListParagraph"/>
        <w:numPr>
          <w:ilvl w:val="0"/>
          <w:numId w:val="62"/>
        </w:numPr>
        <w:autoSpaceDE w:val="0"/>
        <w:autoSpaceDN w:val="0"/>
        <w:adjustRightInd w:val="0"/>
        <w:spacing w:after="0" w:line="240" w:lineRule="auto"/>
        <w:jc w:val="both"/>
        <w:rPr>
          <w:rFonts w:ascii="Arial" w:hAnsi="Arial" w:cs="Arial"/>
          <w:sz w:val="24"/>
          <w:szCs w:val="24"/>
        </w:rPr>
      </w:pPr>
      <w:r w:rsidRPr="00F261B6">
        <w:rPr>
          <w:rFonts w:ascii="Arial" w:hAnsi="Arial" w:cs="Arial"/>
          <w:sz w:val="24"/>
          <w:szCs w:val="24"/>
        </w:rPr>
        <w:t xml:space="preserve">Increasing the </w:t>
      </w:r>
      <w:r w:rsidR="00B4721E" w:rsidRPr="00F261B6">
        <w:rPr>
          <w:rFonts w:ascii="Arial" w:hAnsi="Arial" w:cs="Arial"/>
          <w:sz w:val="24"/>
          <w:szCs w:val="24"/>
        </w:rPr>
        <w:t>percentage cost of a new home that local authorities could fund using RTB receipts from 40% to 100%.</w:t>
      </w:r>
    </w:p>
    <w:p w14:paraId="07FFA623" w14:textId="77777777" w:rsidR="00E012E3" w:rsidRPr="00F261B6" w:rsidRDefault="00E012E3" w:rsidP="00E012E3">
      <w:pPr>
        <w:pStyle w:val="ListParagraph"/>
        <w:autoSpaceDE w:val="0"/>
        <w:autoSpaceDN w:val="0"/>
        <w:adjustRightInd w:val="0"/>
        <w:spacing w:after="0" w:line="240" w:lineRule="auto"/>
        <w:ind w:left="790"/>
        <w:jc w:val="both"/>
        <w:rPr>
          <w:rFonts w:ascii="Arial" w:hAnsi="Arial" w:cs="Arial"/>
          <w:sz w:val="24"/>
          <w:szCs w:val="24"/>
        </w:rPr>
      </w:pPr>
    </w:p>
    <w:p w14:paraId="691D0D39" w14:textId="3011189A" w:rsidR="000F48A9" w:rsidRPr="00806676" w:rsidRDefault="000F48A9" w:rsidP="00647C6F">
      <w:pPr>
        <w:jc w:val="both"/>
        <w:rPr>
          <w:rFonts w:ascii="Arial" w:hAnsi="Arial" w:cs="Arial"/>
          <w:lang w:eastAsia="en-GB"/>
        </w:rPr>
      </w:pPr>
      <w:r w:rsidRPr="00806676">
        <w:rPr>
          <w:rFonts w:ascii="Arial" w:hAnsi="Arial" w:cs="Arial"/>
        </w:rPr>
        <w:t xml:space="preserve">The proceeds of dwelling sales under the </w:t>
      </w:r>
      <w:r w:rsidR="00661C3F" w:rsidRPr="00806676">
        <w:rPr>
          <w:rFonts w:ascii="Arial" w:hAnsi="Arial" w:cs="Arial"/>
        </w:rPr>
        <w:t>RTB</w:t>
      </w:r>
      <w:r w:rsidRPr="00806676">
        <w:rPr>
          <w:rFonts w:ascii="Arial" w:hAnsi="Arial" w:cs="Arial"/>
        </w:rPr>
        <w:t xml:space="preserve"> scheme provide a regular source of capital receipts </w:t>
      </w:r>
      <w:r w:rsidR="00EB0D50" w:rsidRPr="00806676">
        <w:rPr>
          <w:rFonts w:ascii="Arial" w:hAnsi="Arial" w:cs="Arial"/>
        </w:rPr>
        <w:t xml:space="preserve">income to the Council, </w:t>
      </w:r>
      <w:r w:rsidRPr="00806676">
        <w:rPr>
          <w:rFonts w:ascii="Arial" w:hAnsi="Arial" w:cs="Arial"/>
        </w:rPr>
        <w:t xml:space="preserve">with the number of sales increasing in recent years. </w:t>
      </w:r>
      <w:r w:rsidR="00A34A5B">
        <w:rPr>
          <w:rFonts w:ascii="Arial" w:hAnsi="Arial" w:cs="Arial"/>
        </w:rPr>
        <w:t xml:space="preserve">As part of the </w:t>
      </w:r>
      <w:r w:rsidR="00EB0D50" w:rsidRPr="00806676">
        <w:rPr>
          <w:rFonts w:ascii="Arial" w:hAnsi="Arial" w:cs="Arial"/>
        </w:rPr>
        <w:t xml:space="preserve">reforms </w:t>
      </w:r>
      <w:r w:rsidR="00A34A5B">
        <w:rPr>
          <w:rFonts w:ascii="Arial" w:hAnsi="Arial" w:cs="Arial"/>
        </w:rPr>
        <w:t xml:space="preserve">and flexibilities to the RTB regime over the past two-years, </w:t>
      </w:r>
      <w:r w:rsidR="00EB0D50" w:rsidRPr="00806676">
        <w:rPr>
          <w:rFonts w:ascii="Arial" w:hAnsi="Arial" w:cs="Arial"/>
        </w:rPr>
        <w:t>the Government</w:t>
      </w:r>
      <w:r w:rsidR="00BA16D4" w:rsidRPr="00806676">
        <w:rPr>
          <w:rFonts w:ascii="Arial" w:hAnsi="Arial" w:cs="Arial"/>
        </w:rPr>
        <w:t xml:space="preserve"> drastically reduced the amount of </w:t>
      </w:r>
      <w:r w:rsidR="00EB0D50" w:rsidRPr="00806676">
        <w:rPr>
          <w:rFonts w:ascii="Arial" w:hAnsi="Arial" w:cs="Arial"/>
        </w:rPr>
        <w:t xml:space="preserve">cash </w:t>
      </w:r>
      <w:r w:rsidR="00BA16D4" w:rsidRPr="00806676">
        <w:rPr>
          <w:rFonts w:ascii="Arial" w:hAnsi="Arial" w:cs="Arial"/>
        </w:rPr>
        <w:t>discount a council tenant can receive should they wish to purchase their home under the scheme</w:t>
      </w:r>
      <w:r w:rsidR="001B4A36" w:rsidRPr="00806676">
        <w:rPr>
          <w:rFonts w:ascii="Arial" w:hAnsi="Arial" w:cs="Arial"/>
        </w:rPr>
        <w:t xml:space="preserve">.  </w:t>
      </w:r>
      <w:r w:rsidR="001B4A36" w:rsidRPr="00806676">
        <w:rPr>
          <w:rFonts w:ascii="Arial" w:hAnsi="Arial" w:cs="Arial"/>
          <w:lang w:eastAsia="en-GB"/>
        </w:rPr>
        <w:t xml:space="preserve">Despite a surge in RTB applications, before the immediate changes were implemented, the level of RTBs </w:t>
      </w:r>
      <w:r w:rsidR="00E012E3">
        <w:rPr>
          <w:rFonts w:ascii="Arial" w:hAnsi="Arial" w:cs="Arial"/>
          <w:lang w:eastAsia="en-GB"/>
        </w:rPr>
        <w:t>is now set to reduce</w:t>
      </w:r>
      <w:r w:rsidR="001B4A36" w:rsidRPr="00806676">
        <w:rPr>
          <w:rFonts w:ascii="Arial" w:hAnsi="Arial" w:cs="Arial"/>
          <w:lang w:eastAsia="en-GB"/>
        </w:rPr>
        <w:t xml:space="preserve"> over the period of the MTFS, resulting in a reduction in RTB receipts</w:t>
      </w:r>
      <w:r w:rsidR="00E012E3">
        <w:rPr>
          <w:rFonts w:ascii="Arial" w:hAnsi="Arial" w:cs="Arial"/>
          <w:lang w:eastAsia="en-GB"/>
        </w:rPr>
        <w:t>,</w:t>
      </w:r>
      <w:r w:rsidR="001B4A36" w:rsidRPr="00806676">
        <w:rPr>
          <w:rFonts w:ascii="Arial" w:hAnsi="Arial" w:cs="Arial"/>
          <w:lang w:eastAsia="en-GB"/>
        </w:rPr>
        <w:t xml:space="preserve"> although </w:t>
      </w:r>
      <w:r w:rsidR="00EC0C9B" w:rsidRPr="00806676">
        <w:rPr>
          <w:rFonts w:ascii="Arial" w:hAnsi="Arial" w:cs="Arial"/>
          <w:lang w:eastAsia="en-GB"/>
        </w:rPr>
        <w:t>c</w:t>
      </w:r>
      <w:r w:rsidR="001B4A36" w:rsidRPr="00806676">
        <w:rPr>
          <w:rFonts w:ascii="Arial" w:hAnsi="Arial" w:cs="Arial"/>
          <w:lang w:eastAsia="en-GB"/>
        </w:rPr>
        <w:t>ouncils can now retain 100% of th</w:t>
      </w:r>
      <w:r w:rsidR="00530A2F" w:rsidRPr="00806676">
        <w:rPr>
          <w:rFonts w:ascii="Arial" w:hAnsi="Arial" w:cs="Arial"/>
          <w:lang w:eastAsia="en-GB"/>
        </w:rPr>
        <w:t>ese</w:t>
      </w:r>
      <w:r w:rsidR="001B4A36" w:rsidRPr="00806676">
        <w:rPr>
          <w:rFonts w:ascii="Arial" w:hAnsi="Arial" w:cs="Arial"/>
          <w:lang w:eastAsia="en-GB"/>
        </w:rPr>
        <w:t xml:space="preserve"> receipts</w:t>
      </w:r>
      <w:r w:rsidR="00655E12" w:rsidRPr="00806676">
        <w:rPr>
          <w:rFonts w:ascii="Arial" w:hAnsi="Arial" w:cs="Arial"/>
          <w:lang w:eastAsia="en-GB"/>
        </w:rPr>
        <w:t xml:space="preserve"> (</w:t>
      </w:r>
      <w:r w:rsidR="007E5FED">
        <w:rPr>
          <w:rFonts w:ascii="Arial" w:hAnsi="Arial" w:cs="Arial"/>
          <w:lang w:eastAsia="en-GB"/>
        </w:rPr>
        <w:t>rather than pooling an element with the Government</w:t>
      </w:r>
      <w:r w:rsidR="00655E12" w:rsidRPr="00806676">
        <w:rPr>
          <w:rFonts w:ascii="Arial" w:hAnsi="Arial" w:cs="Arial"/>
          <w:lang w:eastAsia="en-GB"/>
        </w:rPr>
        <w:t>)</w:t>
      </w:r>
      <w:r w:rsidR="001B4A36" w:rsidRPr="00806676">
        <w:rPr>
          <w:rFonts w:ascii="Arial" w:hAnsi="Arial" w:cs="Arial"/>
          <w:lang w:eastAsia="en-GB"/>
        </w:rPr>
        <w:t>.</w:t>
      </w:r>
      <w:r w:rsidR="00647C6F" w:rsidRPr="00806676">
        <w:rPr>
          <w:rFonts w:ascii="Arial" w:hAnsi="Arial" w:cs="Arial"/>
          <w:lang w:eastAsia="en-GB"/>
        </w:rPr>
        <w:t xml:space="preserve">  P</w:t>
      </w:r>
      <w:r w:rsidR="006E1545" w:rsidRPr="00806676">
        <w:rPr>
          <w:rFonts w:ascii="Arial" w:hAnsi="Arial" w:cs="Arial"/>
        </w:rPr>
        <w:t>re</w:t>
      </w:r>
      <w:r w:rsidR="005233B7" w:rsidRPr="00806676">
        <w:rPr>
          <w:rFonts w:ascii="Arial" w:hAnsi="Arial" w:cs="Arial"/>
        </w:rPr>
        <w:t>vious</w:t>
      </w:r>
      <w:r w:rsidR="00647C6F" w:rsidRPr="00806676">
        <w:rPr>
          <w:rFonts w:ascii="Arial" w:hAnsi="Arial" w:cs="Arial"/>
        </w:rPr>
        <w:t>ly the</w:t>
      </w:r>
      <w:r w:rsidRPr="00806676">
        <w:rPr>
          <w:rFonts w:ascii="Arial" w:hAnsi="Arial" w:cs="Arial"/>
        </w:rPr>
        <w:t xml:space="preserve"> MTFS</w:t>
      </w:r>
      <w:r w:rsidR="00647C6F" w:rsidRPr="00806676">
        <w:rPr>
          <w:rFonts w:ascii="Arial" w:hAnsi="Arial" w:cs="Arial"/>
        </w:rPr>
        <w:t xml:space="preserve"> had</w:t>
      </w:r>
      <w:r w:rsidRPr="00806676">
        <w:rPr>
          <w:rFonts w:ascii="Arial" w:hAnsi="Arial" w:cs="Arial"/>
        </w:rPr>
        <w:t xml:space="preserve"> assume</w:t>
      </w:r>
      <w:r w:rsidR="005233B7" w:rsidRPr="00806676">
        <w:rPr>
          <w:rFonts w:ascii="Arial" w:hAnsi="Arial" w:cs="Arial"/>
        </w:rPr>
        <w:t>d</w:t>
      </w:r>
      <w:r w:rsidRPr="00806676">
        <w:rPr>
          <w:rFonts w:ascii="Arial" w:hAnsi="Arial" w:cs="Arial"/>
        </w:rPr>
        <w:t xml:space="preserve"> </w:t>
      </w:r>
      <w:r w:rsidR="006E1545" w:rsidRPr="00806676">
        <w:rPr>
          <w:rFonts w:ascii="Arial" w:hAnsi="Arial" w:cs="Arial"/>
        </w:rPr>
        <w:t xml:space="preserve">around </w:t>
      </w:r>
      <w:r w:rsidRPr="00806676">
        <w:rPr>
          <w:rFonts w:ascii="Arial" w:hAnsi="Arial" w:cs="Arial"/>
        </w:rPr>
        <w:t>50 sales per year</w:t>
      </w:r>
      <w:r w:rsidR="00647C6F" w:rsidRPr="00806676">
        <w:rPr>
          <w:rFonts w:ascii="Arial" w:hAnsi="Arial" w:cs="Arial"/>
        </w:rPr>
        <w:t>,</w:t>
      </w:r>
      <w:r w:rsidR="00E71E96" w:rsidRPr="00806676">
        <w:rPr>
          <w:rFonts w:ascii="Arial" w:hAnsi="Arial" w:cs="Arial"/>
        </w:rPr>
        <w:t xml:space="preserve"> but this has </w:t>
      </w:r>
      <w:r w:rsidR="00647C6F" w:rsidRPr="00806676">
        <w:rPr>
          <w:rFonts w:ascii="Arial" w:hAnsi="Arial" w:cs="Arial"/>
        </w:rPr>
        <w:t xml:space="preserve">now </w:t>
      </w:r>
      <w:r w:rsidR="00E71E96" w:rsidRPr="00806676">
        <w:rPr>
          <w:rFonts w:ascii="Arial" w:hAnsi="Arial" w:cs="Arial"/>
        </w:rPr>
        <w:t>been r</w:t>
      </w:r>
      <w:r w:rsidR="00351784" w:rsidRPr="00806676">
        <w:rPr>
          <w:rFonts w:ascii="Arial" w:hAnsi="Arial" w:cs="Arial"/>
        </w:rPr>
        <w:t xml:space="preserve">educed by half </w:t>
      </w:r>
      <w:r w:rsidR="002D4C21" w:rsidRPr="00806676">
        <w:rPr>
          <w:rFonts w:ascii="Arial" w:hAnsi="Arial" w:cs="Arial"/>
        </w:rPr>
        <w:t>in the 202</w:t>
      </w:r>
      <w:r w:rsidR="001F3192" w:rsidRPr="00806676">
        <w:rPr>
          <w:rFonts w:ascii="Arial" w:hAnsi="Arial" w:cs="Arial"/>
        </w:rPr>
        <w:t>6</w:t>
      </w:r>
      <w:r w:rsidR="002D4C21" w:rsidRPr="00806676">
        <w:rPr>
          <w:rFonts w:ascii="Arial" w:hAnsi="Arial" w:cs="Arial"/>
        </w:rPr>
        <w:t>-3</w:t>
      </w:r>
      <w:r w:rsidR="001F3192" w:rsidRPr="00806676">
        <w:rPr>
          <w:rFonts w:ascii="Arial" w:hAnsi="Arial" w:cs="Arial"/>
        </w:rPr>
        <w:t>1</w:t>
      </w:r>
      <w:r w:rsidR="002D4C21" w:rsidRPr="00806676">
        <w:rPr>
          <w:rFonts w:ascii="Arial" w:hAnsi="Arial" w:cs="Arial"/>
        </w:rPr>
        <w:t xml:space="preserve"> MTFS period</w:t>
      </w:r>
      <w:r w:rsidR="00647C6F" w:rsidRPr="00806676">
        <w:rPr>
          <w:rFonts w:ascii="Arial" w:hAnsi="Arial" w:cs="Arial"/>
        </w:rPr>
        <w:t>.</w:t>
      </w:r>
      <w:r w:rsidR="00530A2F" w:rsidRPr="00806676">
        <w:rPr>
          <w:rFonts w:ascii="Arial" w:hAnsi="Arial" w:cs="Arial"/>
        </w:rPr>
        <w:t xml:space="preserve">  Total </w:t>
      </w:r>
      <w:r w:rsidR="00530A2F" w:rsidRPr="00CD6AB9">
        <w:rPr>
          <w:rFonts w:ascii="Arial" w:hAnsi="Arial" w:cs="Arial"/>
        </w:rPr>
        <w:t>r</w:t>
      </w:r>
      <w:r w:rsidR="002E6B48" w:rsidRPr="00CD6AB9">
        <w:rPr>
          <w:rFonts w:ascii="Arial" w:hAnsi="Arial" w:cs="Arial"/>
        </w:rPr>
        <w:t>eceipts of £</w:t>
      </w:r>
      <w:r w:rsidR="00806676" w:rsidRPr="00CD6AB9">
        <w:rPr>
          <w:rFonts w:ascii="Arial" w:hAnsi="Arial" w:cs="Arial"/>
        </w:rPr>
        <w:t>15</w:t>
      </w:r>
      <w:r w:rsidR="007B5BD9" w:rsidRPr="00CD6AB9">
        <w:rPr>
          <w:rFonts w:ascii="Arial" w:hAnsi="Arial" w:cs="Arial"/>
        </w:rPr>
        <w:t>.</w:t>
      </w:r>
      <w:r w:rsidR="00806676" w:rsidRPr="00CD6AB9">
        <w:rPr>
          <w:rFonts w:ascii="Arial" w:hAnsi="Arial" w:cs="Arial"/>
        </w:rPr>
        <w:t>681</w:t>
      </w:r>
      <w:r w:rsidR="00C057EC" w:rsidRPr="00CD6AB9">
        <w:rPr>
          <w:rFonts w:ascii="Arial" w:hAnsi="Arial" w:cs="Arial"/>
        </w:rPr>
        <w:t>m</w:t>
      </w:r>
      <w:r w:rsidR="002E6B48" w:rsidRPr="00806676">
        <w:rPr>
          <w:rFonts w:ascii="Arial" w:hAnsi="Arial" w:cs="Arial"/>
        </w:rPr>
        <w:t xml:space="preserve"> are assumed over the MTFS period.</w:t>
      </w:r>
    </w:p>
    <w:p w14:paraId="1A91306E" w14:textId="77777777" w:rsidR="00736A6B" w:rsidRPr="00806676" w:rsidRDefault="00736A6B" w:rsidP="000F48A9">
      <w:pPr>
        <w:autoSpaceDE w:val="0"/>
        <w:autoSpaceDN w:val="0"/>
        <w:adjustRightInd w:val="0"/>
        <w:jc w:val="both"/>
        <w:rPr>
          <w:rFonts w:ascii="Arial" w:hAnsi="Arial" w:cs="Arial"/>
        </w:rPr>
      </w:pPr>
    </w:p>
    <w:p w14:paraId="4EFBB4F1" w14:textId="48C0D1D4" w:rsidR="000F48A9" w:rsidRPr="00806676" w:rsidRDefault="00736A6B" w:rsidP="00736A6B">
      <w:pPr>
        <w:autoSpaceDE w:val="0"/>
        <w:autoSpaceDN w:val="0"/>
        <w:adjustRightInd w:val="0"/>
        <w:jc w:val="both"/>
        <w:rPr>
          <w:rFonts w:ascii="Arial" w:hAnsi="Arial" w:cs="Arial"/>
        </w:rPr>
      </w:pPr>
      <w:r w:rsidRPr="00806676">
        <w:rPr>
          <w:rFonts w:ascii="Arial" w:hAnsi="Arial" w:cs="Arial"/>
        </w:rPr>
        <w:t>Non-RTB sales</w:t>
      </w:r>
      <w:r w:rsidR="00172C2D" w:rsidRPr="00806676">
        <w:rPr>
          <w:rFonts w:ascii="Arial" w:hAnsi="Arial" w:cs="Arial"/>
        </w:rPr>
        <w:t>,</w:t>
      </w:r>
      <w:r w:rsidRPr="00806676">
        <w:rPr>
          <w:rFonts w:ascii="Arial" w:hAnsi="Arial" w:cs="Arial"/>
        </w:rPr>
        <w:t xml:space="preserve"> </w:t>
      </w:r>
      <w:r w:rsidR="00375628" w:rsidRPr="00806676">
        <w:rPr>
          <w:rFonts w:ascii="Arial" w:hAnsi="Arial" w:cs="Arial"/>
        </w:rPr>
        <w:t>i.e</w:t>
      </w:r>
      <w:r w:rsidR="00371BBA">
        <w:rPr>
          <w:rFonts w:ascii="Arial" w:hAnsi="Arial" w:cs="Arial"/>
        </w:rPr>
        <w:t>.</w:t>
      </w:r>
      <w:r w:rsidR="009C00C8" w:rsidRPr="00806676">
        <w:rPr>
          <w:rFonts w:ascii="Arial" w:hAnsi="Arial" w:cs="Arial"/>
        </w:rPr>
        <w:t xml:space="preserve"> </w:t>
      </w:r>
      <w:r w:rsidR="00375628" w:rsidRPr="00806676">
        <w:rPr>
          <w:rFonts w:ascii="Arial" w:hAnsi="Arial" w:cs="Arial"/>
        </w:rPr>
        <w:t xml:space="preserve">sale of HRA land, </w:t>
      </w:r>
      <w:r w:rsidRPr="00806676">
        <w:rPr>
          <w:rFonts w:ascii="Arial" w:hAnsi="Arial" w:cs="Arial"/>
        </w:rPr>
        <w:t xml:space="preserve">are excluded from the </w:t>
      </w:r>
      <w:r w:rsidR="00A94C6A">
        <w:rPr>
          <w:rFonts w:ascii="Arial" w:hAnsi="Arial" w:cs="Arial"/>
        </w:rPr>
        <w:t xml:space="preserve">RTB </w:t>
      </w:r>
      <w:r w:rsidRPr="00806676">
        <w:rPr>
          <w:rFonts w:ascii="Arial" w:hAnsi="Arial" w:cs="Arial"/>
        </w:rPr>
        <w:t>arrangement</w:t>
      </w:r>
      <w:r w:rsidR="00A94C6A">
        <w:rPr>
          <w:rFonts w:ascii="Arial" w:hAnsi="Arial" w:cs="Arial"/>
        </w:rPr>
        <w:t>s</w:t>
      </w:r>
      <w:r w:rsidRPr="00806676">
        <w:rPr>
          <w:rFonts w:ascii="Arial" w:hAnsi="Arial" w:cs="Arial"/>
        </w:rPr>
        <w:t xml:space="preserve"> and are retained in full by the Council for use as the Council sees fit.</w:t>
      </w:r>
      <w:r w:rsidR="00990B1E" w:rsidRPr="00806676">
        <w:rPr>
          <w:rFonts w:ascii="Arial" w:hAnsi="Arial" w:cs="Arial"/>
        </w:rPr>
        <w:t xml:space="preserve"> There are no </w:t>
      </w:r>
      <w:r w:rsidR="00A9354E" w:rsidRPr="00806676">
        <w:rPr>
          <w:rFonts w:ascii="Arial" w:hAnsi="Arial" w:cs="Arial"/>
        </w:rPr>
        <w:t>targets in the MTFS for non-RTB sales.</w:t>
      </w:r>
    </w:p>
    <w:p w14:paraId="2959583F" w14:textId="77777777" w:rsidR="00736A6B" w:rsidRPr="000A13A9" w:rsidRDefault="00736A6B" w:rsidP="00736A6B">
      <w:pPr>
        <w:autoSpaceDE w:val="0"/>
        <w:autoSpaceDN w:val="0"/>
        <w:adjustRightInd w:val="0"/>
        <w:jc w:val="both"/>
        <w:rPr>
          <w:rFonts w:ascii="Arial" w:hAnsi="Arial" w:cs="Arial"/>
          <w:highlight w:val="green"/>
        </w:rPr>
      </w:pPr>
    </w:p>
    <w:p w14:paraId="639B226E" w14:textId="33A49745" w:rsidR="000F48A9" w:rsidRPr="00CE0B69" w:rsidRDefault="000F48A9" w:rsidP="000F48A9">
      <w:pPr>
        <w:autoSpaceDE w:val="0"/>
        <w:autoSpaceDN w:val="0"/>
        <w:adjustRightInd w:val="0"/>
        <w:jc w:val="both"/>
        <w:rPr>
          <w:rFonts w:ascii="Arial" w:hAnsi="Arial" w:cs="Arial"/>
          <w:b/>
        </w:rPr>
      </w:pPr>
      <w:r w:rsidRPr="00CE0B69">
        <w:rPr>
          <w:rFonts w:ascii="Arial" w:hAnsi="Arial" w:cs="Arial"/>
          <w:b/>
        </w:rPr>
        <w:t>Prudential Borrowing</w:t>
      </w:r>
    </w:p>
    <w:p w14:paraId="5184C2FB" w14:textId="7C2FDF0D" w:rsidR="000F48A9" w:rsidRPr="00CE0B69" w:rsidRDefault="000F48A9" w:rsidP="000F48A9">
      <w:pPr>
        <w:autoSpaceDE w:val="0"/>
        <w:autoSpaceDN w:val="0"/>
        <w:adjustRightInd w:val="0"/>
        <w:jc w:val="both"/>
        <w:rPr>
          <w:rFonts w:ascii="Arial" w:hAnsi="Arial" w:cs="Arial"/>
          <w:szCs w:val="20"/>
        </w:rPr>
      </w:pPr>
    </w:p>
    <w:p w14:paraId="6D38FC09" w14:textId="45BB454A" w:rsidR="000F48A9" w:rsidRPr="00CE0B69" w:rsidRDefault="000F48A9" w:rsidP="000F48A9">
      <w:pPr>
        <w:autoSpaceDE w:val="0"/>
        <w:autoSpaceDN w:val="0"/>
        <w:adjustRightInd w:val="0"/>
        <w:jc w:val="both"/>
        <w:rPr>
          <w:rFonts w:ascii="Arial" w:hAnsi="Arial" w:cs="Arial"/>
        </w:rPr>
      </w:pPr>
      <w:r w:rsidRPr="00CE0B69">
        <w:rPr>
          <w:rFonts w:ascii="Arial" w:hAnsi="Arial" w:cs="Arial"/>
          <w:szCs w:val="20"/>
        </w:rPr>
        <w:t xml:space="preserve">The </w:t>
      </w:r>
      <w:r w:rsidRPr="00CE0B69">
        <w:rPr>
          <w:rFonts w:ascii="Arial" w:hAnsi="Arial" w:cs="Arial"/>
        </w:rPr>
        <w:t xml:space="preserve">Prudential Code allows the Council to take borrowing if it can demonstrate that such borrowing is affordable, sustainable and prudent in its Prudential Indicators (detailed in the Treasury Management Strategy).  </w:t>
      </w:r>
      <w:r w:rsidR="00F65703" w:rsidRPr="00CE0B69">
        <w:rPr>
          <w:rFonts w:ascii="Arial" w:hAnsi="Arial" w:cs="Arial"/>
        </w:rPr>
        <w:t>Although PWLB lending terms prohibits borrowing from it to finance assets for yield it does still allow access to the PWLB for land release, housing delivery, or subsidising affordable housing</w:t>
      </w:r>
      <w:r w:rsidR="00F65703" w:rsidRPr="00CE0B69">
        <w:t xml:space="preserve">. </w:t>
      </w:r>
      <w:r w:rsidR="00F65703" w:rsidRPr="00CE0B69">
        <w:rPr>
          <w:rFonts w:ascii="Arial" w:hAnsi="Arial" w:cs="Arial"/>
        </w:rPr>
        <w:t xml:space="preserve"> T</w:t>
      </w:r>
      <w:r w:rsidR="00736A6B" w:rsidRPr="00CE0B69">
        <w:rPr>
          <w:rFonts w:ascii="Arial" w:hAnsi="Arial" w:cs="Arial"/>
        </w:rPr>
        <w:t xml:space="preserve">his </w:t>
      </w:r>
      <w:r w:rsidR="00F65703" w:rsidRPr="00CE0B69">
        <w:rPr>
          <w:rFonts w:ascii="Arial" w:hAnsi="Arial" w:cs="Arial"/>
        </w:rPr>
        <w:t>allow</w:t>
      </w:r>
      <w:r w:rsidR="009971FC">
        <w:rPr>
          <w:rFonts w:ascii="Arial" w:hAnsi="Arial" w:cs="Arial"/>
        </w:rPr>
        <w:t>s</w:t>
      </w:r>
      <w:r w:rsidR="00736A6B" w:rsidRPr="00CE0B69">
        <w:rPr>
          <w:rFonts w:ascii="Arial" w:hAnsi="Arial" w:cs="Arial"/>
        </w:rPr>
        <w:t xml:space="preserve"> significant opportunities for the Council to invest in new house building programmes and the potential redevelopment of </w:t>
      </w:r>
      <w:r w:rsidR="00FF7713" w:rsidRPr="00CE0B69">
        <w:rPr>
          <w:rFonts w:ascii="Arial" w:hAnsi="Arial" w:cs="Arial"/>
        </w:rPr>
        <w:t>areas of existing housing stock</w:t>
      </w:r>
      <w:r w:rsidR="00F65703" w:rsidRPr="00CE0B69">
        <w:rPr>
          <w:rFonts w:ascii="Arial" w:hAnsi="Arial" w:cs="Arial"/>
        </w:rPr>
        <w:t xml:space="preserve">. </w:t>
      </w:r>
      <w:r w:rsidR="00F820BC" w:rsidRPr="00CE0B69">
        <w:rPr>
          <w:rFonts w:ascii="Arial" w:hAnsi="Arial" w:cs="Arial"/>
        </w:rPr>
        <w:t>In addition</w:t>
      </w:r>
      <w:r w:rsidR="000C6532" w:rsidRPr="00CE0B69">
        <w:rPr>
          <w:rFonts w:ascii="Arial" w:hAnsi="Arial" w:cs="Arial"/>
        </w:rPr>
        <w:t xml:space="preserve">, </w:t>
      </w:r>
      <w:r w:rsidR="000C3F70" w:rsidRPr="00CE0B69">
        <w:rPr>
          <w:rFonts w:ascii="Arial" w:hAnsi="Arial" w:cs="Arial"/>
        </w:rPr>
        <w:t>the PWLB provides preferential borrowing rates for HRA expenditure</w:t>
      </w:r>
      <w:r w:rsidR="00CA36F4" w:rsidRPr="00CE0B69">
        <w:rPr>
          <w:rFonts w:ascii="Arial" w:hAnsi="Arial" w:cs="Arial"/>
        </w:rPr>
        <w:t xml:space="preserve">, intended primarily for new housing delivery. </w:t>
      </w:r>
    </w:p>
    <w:p w14:paraId="3E29D1D7" w14:textId="77777777" w:rsidR="000F48A9" w:rsidRPr="00CE0B69" w:rsidRDefault="000F48A9" w:rsidP="000F48A9">
      <w:pPr>
        <w:autoSpaceDE w:val="0"/>
        <w:autoSpaceDN w:val="0"/>
        <w:adjustRightInd w:val="0"/>
        <w:jc w:val="both"/>
        <w:rPr>
          <w:rFonts w:ascii="Arial" w:hAnsi="Arial" w:cs="Arial"/>
        </w:rPr>
      </w:pPr>
    </w:p>
    <w:p w14:paraId="65640696" w14:textId="73B6663B" w:rsidR="000F48A9" w:rsidRPr="00CE0B69" w:rsidRDefault="000F48A9" w:rsidP="000F48A9">
      <w:pPr>
        <w:autoSpaceDE w:val="0"/>
        <w:autoSpaceDN w:val="0"/>
        <w:adjustRightInd w:val="0"/>
        <w:jc w:val="both"/>
        <w:rPr>
          <w:rFonts w:ascii="Arial" w:hAnsi="Arial" w:cs="Arial"/>
          <w:color w:val="FF0000"/>
        </w:rPr>
      </w:pPr>
      <w:r w:rsidRPr="00CE0B69">
        <w:rPr>
          <w:rFonts w:ascii="Arial" w:hAnsi="Arial" w:cs="Arial"/>
        </w:rPr>
        <w:t xml:space="preserve">The </w:t>
      </w:r>
      <w:r w:rsidR="00A862CC">
        <w:rPr>
          <w:rFonts w:ascii="Arial" w:hAnsi="Arial" w:cs="Arial"/>
        </w:rPr>
        <w:t xml:space="preserve">HRA </w:t>
      </w:r>
      <w:r w:rsidRPr="00CE0B69">
        <w:rPr>
          <w:rFonts w:ascii="Arial" w:hAnsi="Arial" w:cs="Arial"/>
        </w:rPr>
        <w:t xml:space="preserve">Capital Financing Requirement (CFR) is forecast to </w:t>
      </w:r>
      <w:r w:rsidR="005778F3" w:rsidRPr="00CE0B69">
        <w:rPr>
          <w:rFonts w:ascii="Arial" w:hAnsi="Arial" w:cs="Arial"/>
        </w:rPr>
        <w:t xml:space="preserve">rise </w:t>
      </w:r>
      <w:r w:rsidR="005778F3" w:rsidRPr="00750380">
        <w:rPr>
          <w:rFonts w:ascii="Arial" w:hAnsi="Arial" w:cs="Arial"/>
        </w:rPr>
        <w:t xml:space="preserve">to </w:t>
      </w:r>
      <w:r w:rsidRPr="00750380">
        <w:rPr>
          <w:rFonts w:ascii="Arial" w:hAnsi="Arial" w:cs="Arial"/>
        </w:rPr>
        <w:t>£</w:t>
      </w:r>
      <w:r w:rsidR="004E565A" w:rsidRPr="00750380">
        <w:rPr>
          <w:rFonts w:ascii="Arial" w:hAnsi="Arial" w:cs="Arial"/>
        </w:rPr>
        <w:t>8</w:t>
      </w:r>
      <w:r w:rsidR="00CB0002" w:rsidRPr="00750380">
        <w:rPr>
          <w:rFonts w:ascii="Arial" w:hAnsi="Arial" w:cs="Arial"/>
        </w:rPr>
        <w:t>7.5</w:t>
      </w:r>
      <w:r w:rsidR="00CD5804" w:rsidRPr="00750380">
        <w:rPr>
          <w:rFonts w:ascii="Arial" w:hAnsi="Arial" w:cs="Arial"/>
        </w:rPr>
        <w:t>99</w:t>
      </w:r>
      <w:r w:rsidR="004E565A" w:rsidRPr="00750380">
        <w:rPr>
          <w:rFonts w:ascii="Arial" w:hAnsi="Arial" w:cs="Arial"/>
        </w:rPr>
        <w:t>m</w:t>
      </w:r>
      <w:r w:rsidR="005778F3" w:rsidRPr="00CE0B69">
        <w:rPr>
          <w:rFonts w:ascii="Arial" w:hAnsi="Arial" w:cs="Arial"/>
        </w:rPr>
        <w:t xml:space="preserve"> by the final year of the</w:t>
      </w:r>
      <w:r w:rsidRPr="00CE0B69">
        <w:rPr>
          <w:rFonts w:ascii="Arial" w:hAnsi="Arial" w:cs="Arial"/>
        </w:rPr>
        <w:t xml:space="preserve"> MTFS with additional borrowing included in the MTFS and no allowance made for the repayment of existing debt. </w:t>
      </w:r>
      <w:r w:rsidR="002E6B48" w:rsidRPr="00CE0B69">
        <w:rPr>
          <w:rFonts w:ascii="Arial" w:hAnsi="Arial" w:cs="Arial"/>
        </w:rPr>
        <w:t xml:space="preserve"> Actual borrowing</w:t>
      </w:r>
      <w:r w:rsidR="003656E1" w:rsidRPr="00CE0B69">
        <w:rPr>
          <w:rFonts w:ascii="Arial" w:hAnsi="Arial" w:cs="Arial"/>
        </w:rPr>
        <w:t xml:space="preserve"> </w:t>
      </w:r>
      <w:r w:rsidR="000D536B" w:rsidRPr="00CE0B69">
        <w:rPr>
          <w:rFonts w:ascii="Arial" w:hAnsi="Arial" w:cs="Arial"/>
        </w:rPr>
        <w:t xml:space="preserve">forecast to be </w:t>
      </w:r>
      <w:r w:rsidR="003656E1" w:rsidRPr="00CE0B69">
        <w:rPr>
          <w:rFonts w:ascii="Arial" w:hAnsi="Arial" w:cs="Arial"/>
        </w:rPr>
        <w:t xml:space="preserve">utilised </w:t>
      </w:r>
      <w:r w:rsidR="004F7D02" w:rsidRPr="00CE0B69">
        <w:rPr>
          <w:rFonts w:ascii="Arial" w:hAnsi="Arial" w:cs="Arial"/>
        </w:rPr>
        <w:t xml:space="preserve">during the MTFS </w:t>
      </w:r>
      <w:r w:rsidR="000D536B" w:rsidRPr="00CE0B69">
        <w:rPr>
          <w:rFonts w:ascii="Arial" w:hAnsi="Arial" w:cs="Arial"/>
        </w:rPr>
        <w:t>is</w:t>
      </w:r>
      <w:r w:rsidR="003656E1" w:rsidRPr="00CE0B69">
        <w:rPr>
          <w:rFonts w:ascii="Arial" w:hAnsi="Arial" w:cs="Arial"/>
        </w:rPr>
        <w:t xml:space="preserve"> </w:t>
      </w:r>
      <w:r w:rsidR="003656E1" w:rsidRPr="0011188A">
        <w:rPr>
          <w:rFonts w:ascii="Arial" w:hAnsi="Arial" w:cs="Arial"/>
        </w:rPr>
        <w:t>£</w:t>
      </w:r>
      <w:r w:rsidR="00E71898" w:rsidRPr="0011188A">
        <w:rPr>
          <w:rFonts w:ascii="Arial" w:hAnsi="Arial" w:cs="Arial"/>
        </w:rPr>
        <w:t>5.335</w:t>
      </w:r>
      <w:r w:rsidR="00AC5331" w:rsidRPr="0011188A">
        <w:rPr>
          <w:rFonts w:ascii="Arial" w:hAnsi="Arial" w:cs="Arial"/>
        </w:rPr>
        <w:t>m</w:t>
      </w:r>
      <w:r w:rsidR="00CE0B69" w:rsidRPr="00CE0B69">
        <w:rPr>
          <w:rFonts w:ascii="Arial" w:hAnsi="Arial" w:cs="Arial"/>
        </w:rPr>
        <w:t xml:space="preserve"> (including leases)</w:t>
      </w:r>
      <w:r w:rsidR="000D536B" w:rsidRPr="00CE0B69">
        <w:rPr>
          <w:rFonts w:ascii="Arial" w:hAnsi="Arial" w:cs="Arial"/>
        </w:rPr>
        <w:t>,</w:t>
      </w:r>
      <w:r w:rsidR="003656E1" w:rsidRPr="00CE0B69">
        <w:rPr>
          <w:rFonts w:ascii="Arial" w:hAnsi="Arial" w:cs="Arial"/>
        </w:rPr>
        <w:t xml:space="preserve"> to</w:t>
      </w:r>
      <w:r w:rsidR="002E6B48" w:rsidRPr="00CE0B69">
        <w:rPr>
          <w:rFonts w:ascii="Arial" w:hAnsi="Arial" w:cs="Arial"/>
        </w:rPr>
        <w:t xml:space="preserve"> </w:t>
      </w:r>
      <w:r w:rsidR="003656E1" w:rsidRPr="00CE0B69">
        <w:rPr>
          <w:rFonts w:ascii="Arial" w:hAnsi="Arial" w:cs="Arial"/>
        </w:rPr>
        <w:t xml:space="preserve">fund the new build </w:t>
      </w:r>
      <w:r w:rsidR="004F7D02" w:rsidRPr="00CE0B69">
        <w:rPr>
          <w:rFonts w:ascii="Arial" w:hAnsi="Arial" w:cs="Arial"/>
        </w:rPr>
        <w:t>&amp;</w:t>
      </w:r>
      <w:r w:rsidR="005409FD" w:rsidRPr="00CE0B69">
        <w:rPr>
          <w:rFonts w:ascii="Arial" w:hAnsi="Arial" w:cs="Arial"/>
        </w:rPr>
        <w:t xml:space="preserve"> acquisition </w:t>
      </w:r>
      <w:r w:rsidR="003656E1" w:rsidRPr="00CE0B69">
        <w:rPr>
          <w:rFonts w:ascii="Arial" w:hAnsi="Arial" w:cs="Arial"/>
        </w:rPr>
        <w:t xml:space="preserve">programme alongside </w:t>
      </w:r>
      <w:r w:rsidR="002E5F83">
        <w:rPr>
          <w:rFonts w:ascii="Arial" w:hAnsi="Arial" w:cs="Arial"/>
        </w:rPr>
        <w:t>RTB</w:t>
      </w:r>
      <w:r w:rsidR="003656E1" w:rsidRPr="00CE0B69">
        <w:rPr>
          <w:rFonts w:ascii="Arial" w:hAnsi="Arial" w:cs="Arial"/>
        </w:rPr>
        <w:t xml:space="preserve"> receipts.</w:t>
      </w:r>
    </w:p>
    <w:p w14:paraId="495D8E65" w14:textId="77777777" w:rsidR="000F48A9" w:rsidRPr="000A13A9" w:rsidRDefault="000F48A9" w:rsidP="000F48A9">
      <w:pPr>
        <w:autoSpaceDE w:val="0"/>
        <w:autoSpaceDN w:val="0"/>
        <w:adjustRightInd w:val="0"/>
        <w:jc w:val="both"/>
        <w:rPr>
          <w:rFonts w:ascii="Arial" w:hAnsi="Arial" w:cs="Arial"/>
          <w:szCs w:val="20"/>
          <w:highlight w:val="green"/>
        </w:rPr>
      </w:pPr>
    </w:p>
    <w:p w14:paraId="252C93BB" w14:textId="56FD93A1" w:rsidR="000F48A9" w:rsidRPr="00A453CC" w:rsidRDefault="000F48A9" w:rsidP="000F48A9">
      <w:pPr>
        <w:autoSpaceDE w:val="0"/>
        <w:autoSpaceDN w:val="0"/>
        <w:adjustRightInd w:val="0"/>
        <w:jc w:val="both"/>
        <w:rPr>
          <w:rFonts w:ascii="Arial" w:hAnsi="Arial" w:cs="Arial"/>
          <w:b/>
        </w:rPr>
      </w:pPr>
      <w:r w:rsidRPr="00A453CC">
        <w:rPr>
          <w:rFonts w:ascii="Arial" w:hAnsi="Arial" w:cs="Arial"/>
          <w:b/>
        </w:rPr>
        <w:t>Projected Capital Resources</w:t>
      </w:r>
    </w:p>
    <w:p w14:paraId="3A2C3B02" w14:textId="77777777" w:rsidR="000F48A9" w:rsidRPr="00A453CC" w:rsidRDefault="000F48A9" w:rsidP="000F48A9">
      <w:pPr>
        <w:autoSpaceDE w:val="0"/>
        <w:autoSpaceDN w:val="0"/>
        <w:adjustRightInd w:val="0"/>
        <w:jc w:val="both"/>
        <w:rPr>
          <w:rFonts w:ascii="Arial" w:hAnsi="Arial" w:cs="Arial"/>
        </w:rPr>
      </w:pPr>
    </w:p>
    <w:p w14:paraId="4DE09FE8" w14:textId="046A2A17" w:rsidR="000F48A9" w:rsidRPr="00A453CC" w:rsidRDefault="000F48A9" w:rsidP="000F48A9">
      <w:pPr>
        <w:autoSpaceDE w:val="0"/>
        <w:autoSpaceDN w:val="0"/>
        <w:adjustRightInd w:val="0"/>
        <w:jc w:val="both"/>
        <w:rPr>
          <w:rFonts w:ascii="Arial" w:hAnsi="Arial" w:cs="Arial"/>
        </w:rPr>
      </w:pPr>
      <w:r w:rsidRPr="00A453CC">
        <w:rPr>
          <w:rFonts w:ascii="Arial" w:hAnsi="Arial" w:cs="Arial"/>
        </w:rPr>
        <w:t>Resources to finance the proposed £</w:t>
      </w:r>
      <w:r w:rsidR="009D330B" w:rsidRPr="0011188A">
        <w:rPr>
          <w:rFonts w:ascii="Arial" w:hAnsi="Arial" w:cs="Arial"/>
        </w:rPr>
        <w:t>8</w:t>
      </w:r>
      <w:r w:rsidR="002E241F" w:rsidRPr="0011188A">
        <w:rPr>
          <w:rFonts w:ascii="Arial" w:hAnsi="Arial" w:cs="Arial"/>
        </w:rPr>
        <w:t>6.887</w:t>
      </w:r>
      <w:r w:rsidR="001509C9" w:rsidRPr="0011188A">
        <w:rPr>
          <w:rFonts w:ascii="Arial" w:hAnsi="Arial" w:cs="Arial"/>
        </w:rPr>
        <w:t>m</w:t>
      </w:r>
      <w:r w:rsidRPr="00A453CC">
        <w:rPr>
          <w:rFonts w:ascii="Arial" w:hAnsi="Arial" w:cs="Arial"/>
        </w:rPr>
        <w:t xml:space="preserve"> Housing Investment Programme 20</w:t>
      </w:r>
      <w:r w:rsidR="00C62CCB" w:rsidRPr="00A453CC">
        <w:rPr>
          <w:rFonts w:ascii="Arial" w:hAnsi="Arial" w:cs="Arial"/>
        </w:rPr>
        <w:t>2</w:t>
      </w:r>
      <w:r w:rsidR="00206212" w:rsidRPr="00A453CC">
        <w:rPr>
          <w:rFonts w:ascii="Arial" w:hAnsi="Arial" w:cs="Arial"/>
        </w:rPr>
        <w:t>6/27</w:t>
      </w:r>
      <w:r w:rsidRPr="00A453CC">
        <w:rPr>
          <w:rFonts w:ascii="Arial" w:hAnsi="Arial" w:cs="Arial"/>
        </w:rPr>
        <w:t xml:space="preserve"> – 20</w:t>
      </w:r>
      <w:r w:rsidR="00206212" w:rsidRPr="00A453CC">
        <w:rPr>
          <w:rFonts w:ascii="Arial" w:hAnsi="Arial" w:cs="Arial"/>
        </w:rPr>
        <w:t>30/31</w:t>
      </w:r>
      <w:r w:rsidRPr="00A453CC">
        <w:rPr>
          <w:rFonts w:ascii="Arial" w:hAnsi="Arial" w:cs="Arial"/>
        </w:rPr>
        <w:t>, are currently estimated to be as follows:</w:t>
      </w:r>
    </w:p>
    <w:p w14:paraId="3D635B80" w14:textId="77777777" w:rsidR="000F48A9" w:rsidRPr="00A453CC" w:rsidRDefault="000F48A9" w:rsidP="000F48A9">
      <w:pPr>
        <w:autoSpaceDE w:val="0"/>
        <w:autoSpaceDN w:val="0"/>
        <w:adjustRightInd w:val="0"/>
        <w:rPr>
          <w:rFonts w:ascii="Arial" w:hAnsi="Arial" w:cs="Arial"/>
        </w:rPr>
      </w:pPr>
    </w:p>
    <w:tbl>
      <w:tblPr>
        <w:tblpPr w:leftFromText="180" w:rightFromText="180" w:vertAnchor="text" w:horzAnchor="margin" w:tblpXSpec="center" w:tblpY="99"/>
        <w:tblW w:w="0" w:type="auto"/>
        <w:tblLook w:val="0000" w:firstRow="0" w:lastRow="0" w:firstColumn="0" w:lastColumn="0" w:noHBand="0" w:noVBand="0"/>
      </w:tblPr>
      <w:tblGrid>
        <w:gridCol w:w="4428"/>
        <w:gridCol w:w="1620"/>
      </w:tblGrid>
      <w:tr w:rsidR="009639F7" w:rsidRPr="000A13A9" w14:paraId="64CAF954" w14:textId="77777777" w:rsidTr="5DF3DD58">
        <w:trPr>
          <w:trHeight w:val="600"/>
        </w:trPr>
        <w:tc>
          <w:tcPr>
            <w:tcW w:w="4428" w:type="dxa"/>
          </w:tcPr>
          <w:p w14:paraId="27BA1DA3" w14:textId="77777777" w:rsidR="000F48A9" w:rsidRPr="00A453CC" w:rsidRDefault="000F48A9" w:rsidP="00387192">
            <w:pPr>
              <w:autoSpaceDE w:val="0"/>
              <w:autoSpaceDN w:val="0"/>
              <w:adjustRightInd w:val="0"/>
              <w:rPr>
                <w:rFonts w:ascii="Arial" w:hAnsi="Arial" w:cs="Arial"/>
                <w:b/>
              </w:rPr>
            </w:pPr>
          </w:p>
        </w:tc>
        <w:tc>
          <w:tcPr>
            <w:tcW w:w="1620" w:type="dxa"/>
          </w:tcPr>
          <w:p w14:paraId="362FDA00" w14:textId="72BA87F9" w:rsidR="000F48A9" w:rsidRPr="00A453CC" w:rsidRDefault="000F48A9" w:rsidP="00643FCF">
            <w:pPr>
              <w:autoSpaceDE w:val="0"/>
              <w:autoSpaceDN w:val="0"/>
              <w:adjustRightInd w:val="0"/>
              <w:jc w:val="center"/>
              <w:rPr>
                <w:rFonts w:ascii="Arial" w:hAnsi="Arial" w:cs="Arial"/>
              </w:rPr>
            </w:pPr>
            <w:r w:rsidRPr="00A453CC">
              <w:rPr>
                <w:rFonts w:ascii="Arial" w:hAnsi="Arial" w:cs="Arial"/>
                <w:b/>
              </w:rPr>
              <w:t>£</w:t>
            </w:r>
            <w:r w:rsidR="00AE483D">
              <w:rPr>
                <w:rFonts w:ascii="Arial" w:hAnsi="Arial" w:cs="Arial"/>
                <w:b/>
              </w:rPr>
              <w:t>m</w:t>
            </w:r>
          </w:p>
        </w:tc>
      </w:tr>
      <w:tr w:rsidR="009639F7" w:rsidRPr="000A13A9" w14:paraId="16F80CB8" w14:textId="77777777" w:rsidTr="004D036D">
        <w:tc>
          <w:tcPr>
            <w:tcW w:w="4428" w:type="dxa"/>
          </w:tcPr>
          <w:p w14:paraId="59CC08B8" w14:textId="4FF2EB67" w:rsidR="000F48A9" w:rsidRPr="00A453CC" w:rsidRDefault="000F48A9" w:rsidP="00387192">
            <w:pPr>
              <w:autoSpaceDE w:val="0"/>
              <w:autoSpaceDN w:val="0"/>
              <w:adjustRightInd w:val="0"/>
              <w:rPr>
                <w:rFonts w:ascii="Arial" w:hAnsi="Arial" w:cs="Arial"/>
              </w:rPr>
            </w:pPr>
            <w:r w:rsidRPr="00A453CC">
              <w:rPr>
                <w:rFonts w:ascii="Arial" w:hAnsi="Arial" w:cs="Arial"/>
              </w:rPr>
              <w:t>Major Repairs Reserve (depreciation</w:t>
            </w:r>
            <w:r w:rsidR="008B2814" w:rsidRPr="00A453CC">
              <w:rPr>
                <w:rFonts w:ascii="Arial" w:hAnsi="Arial" w:cs="Arial"/>
              </w:rPr>
              <w:t xml:space="preserve"> &amp; revenue contribution</w:t>
            </w:r>
            <w:r w:rsidRPr="00A453CC">
              <w:rPr>
                <w:rFonts w:ascii="Arial" w:hAnsi="Arial" w:cs="Arial"/>
              </w:rPr>
              <w:t>)</w:t>
            </w:r>
          </w:p>
        </w:tc>
        <w:tc>
          <w:tcPr>
            <w:tcW w:w="1620" w:type="dxa"/>
            <w:tcMar>
              <w:right w:w="482" w:type="dxa"/>
            </w:tcMar>
          </w:tcPr>
          <w:p w14:paraId="037768B1" w14:textId="3F8353C1" w:rsidR="000F48A9" w:rsidRPr="004D17AA" w:rsidRDefault="007D1FAC" w:rsidP="00823569">
            <w:pPr>
              <w:autoSpaceDE w:val="0"/>
              <w:autoSpaceDN w:val="0"/>
              <w:adjustRightInd w:val="0"/>
              <w:jc w:val="right"/>
              <w:rPr>
                <w:rFonts w:ascii="Arial" w:hAnsi="Arial" w:cs="Arial"/>
              </w:rPr>
            </w:pPr>
            <w:r w:rsidRPr="004D17AA">
              <w:rPr>
                <w:rFonts w:ascii="Arial" w:hAnsi="Arial" w:cs="Arial"/>
              </w:rPr>
              <w:t>6</w:t>
            </w:r>
            <w:r w:rsidR="002E241F" w:rsidRPr="004D17AA">
              <w:rPr>
                <w:rFonts w:ascii="Arial" w:hAnsi="Arial" w:cs="Arial"/>
              </w:rPr>
              <w:t>9.451</w:t>
            </w:r>
          </w:p>
        </w:tc>
      </w:tr>
      <w:tr w:rsidR="009639F7" w:rsidRPr="000A13A9" w14:paraId="516CF841" w14:textId="77777777" w:rsidTr="004D036D">
        <w:tc>
          <w:tcPr>
            <w:tcW w:w="4428" w:type="dxa"/>
          </w:tcPr>
          <w:p w14:paraId="56455A81" w14:textId="24AC6C2F" w:rsidR="00365DE7" w:rsidRPr="00A453CC" w:rsidRDefault="000F48A9" w:rsidP="007F6E74">
            <w:pPr>
              <w:autoSpaceDE w:val="0"/>
              <w:autoSpaceDN w:val="0"/>
              <w:adjustRightInd w:val="0"/>
              <w:rPr>
                <w:rFonts w:ascii="Arial" w:hAnsi="Arial" w:cs="Arial"/>
              </w:rPr>
            </w:pPr>
            <w:r w:rsidRPr="00A453CC">
              <w:rPr>
                <w:rFonts w:ascii="Arial" w:hAnsi="Arial" w:cs="Arial"/>
              </w:rPr>
              <w:t>Capital Receipts (inc RTBs)</w:t>
            </w:r>
          </w:p>
        </w:tc>
        <w:tc>
          <w:tcPr>
            <w:tcW w:w="1620" w:type="dxa"/>
            <w:tcMar>
              <w:right w:w="482" w:type="dxa"/>
            </w:tcMar>
          </w:tcPr>
          <w:p w14:paraId="3DADD90F" w14:textId="1EC70F5A" w:rsidR="00365DE7" w:rsidRPr="004D17AA" w:rsidRDefault="081579A1" w:rsidP="007F6E74">
            <w:pPr>
              <w:autoSpaceDE w:val="0"/>
              <w:autoSpaceDN w:val="0"/>
              <w:adjustRightInd w:val="0"/>
              <w:jc w:val="right"/>
              <w:rPr>
                <w:rFonts w:ascii="Arial" w:hAnsi="Arial" w:cs="Arial"/>
              </w:rPr>
            </w:pPr>
            <w:r w:rsidRPr="004D17AA">
              <w:rPr>
                <w:rFonts w:ascii="Arial" w:hAnsi="Arial" w:cs="Arial"/>
              </w:rPr>
              <w:t>6</w:t>
            </w:r>
            <w:r w:rsidR="00AE483D" w:rsidRPr="004D17AA">
              <w:rPr>
                <w:rFonts w:ascii="Arial" w:hAnsi="Arial" w:cs="Arial"/>
              </w:rPr>
              <w:t>.</w:t>
            </w:r>
            <w:r w:rsidR="377A2B2C" w:rsidRPr="004D17AA">
              <w:rPr>
                <w:rFonts w:ascii="Arial" w:hAnsi="Arial" w:cs="Arial"/>
              </w:rPr>
              <w:t>890</w:t>
            </w:r>
          </w:p>
        </w:tc>
      </w:tr>
      <w:tr w:rsidR="009639F7" w:rsidRPr="000A13A9" w14:paraId="687E7767" w14:textId="77777777" w:rsidTr="004D036D">
        <w:tc>
          <w:tcPr>
            <w:tcW w:w="4428" w:type="dxa"/>
          </w:tcPr>
          <w:p w14:paraId="0D9BEE8F" w14:textId="435225BB" w:rsidR="007F6E74" w:rsidRPr="00A453CC" w:rsidRDefault="007F6E74" w:rsidP="00387192">
            <w:pPr>
              <w:autoSpaceDE w:val="0"/>
              <w:autoSpaceDN w:val="0"/>
              <w:adjustRightInd w:val="0"/>
              <w:rPr>
                <w:rFonts w:ascii="Arial" w:hAnsi="Arial" w:cs="Arial"/>
              </w:rPr>
            </w:pPr>
            <w:r w:rsidRPr="00A453CC">
              <w:rPr>
                <w:rFonts w:ascii="Arial" w:hAnsi="Arial" w:cs="Arial"/>
              </w:rPr>
              <w:t>Grants</w:t>
            </w:r>
          </w:p>
        </w:tc>
        <w:tc>
          <w:tcPr>
            <w:tcW w:w="1620" w:type="dxa"/>
            <w:tcMar>
              <w:right w:w="482" w:type="dxa"/>
            </w:tcMar>
          </w:tcPr>
          <w:p w14:paraId="321B9DB8" w14:textId="6A459E65" w:rsidR="007F6E74" w:rsidRPr="004D17AA" w:rsidRDefault="007F6E74" w:rsidP="00C62CCB">
            <w:pPr>
              <w:autoSpaceDE w:val="0"/>
              <w:autoSpaceDN w:val="0"/>
              <w:adjustRightInd w:val="0"/>
              <w:jc w:val="right"/>
              <w:rPr>
                <w:rFonts w:ascii="Arial" w:hAnsi="Arial" w:cs="Arial"/>
              </w:rPr>
            </w:pPr>
            <w:r w:rsidRPr="004D17AA">
              <w:rPr>
                <w:rFonts w:ascii="Arial" w:hAnsi="Arial" w:cs="Arial"/>
              </w:rPr>
              <w:t>5.21</w:t>
            </w:r>
            <w:r w:rsidR="00EC6D35" w:rsidRPr="004D17AA">
              <w:rPr>
                <w:rFonts w:ascii="Arial" w:hAnsi="Arial" w:cs="Arial"/>
              </w:rPr>
              <w:t>0</w:t>
            </w:r>
          </w:p>
        </w:tc>
      </w:tr>
      <w:tr w:rsidR="009639F7" w:rsidRPr="000A13A9" w14:paraId="1D1B5E04" w14:textId="77777777" w:rsidTr="004D036D">
        <w:tc>
          <w:tcPr>
            <w:tcW w:w="4428" w:type="dxa"/>
          </w:tcPr>
          <w:p w14:paraId="5C7CAD5A" w14:textId="77777777" w:rsidR="005778F3" w:rsidRPr="00A453CC" w:rsidRDefault="005778F3" w:rsidP="00387192">
            <w:pPr>
              <w:autoSpaceDE w:val="0"/>
              <w:autoSpaceDN w:val="0"/>
              <w:adjustRightInd w:val="0"/>
              <w:rPr>
                <w:rFonts w:ascii="Arial" w:hAnsi="Arial" w:cs="Arial"/>
              </w:rPr>
            </w:pPr>
            <w:r w:rsidRPr="00A453CC">
              <w:rPr>
                <w:rFonts w:ascii="Arial" w:hAnsi="Arial" w:cs="Arial"/>
              </w:rPr>
              <w:t>Borrowing</w:t>
            </w:r>
          </w:p>
        </w:tc>
        <w:tc>
          <w:tcPr>
            <w:tcW w:w="1620" w:type="dxa"/>
            <w:tcMar>
              <w:right w:w="482" w:type="dxa"/>
            </w:tcMar>
          </w:tcPr>
          <w:p w14:paraId="36134A6F" w14:textId="7DA1E198" w:rsidR="005778F3" w:rsidRPr="004D17AA" w:rsidRDefault="002A4062" w:rsidP="00C62CCB">
            <w:pPr>
              <w:autoSpaceDE w:val="0"/>
              <w:autoSpaceDN w:val="0"/>
              <w:adjustRightInd w:val="0"/>
              <w:jc w:val="right"/>
              <w:rPr>
                <w:rFonts w:ascii="Arial" w:hAnsi="Arial" w:cs="Arial"/>
              </w:rPr>
            </w:pPr>
            <w:r w:rsidRPr="004D17AA">
              <w:rPr>
                <w:rFonts w:ascii="Arial" w:hAnsi="Arial" w:cs="Arial"/>
              </w:rPr>
              <w:t>5</w:t>
            </w:r>
            <w:r w:rsidR="00AE483D" w:rsidRPr="004D17AA">
              <w:rPr>
                <w:rFonts w:ascii="Arial" w:hAnsi="Arial" w:cs="Arial"/>
              </w:rPr>
              <w:t>.</w:t>
            </w:r>
            <w:r w:rsidRPr="004D17AA">
              <w:rPr>
                <w:rFonts w:ascii="Arial" w:hAnsi="Arial" w:cs="Arial"/>
              </w:rPr>
              <w:t>335</w:t>
            </w:r>
          </w:p>
        </w:tc>
      </w:tr>
      <w:tr w:rsidR="009639F7" w:rsidRPr="000A13A9" w14:paraId="574C4204" w14:textId="77777777" w:rsidTr="004D036D">
        <w:tc>
          <w:tcPr>
            <w:tcW w:w="4428" w:type="dxa"/>
            <w:vAlign w:val="center"/>
          </w:tcPr>
          <w:p w14:paraId="3DF28330" w14:textId="77777777" w:rsidR="000F48A9" w:rsidRPr="00A453CC" w:rsidRDefault="000F48A9" w:rsidP="00387192">
            <w:pPr>
              <w:autoSpaceDE w:val="0"/>
              <w:autoSpaceDN w:val="0"/>
              <w:adjustRightInd w:val="0"/>
              <w:rPr>
                <w:rFonts w:ascii="Arial" w:hAnsi="Arial" w:cs="Arial"/>
                <w:b/>
              </w:rPr>
            </w:pPr>
            <w:r w:rsidRPr="00A453CC">
              <w:rPr>
                <w:rFonts w:ascii="Arial" w:hAnsi="Arial" w:cs="Arial"/>
                <w:b/>
              </w:rPr>
              <w:t>TOTAL</w:t>
            </w:r>
          </w:p>
        </w:tc>
        <w:tc>
          <w:tcPr>
            <w:tcW w:w="1620" w:type="dxa"/>
            <w:tcBorders>
              <w:top w:val="single" w:sz="4" w:space="0" w:color="auto"/>
              <w:bottom w:val="single" w:sz="4" w:space="0" w:color="auto"/>
            </w:tcBorders>
            <w:tcMar>
              <w:right w:w="482" w:type="dxa"/>
            </w:tcMar>
            <w:vAlign w:val="center"/>
          </w:tcPr>
          <w:p w14:paraId="1B9FAA12" w14:textId="3C2B11CC" w:rsidR="000F48A9" w:rsidRPr="004D17AA" w:rsidRDefault="002A4062" w:rsidP="00823569">
            <w:pPr>
              <w:autoSpaceDE w:val="0"/>
              <w:autoSpaceDN w:val="0"/>
              <w:adjustRightInd w:val="0"/>
              <w:jc w:val="right"/>
              <w:rPr>
                <w:rFonts w:ascii="Arial" w:hAnsi="Arial" w:cs="Arial"/>
                <w:b/>
              </w:rPr>
            </w:pPr>
            <w:r w:rsidRPr="004D17AA">
              <w:rPr>
                <w:rFonts w:ascii="Arial" w:hAnsi="Arial" w:cs="Arial"/>
                <w:b/>
              </w:rPr>
              <w:t>8</w:t>
            </w:r>
            <w:r w:rsidR="00EC6D35" w:rsidRPr="004D17AA">
              <w:rPr>
                <w:rFonts w:ascii="Arial" w:hAnsi="Arial" w:cs="Arial"/>
                <w:b/>
              </w:rPr>
              <w:t>6.887</w:t>
            </w:r>
          </w:p>
        </w:tc>
      </w:tr>
    </w:tbl>
    <w:p w14:paraId="238D6640" w14:textId="77777777" w:rsidR="000F48A9" w:rsidRPr="00A453CC" w:rsidRDefault="000F48A9" w:rsidP="000F48A9">
      <w:pPr>
        <w:autoSpaceDE w:val="0"/>
        <w:autoSpaceDN w:val="0"/>
        <w:adjustRightInd w:val="0"/>
        <w:rPr>
          <w:rFonts w:ascii="Arial" w:hAnsi="Arial" w:cs="Arial"/>
          <w:b/>
        </w:rPr>
      </w:pPr>
      <w:r w:rsidRPr="00A453CC">
        <w:rPr>
          <w:rFonts w:ascii="Arial" w:hAnsi="Arial" w:cs="Arial"/>
          <w:b/>
        </w:rPr>
        <w:tab/>
      </w:r>
    </w:p>
    <w:p w14:paraId="7927C17F" w14:textId="77777777" w:rsidR="000B2779" w:rsidRPr="00A453CC" w:rsidRDefault="000F48A9" w:rsidP="000F48A9">
      <w:pPr>
        <w:autoSpaceDE w:val="0"/>
        <w:autoSpaceDN w:val="0"/>
        <w:adjustRightInd w:val="0"/>
        <w:rPr>
          <w:rFonts w:ascii="Arial" w:hAnsi="Arial" w:cs="Arial"/>
          <w:b/>
        </w:rPr>
      </w:pPr>
      <w:r w:rsidRPr="00A453CC">
        <w:rPr>
          <w:rFonts w:ascii="Arial" w:hAnsi="Arial" w:cs="Arial"/>
          <w:b/>
        </w:rPr>
        <w:tab/>
      </w:r>
      <w:r w:rsidRPr="00A453CC">
        <w:rPr>
          <w:rFonts w:ascii="Arial" w:hAnsi="Arial" w:cs="Arial"/>
          <w:b/>
        </w:rPr>
        <w:tab/>
      </w:r>
      <w:r w:rsidRPr="00A453CC">
        <w:rPr>
          <w:rFonts w:ascii="Arial" w:hAnsi="Arial" w:cs="Arial"/>
          <w:b/>
        </w:rPr>
        <w:tab/>
      </w:r>
    </w:p>
    <w:p w14:paraId="02987414" w14:textId="11154C96" w:rsidR="000F48A9" w:rsidRPr="00A453CC" w:rsidRDefault="000F48A9" w:rsidP="000F48A9">
      <w:pPr>
        <w:autoSpaceDE w:val="0"/>
        <w:autoSpaceDN w:val="0"/>
        <w:adjustRightInd w:val="0"/>
        <w:rPr>
          <w:rFonts w:ascii="Arial" w:hAnsi="Arial" w:cs="Arial"/>
          <w:b/>
        </w:rPr>
      </w:pPr>
      <w:r w:rsidRPr="00A453CC">
        <w:rPr>
          <w:rFonts w:ascii="Arial" w:hAnsi="Arial" w:cs="Arial"/>
          <w:b/>
        </w:rPr>
        <w:tab/>
      </w:r>
      <w:r w:rsidRPr="00A453CC">
        <w:rPr>
          <w:rFonts w:ascii="Arial" w:hAnsi="Arial" w:cs="Arial"/>
          <w:b/>
        </w:rPr>
        <w:tab/>
      </w:r>
    </w:p>
    <w:p w14:paraId="1994FBD7" w14:textId="77777777" w:rsidR="008B2814" w:rsidRPr="00A453CC" w:rsidRDefault="008B2814" w:rsidP="000F48A9">
      <w:pPr>
        <w:pStyle w:val="Heading8"/>
        <w:rPr>
          <w:color w:val="C45911"/>
          <w:sz w:val="28"/>
        </w:rPr>
      </w:pPr>
    </w:p>
    <w:p w14:paraId="006777BB" w14:textId="77777777" w:rsidR="008B2814" w:rsidRPr="00A453CC" w:rsidRDefault="008B2814" w:rsidP="000F48A9">
      <w:pPr>
        <w:pStyle w:val="Heading8"/>
        <w:rPr>
          <w:color w:val="C45911"/>
          <w:sz w:val="28"/>
        </w:rPr>
      </w:pPr>
    </w:p>
    <w:p w14:paraId="0374DACD" w14:textId="77777777" w:rsidR="008B2814" w:rsidRPr="00A453CC" w:rsidRDefault="008B2814" w:rsidP="000F48A9">
      <w:pPr>
        <w:pStyle w:val="Heading8"/>
        <w:rPr>
          <w:color w:val="C45911"/>
          <w:sz w:val="28"/>
        </w:rPr>
      </w:pPr>
    </w:p>
    <w:p w14:paraId="67E7FE3A" w14:textId="77777777" w:rsidR="00416326" w:rsidRDefault="00416326" w:rsidP="000F48A9">
      <w:pPr>
        <w:pStyle w:val="Heading8"/>
        <w:rPr>
          <w:color w:val="C45911"/>
          <w:sz w:val="28"/>
        </w:rPr>
      </w:pPr>
    </w:p>
    <w:p w14:paraId="0BC3B22B" w14:textId="6FF6BE1B" w:rsidR="000F48A9" w:rsidRPr="00A453CC" w:rsidRDefault="00F71115" w:rsidP="000F48A9">
      <w:pPr>
        <w:pStyle w:val="Heading8"/>
        <w:rPr>
          <w:color w:val="C45911"/>
        </w:rPr>
      </w:pPr>
      <w:r w:rsidRPr="00A453CC">
        <w:rPr>
          <w:color w:val="C45911"/>
          <w:sz w:val="28"/>
        </w:rPr>
        <w:t>H</w:t>
      </w:r>
      <w:r w:rsidR="000F48A9" w:rsidRPr="00A453CC">
        <w:rPr>
          <w:color w:val="C45911"/>
          <w:sz w:val="28"/>
        </w:rPr>
        <w:t>ousing Investment Programme Forecast</w:t>
      </w:r>
    </w:p>
    <w:p w14:paraId="6D96C7AD" w14:textId="77777777" w:rsidR="000F48A9" w:rsidRPr="00A453CC" w:rsidRDefault="000F48A9" w:rsidP="000F48A9">
      <w:pPr>
        <w:rPr>
          <w:rFonts w:ascii="Arial" w:hAnsi="Arial" w:cs="Arial"/>
          <w:b/>
        </w:rPr>
      </w:pPr>
    </w:p>
    <w:p w14:paraId="4C77308F" w14:textId="6AA6017D" w:rsidR="000F48A9" w:rsidRPr="00A453CC" w:rsidRDefault="000F48A9" w:rsidP="000F48A9">
      <w:pPr>
        <w:jc w:val="both"/>
        <w:rPr>
          <w:rFonts w:ascii="Arial" w:hAnsi="Arial" w:cs="Arial"/>
          <w:b/>
        </w:rPr>
      </w:pPr>
      <w:r w:rsidRPr="00A453CC">
        <w:rPr>
          <w:rFonts w:ascii="Arial" w:hAnsi="Arial" w:cs="Arial"/>
        </w:rPr>
        <w:t xml:space="preserve">Based on the spending requirements and resource assumptions, Appendix </w:t>
      </w:r>
      <w:r w:rsidR="00F926A5">
        <w:rPr>
          <w:rFonts w:ascii="Arial" w:hAnsi="Arial" w:cs="Arial"/>
        </w:rPr>
        <w:t>5</w:t>
      </w:r>
      <w:r w:rsidRPr="00A453CC">
        <w:rPr>
          <w:rFonts w:ascii="Arial" w:hAnsi="Arial" w:cs="Arial"/>
        </w:rPr>
        <w:t xml:space="preserve"> provides a summary five-year HIP for the Council. </w:t>
      </w:r>
    </w:p>
    <w:p w14:paraId="138EA968" w14:textId="77777777" w:rsidR="000F48A9" w:rsidRPr="000A13A9" w:rsidRDefault="000F48A9" w:rsidP="000F48A9">
      <w:pPr>
        <w:rPr>
          <w:rFonts w:ascii="Arial" w:hAnsi="Arial" w:cs="Arial"/>
          <w:highlight w:val="green"/>
        </w:rPr>
      </w:pPr>
    </w:p>
    <w:p w14:paraId="6305AAE2" w14:textId="77777777" w:rsidR="00C83F16" w:rsidRPr="0095082A" w:rsidRDefault="00C83F16" w:rsidP="00C83F16">
      <w:pPr>
        <w:pStyle w:val="Heading7"/>
        <w:rPr>
          <w:color w:val="C45911"/>
          <w:sz w:val="28"/>
        </w:rPr>
      </w:pPr>
      <w:r w:rsidRPr="0095082A">
        <w:rPr>
          <w:color w:val="C45911"/>
          <w:sz w:val="28"/>
        </w:rPr>
        <w:t>Risks to the Housing Investment Programme</w:t>
      </w:r>
    </w:p>
    <w:p w14:paraId="6B799177" w14:textId="77777777" w:rsidR="00C83F16" w:rsidRPr="0095082A" w:rsidRDefault="00C83F16" w:rsidP="00C83F16">
      <w:pPr>
        <w:jc w:val="both"/>
        <w:rPr>
          <w:rFonts w:ascii="Arial" w:hAnsi="Arial" w:cs="Arial"/>
        </w:rPr>
      </w:pPr>
    </w:p>
    <w:p w14:paraId="31CE7B9E" w14:textId="77777777" w:rsidR="00C83F16" w:rsidRPr="0095082A" w:rsidRDefault="00C83F16" w:rsidP="00C83F16">
      <w:pPr>
        <w:jc w:val="both"/>
        <w:rPr>
          <w:rFonts w:ascii="Arial" w:hAnsi="Arial" w:cs="Arial"/>
        </w:rPr>
      </w:pPr>
      <w:r w:rsidRPr="0095082A">
        <w:rPr>
          <w:rFonts w:ascii="Arial" w:hAnsi="Arial" w:cs="Arial"/>
        </w:rPr>
        <w:t xml:space="preserve">The Council has adopted a corporate approach to risk management and financial risk management is integrated into the Council’s overall management and decision-making processes.  </w:t>
      </w:r>
    </w:p>
    <w:p w14:paraId="596919C3" w14:textId="77777777" w:rsidR="00C83F16" w:rsidRPr="0095082A" w:rsidRDefault="00C83F16" w:rsidP="00C83F16">
      <w:pPr>
        <w:jc w:val="both"/>
        <w:rPr>
          <w:rFonts w:ascii="Arial" w:hAnsi="Arial" w:cs="Arial"/>
        </w:rPr>
      </w:pPr>
    </w:p>
    <w:p w14:paraId="300E44FA" w14:textId="77777777" w:rsidR="00C83F16" w:rsidRPr="0095082A" w:rsidRDefault="00C83F16" w:rsidP="00C83F16">
      <w:pPr>
        <w:pStyle w:val="BodyText"/>
        <w:jc w:val="both"/>
        <w:rPr>
          <w:b w:val="0"/>
        </w:rPr>
      </w:pPr>
      <w:r w:rsidRPr="0095082A">
        <w:rPr>
          <w:b w:val="0"/>
        </w:rPr>
        <w:t>A number of key high-level risks have been identified which could have a positive impact but conversely some risks may have a negative impact and result in a reduction of resources. These key risks are action planned and continually reviewed as the MTFS develops.  The main areas they cover are:</w:t>
      </w:r>
    </w:p>
    <w:p w14:paraId="2E78FD51" w14:textId="77777777" w:rsidR="00C83F16" w:rsidRPr="0095082A" w:rsidRDefault="00C83F16" w:rsidP="00C83F16">
      <w:pPr>
        <w:ind w:left="394"/>
        <w:jc w:val="both"/>
        <w:rPr>
          <w:rFonts w:ascii="Arial" w:hAnsi="Arial" w:cs="Arial"/>
        </w:rPr>
      </w:pPr>
    </w:p>
    <w:p w14:paraId="729AE5BD" w14:textId="77777777" w:rsidR="00C83F16" w:rsidRPr="0095082A" w:rsidRDefault="00C83F16" w:rsidP="00CF25BB">
      <w:pPr>
        <w:numPr>
          <w:ilvl w:val="0"/>
          <w:numId w:val="1"/>
        </w:numPr>
        <w:jc w:val="both"/>
        <w:rPr>
          <w:rFonts w:ascii="Arial" w:hAnsi="Arial" w:cs="Arial"/>
        </w:rPr>
      </w:pPr>
      <w:r w:rsidRPr="0095082A">
        <w:rPr>
          <w:rFonts w:ascii="Arial" w:hAnsi="Arial" w:cs="Arial"/>
        </w:rPr>
        <w:t>Generation of sufficient revenue surpluses to resource required investment</w:t>
      </w:r>
    </w:p>
    <w:p w14:paraId="3B6C7148" w14:textId="7F2D9C50" w:rsidR="00BD5ACC" w:rsidRPr="0095082A" w:rsidRDefault="00C83F16" w:rsidP="00CF25BB">
      <w:pPr>
        <w:numPr>
          <w:ilvl w:val="0"/>
          <w:numId w:val="1"/>
        </w:numPr>
        <w:jc w:val="both"/>
        <w:rPr>
          <w:rFonts w:ascii="Arial" w:hAnsi="Arial" w:cs="Arial"/>
        </w:rPr>
      </w:pPr>
      <w:r w:rsidRPr="0095082A">
        <w:rPr>
          <w:rFonts w:ascii="Arial" w:hAnsi="Arial" w:cs="Arial"/>
        </w:rPr>
        <w:t xml:space="preserve">Achievement of capital receipts </w:t>
      </w:r>
      <w:r w:rsidR="000F6679" w:rsidRPr="0095082A">
        <w:rPr>
          <w:rFonts w:ascii="Arial" w:hAnsi="Arial" w:cs="Arial"/>
        </w:rPr>
        <w:t>i.e</w:t>
      </w:r>
      <w:r w:rsidR="003620D2" w:rsidRPr="0095082A">
        <w:rPr>
          <w:rFonts w:ascii="Arial" w:hAnsi="Arial" w:cs="Arial"/>
        </w:rPr>
        <w:t>.</w:t>
      </w:r>
      <w:r w:rsidR="000F6679" w:rsidRPr="0095082A">
        <w:rPr>
          <w:rFonts w:ascii="Arial" w:hAnsi="Arial" w:cs="Arial"/>
        </w:rPr>
        <w:t xml:space="preserve"> RTB</w:t>
      </w:r>
      <w:r w:rsidRPr="0095082A">
        <w:rPr>
          <w:rFonts w:ascii="Arial" w:hAnsi="Arial" w:cs="Arial"/>
        </w:rPr>
        <w:t xml:space="preserve"> targets</w:t>
      </w:r>
      <w:r w:rsidR="000F6679" w:rsidRPr="0095082A">
        <w:rPr>
          <w:rFonts w:ascii="Arial" w:hAnsi="Arial" w:cs="Arial"/>
        </w:rPr>
        <w:t xml:space="preserve">, </w:t>
      </w:r>
      <w:r w:rsidR="003620D2" w:rsidRPr="0095082A">
        <w:rPr>
          <w:rFonts w:ascii="Arial" w:hAnsi="Arial" w:cs="Arial"/>
        </w:rPr>
        <w:t>particularly</w:t>
      </w:r>
      <w:r w:rsidR="000F6679" w:rsidRPr="0095082A">
        <w:rPr>
          <w:rFonts w:ascii="Arial" w:hAnsi="Arial" w:cs="Arial"/>
        </w:rPr>
        <w:t xml:space="preserve"> in light of the recent forms to the </w:t>
      </w:r>
      <w:r w:rsidR="003620D2" w:rsidRPr="0095082A">
        <w:rPr>
          <w:rFonts w:ascii="Arial" w:hAnsi="Arial" w:cs="Arial"/>
        </w:rPr>
        <w:t>RTB system.</w:t>
      </w:r>
    </w:p>
    <w:p w14:paraId="65663F82" w14:textId="77777777" w:rsidR="00306FFE" w:rsidRPr="0095082A" w:rsidRDefault="00306FFE" w:rsidP="00CF25BB">
      <w:pPr>
        <w:numPr>
          <w:ilvl w:val="0"/>
          <w:numId w:val="1"/>
        </w:numPr>
        <w:jc w:val="both"/>
        <w:rPr>
          <w:rFonts w:ascii="Arial" w:hAnsi="Arial" w:cs="Arial"/>
        </w:rPr>
      </w:pPr>
      <w:r w:rsidRPr="0095082A">
        <w:rPr>
          <w:rFonts w:ascii="Arial" w:hAnsi="Arial" w:cs="Arial"/>
        </w:rPr>
        <w:t>Increased project costs, particularly in light of inflationary increases in recent years and the current challenges in the construction sector</w:t>
      </w:r>
    </w:p>
    <w:p w14:paraId="7A118960" w14:textId="1FD3F035" w:rsidR="00B969C9" w:rsidRPr="0095082A" w:rsidRDefault="00B969C9" w:rsidP="00CF25BB">
      <w:pPr>
        <w:numPr>
          <w:ilvl w:val="0"/>
          <w:numId w:val="1"/>
        </w:numPr>
        <w:jc w:val="both"/>
        <w:rPr>
          <w:rFonts w:ascii="Arial" w:hAnsi="Arial" w:cs="Arial"/>
        </w:rPr>
      </w:pPr>
      <w:r w:rsidRPr="0095082A">
        <w:rPr>
          <w:rFonts w:ascii="Arial" w:hAnsi="Arial" w:cs="Arial"/>
        </w:rPr>
        <w:t>Condition of existing stock</w:t>
      </w:r>
      <w:r w:rsidR="000E7323">
        <w:rPr>
          <w:rFonts w:ascii="Arial" w:hAnsi="Arial" w:cs="Arial"/>
        </w:rPr>
        <w:t xml:space="preserve"> and outcomes of latest stock condition surveys</w:t>
      </w:r>
    </w:p>
    <w:p w14:paraId="3E9795D2" w14:textId="549B74CE" w:rsidR="00601937" w:rsidRPr="0095082A" w:rsidRDefault="00601937" w:rsidP="00CF25BB">
      <w:pPr>
        <w:numPr>
          <w:ilvl w:val="0"/>
          <w:numId w:val="1"/>
        </w:numPr>
        <w:jc w:val="both"/>
        <w:rPr>
          <w:rFonts w:ascii="Arial" w:hAnsi="Arial" w:cs="Arial"/>
        </w:rPr>
      </w:pPr>
      <w:r w:rsidRPr="0095082A">
        <w:rPr>
          <w:rFonts w:ascii="Arial" w:hAnsi="Arial" w:cs="Arial"/>
        </w:rPr>
        <w:t>Sustainability of contractors in construction industry</w:t>
      </w:r>
      <w:r w:rsidR="003620D2" w:rsidRPr="0095082A">
        <w:rPr>
          <w:rFonts w:ascii="Arial" w:hAnsi="Arial" w:cs="Arial"/>
        </w:rPr>
        <w:t>, particularly in light of current eco</w:t>
      </w:r>
      <w:r w:rsidR="00306FFE" w:rsidRPr="0095082A">
        <w:rPr>
          <w:rFonts w:ascii="Arial" w:hAnsi="Arial" w:cs="Arial"/>
        </w:rPr>
        <w:t>nomic factors</w:t>
      </w:r>
    </w:p>
    <w:p w14:paraId="0147BFF7" w14:textId="44FDD540" w:rsidR="00691EA3" w:rsidRPr="0095082A" w:rsidRDefault="000A48E0" w:rsidP="00CF25BB">
      <w:pPr>
        <w:numPr>
          <w:ilvl w:val="0"/>
          <w:numId w:val="1"/>
        </w:numPr>
        <w:jc w:val="both"/>
        <w:rPr>
          <w:rFonts w:ascii="Arial" w:hAnsi="Arial" w:cs="Arial"/>
        </w:rPr>
      </w:pPr>
      <w:r>
        <w:rPr>
          <w:rFonts w:ascii="Arial" w:hAnsi="Arial" w:cs="Arial"/>
        </w:rPr>
        <w:t>I</w:t>
      </w:r>
      <w:r w:rsidR="00691EA3" w:rsidRPr="0095082A">
        <w:rPr>
          <w:rFonts w:ascii="Arial" w:hAnsi="Arial" w:cs="Arial"/>
        </w:rPr>
        <w:t>nterest rates impacting on future borrowing costs</w:t>
      </w:r>
    </w:p>
    <w:p w14:paraId="32713B0C" w14:textId="7D348472" w:rsidR="00C83F16" w:rsidRPr="0095082A" w:rsidRDefault="00BD5ACC" w:rsidP="00CF25BB">
      <w:pPr>
        <w:numPr>
          <w:ilvl w:val="0"/>
          <w:numId w:val="1"/>
        </w:numPr>
        <w:jc w:val="both"/>
        <w:rPr>
          <w:rFonts w:ascii="Arial" w:hAnsi="Arial" w:cs="Arial"/>
        </w:rPr>
      </w:pPr>
      <w:r w:rsidRPr="0095082A">
        <w:rPr>
          <w:rFonts w:ascii="Arial" w:hAnsi="Arial" w:cs="Arial"/>
        </w:rPr>
        <w:t xml:space="preserve">Implications of </w:t>
      </w:r>
      <w:r w:rsidR="00DA5EAF" w:rsidRPr="0095082A">
        <w:rPr>
          <w:rFonts w:ascii="Arial" w:hAnsi="Arial" w:cs="Arial"/>
        </w:rPr>
        <w:t>Government Regulations</w:t>
      </w:r>
      <w:r w:rsidR="008666BE" w:rsidRPr="0095082A">
        <w:rPr>
          <w:rFonts w:ascii="Arial" w:hAnsi="Arial" w:cs="Arial"/>
        </w:rPr>
        <w:t xml:space="preserve"> e.g.</w:t>
      </w:r>
      <w:r w:rsidR="00733C31" w:rsidRPr="0095082A">
        <w:rPr>
          <w:rFonts w:ascii="Arial" w:hAnsi="Arial" w:cs="Arial"/>
        </w:rPr>
        <w:t xml:space="preserve"> the</w:t>
      </w:r>
      <w:r w:rsidR="005C5D8D" w:rsidRPr="0095082A">
        <w:rPr>
          <w:rFonts w:ascii="Arial" w:hAnsi="Arial" w:cs="Arial"/>
        </w:rPr>
        <w:t xml:space="preserve"> Building</w:t>
      </w:r>
      <w:r w:rsidR="0021692D" w:rsidRPr="0095082A">
        <w:rPr>
          <w:rFonts w:ascii="Arial" w:hAnsi="Arial" w:cs="Arial"/>
        </w:rPr>
        <w:t xml:space="preserve"> </w:t>
      </w:r>
      <w:r w:rsidR="00F72F58" w:rsidRPr="0095082A">
        <w:rPr>
          <w:rFonts w:ascii="Arial" w:hAnsi="Arial" w:cs="Arial"/>
        </w:rPr>
        <w:t>S</w:t>
      </w:r>
      <w:r w:rsidR="0021692D" w:rsidRPr="0095082A">
        <w:rPr>
          <w:rFonts w:ascii="Arial" w:hAnsi="Arial" w:cs="Arial"/>
        </w:rPr>
        <w:t xml:space="preserve">afety </w:t>
      </w:r>
      <w:r w:rsidR="00F72F58" w:rsidRPr="0095082A">
        <w:rPr>
          <w:rFonts w:ascii="Arial" w:hAnsi="Arial" w:cs="Arial"/>
        </w:rPr>
        <w:t>Act</w:t>
      </w:r>
      <w:r w:rsidR="005C5D8D" w:rsidRPr="0095082A">
        <w:rPr>
          <w:rFonts w:ascii="Arial" w:hAnsi="Arial" w:cs="Arial"/>
        </w:rPr>
        <w:t xml:space="preserve"> &amp; Fire Safety</w:t>
      </w:r>
      <w:r w:rsidR="00733C31" w:rsidRPr="0095082A">
        <w:rPr>
          <w:rFonts w:ascii="Arial" w:hAnsi="Arial" w:cs="Arial"/>
        </w:rPr>
        <w:t xml:space="preserve"> Act</w:t>
      </w:r>
      <w:r w:rsidR="0085180C" w:rsidRPr="0095082A">
        <w:rPr>
          <w:rFonts w:ascii="Arial" w:hAnsi="Arial" w:cs="Arial"/>
        </w:rPr>
        <w:t>,</w:t>
      </w:r>
      <w:r w:rsidRPr="0095082A">
        <w:rPr>
          <w:rFonts w:ascii="Arial" w:hAnsi="Arial" w:cs="Arial"/>
        </w:rPr>
        <w:t xml:space="preserve"> </w:t>
      </w:r>
      <w:r w:rsidR="000A48E0">
        <w:rPr>
          <w:rFonts w:ascii="Arial" w:hAnsi="Arial" w:cs="Arial"/>
        </w:rPr>
        <w:t>Social Housing Regulation Act</w:t>
      </w:r>
      <w:r w:rsidR="00063CA9">
        <w:rPr>
          <w:rFonts w:ascii="Arial" w:hAnsi="Arial" w:cs="Arial"/>
        </w:rPr>
        <w:t xml:space="preserve"> and new Decent Homes Standard</w:t>
      </w:r>
      <w:r w:rsidR="00596DAF">
        <w:rPr>
          <w:rFonts w:ascii="Arial" w:hAnsi="Arial" w:cs="Arial"/>
        </w:rPr>
        <w:t xml:space="preserve"> and Minimum Energy Efficiency Standards (MEES)</w:t>
      </w:r>
      <w:r w:rsidR="00063CA9">
        <w:rPr>
          <w:rFonts w:ascii="Arial" w:hAnsi="Arial" w:cs="Arial"/>
        </w:rPr>
        <w:t>.</w:t>
      </w:r>
    </w:p>
    <w:p w14:paraId="3CF2FF52" w14:textId="010B0046" w:rsidR="00BD5ACC" w:rsidRPr="0095082A" w:rsidRDefault="00374FC6" w:rsidP="00CF25BB">
      <w:pPr>
        <w:numPr>
          <w:ilvl w:val="0"/>
          <w:numId w:val="1"/>
        </w:numPr>
        <w:jc w:val="both"/>
        <w:rPr>
          <w:rFonts w:ascii="Arial" w:hAnsi="Arial" w:cs="Arial"/>
        </w:rPr>
      </w:pPr>
      <w:r w:rsidRPr="0095082A">
        <w:rPr>
          <w:rFonts w:ascii="Arial" w:hAnsi="Arial" w:cs="Arial"/>
        </w:rPr>
        <w:t>Implications arising fr</w:t>
      </w:r>
      <w:r w:rsidR="009545CB" w:rsidRPr="0095082A">
        <w:rPr>
          <w:rFonts w:ascii="Arial" w:hAnsi="Arial" w:cs="Arial"/>
        </w:rPr>
        <w:t>om the Council’s Radon Management Plan.</w:t>
      </w:r>
    </w:p>
    <w:p w14:paraId="4F1E62BF" w14:textId="1448178F" w:rsidR="00224619" w:rsidRPr="001E32C8" w:rsidRDefault="000A48E0" w:rsidP="00CF25BB">
      <w:pPr>
        <w:numPr>
          <w:ilvl w:val="0"/>
          <w:numId w:val="1"/>
        </w:numPr>
        <w:jc w:val="both"/>
        <w:rPr>
          <w:rFonts w:ascii="Arial" w:hAnsi="Arial" w:cs="Arial"/>
        </w:rPr>
      </w:pPr>
      <w:r w:rsidRPr="002A718D">
        <w:rPr>
          <w:rFonts w:ascii="Arial" w:hAnsi="Arial" w:cs="Arial"/>
        </w:rPr>
        <w:t xml:space="preserve">Impact of the </w:t>
      </w:r>
      <w:r>
        <w:rPr>
          <w:rFonts w:ascii="Arial" w:hAnsi="Arial" w:cs="Arial"/>
        </w:rPr>
        <w:t>Mayoral Combined Authority on the allocation of</w:t>
      </w:r>
      <w:r w:rsidR="00E12755">
        <w:rPr>
          <w:rFonts w:ascii="Arial" w:hAnsi="Arial" w:cs="Arial"/>
        </w:rPr>
        <w:t xml:space="preserve"> housing</w:t>
      </w:r>
      <w:r>
        <w:rPr>
          <w:rFonts w:ascii="Arial" w:hAnsi="Arial" w:cs="Arial"/>
        </w:rPr>
        <w:t xml:space="preserve"> funding pots</w:t>
      </w:r>
      <w:r w:rsidR="00E12755">
        <w:rPr>
          <w:rFonts w:ascii="Arial" w:hAnsi="Arial" w:cs="Arial"/>
        </w:rPr>
        <w:t>.</w:t>
      </w:r>
    </w:p>
    <w:p w14:paraId="56CEC9E4" w14:textId="77777777" w:rsidR="00224619" w:rsidRPr="000A13A9" w:rsidRDefault="00224619" w:rsidP="00224619">
      <w:pPr>
        <w:ind w:left="754"/>
        <w:jc w:val="both"/>
        <w:rPr>
          <w:rFonts w:ascii="Arial" w:hAnsi="Arial" w:cs="Arial"/>
          <w:highlight w:val="green"/>
        </w:rPr>
      </w:pPr>
    </w:p>
    <w:p w14:paraId="5139BCF6" w14:textId="3305D8C1" w:rsidR="00C83F16" w:rsidRPr="00CB7B27" w:rsidRDefault="00C83F16" w:rsidP="00C83F16">
      <w:pPr>
        <w:jc w:val="both"/>
        <w:rPr>
          <w:rFonts w:ascii="Arial" w:hAnsi="Arial" w:cs="Arial"/>
          <w:bCs/>
          <w:color w:val="FF6600"/>
        </w:rPr>
      </w:pPr>
      <w:r w:rsidRPr="0095082A">
        <w:rPr>
          <w:rFonts w:ascii="Arial" w:hAnsi="Arial" w:cs="Arial"/>
        </w:rPr>
        <w:t xml:space="preserve">Appendix </w:t>
      </w:r>
      <w:r w:rsidR="00F926A5">
        <w:rPr>
          <w:rFonts w:ascii="Arial" w:hAnsi="Arial" w:cs="Arial"/>
        </w:rPr>
        <w:t>6</w:t>
      </w:r>
      <w:r w:rsidRPr="0095082A">
        <w:rPr>
          <w:rFonts w:ascii="Arial" w:hAnsi="Arial" w:cs="Arial"/>
        </w:rPr>
        <w:t xml:space="preserve"> of the MTFS details the risk action plans for the internal and external risks. Officers will continually monitor and appraise these risks as part of the on-going budget monitoring and reporting to Members.</w:t>
      </w:r>
    </w:p>
    <w:p w14:paraId="2F1310D8" w14:textId="17D3FF23" w:rsidR="00AE2B82" w:rsidRDefault="000F48A9" w:rsidP="007D3383">
      <w:pPr>
        <w:jc w:val="both"/>
        <w:rPr>
          <w:rFonts w:ascii="Arial" w:hAnsi="Arial" w:cs="Arial"/>
          <w:b/>
          <w:bCs/>
          <w:color w:val="C45911"/>
          <w:sz w:val="32"/>
        </w:rPr>
      </w:pPr>
      <w:r w:rsidRPr="005C6861">
        <w:rPr>
          <w:rFonts w:ascii="Arial" w:hAnsi="Arial" w:cs="Arial"/>
        </w:rPr>
        <w:br w:type="page"/>
      </w:r>
      <w:r w:rsidR="00AE2B82" w:rsidRPr="005C6861">
        <w:rPr>
          <w:rFonts w:ascii="Arial" w:hAnsi="Arial" w:cs="Arial"/>
          <w:b/>
          <w:bCs/>
          <w:color w:val="C45911"/>
          <w:sz w:val="32"/>
        </w:rPr>
        <w:t xml:space="preserve">Section </w:t>
      </w:r>
      <w:r w:rsidR="0043173E" w:rsidRPr="005C6861">
        <w:rPr>
          <w:rFonts w:ascii="Arial" w:hAnsi="Arial" w:cs="Arial"/>
          <w:b/>
          <w:bCs/>
          <w:color w:val="C45911"/>
          <w:sz w:val="32"/>
        </w:rPr>
        <w:t>7</w:t>
      </w:r>
      <w:r w:rsidR="00AE2B82" w:rsidRPr="005C6861">
        <w:rPr>
          <w:rFonts w:ascii="Arial" w:hAnsi="Arial" w:cs="Arial"/>
          <w:b/>
          <w:bCs/>
          <w:color w:val="C45911"/>
          <w:sz w:val="32"/>
        </w:rPr>
        <w:t xml:space="preserve"> – </w:t>
      </w:r>
      <w:r w:rsidR="002849EB">
        <w:rPr>
          <w:rFonts w:ascii="Arial" w:hAnsi="Arial" w:cs="Arial"/>
          <w:b/>
          <w:bCs/>
          <w:color w:val="C45911"/>
          <w:sz w:val="32"/>
        </w:rPr>
        <w:t>Financial Resilience</w:t>
      </w:r>
    </w:p>
    <w:p w14:paraId="14524971" w14:textId="77777777" w:rsidR="002849EB" w:rsidRDefault="002849EB" w:rsidP="007D3383">
      <w:pPr>
        <w:jc w:val="both"/>
        <w:rPr>
          <w:rFonts w:ascii="Arial" w:hAnsi="Arial" w:cs="Arial"/>
          <w:b/>
          <w:bCs/>
          <w:color w:val="C45911"/>
          <w:sz w:val="32"/>
        </w:rPr>
      </w:pPr>
    </w:p>
    <w:p w14:paraId="128294EA" w14:textId="3CA9EC99" w:rsidR="00BC4E46" w:rsidRPr="00E84DAE" w:rsidRDefault="00BC4E46" w:rsidP="007D3383">
      <w:pPr>
        <w:jc w:val="both"/>
      </w:pPr>
      <w:r w:rsidRPr="00E84DAE">
        <w:rPr>
          <w:rFonts w:ascii="Arial" w:hAnsi="Arial" w:cs="Arial"/>
        </w:rPr>
        <w:t>The chartered Institute of Public Finance and Accountancy (CIPFA) defines Financial Resilience for local councils as “</w:t>
      </w:r>
      <w:r w:rsidR="00104C5C" w:rsidRPr="00E84DAE">
        <w:rPr>
          <w:rFonts w:ascii="Arial" w:hAnsi="Arial" w:cs="Arial"/>
        </w:rPr>
        <w:t>the ability, from a financial perspective, to respond to changes in delivery or demand without placing the organisation at risk of financial failure”. “This means having the agility and flexibility to forecast and manage both expenditure and income to meet requirements as they change while delivering a balanced budget</w:t>
      </w:r>
      <w:r w:rsidR="00E62CEC" w:rsidRPr="00E84DAE">
        <w:rPr>
          <w:rFonts w:ascii="Arial" w:hAnsi="Arial" w:cs="Arial"/>
        </w:rPr>
        <w:t>”</w:t>
      </w:r>
      <w:r w:rsidR="00104C5C" w:rsidRPr="00E84DAE">
        <w:rPr>
          <w:rFonts w:ascii="Arial" w:hAnsi="Arial" w:cs="Arial"/>
        </w:rPr>
        <w:t>.</w:t>
      </w:r>
    </w:p>
    <w:p w14:paraId="35836D82" w14:textId="77777777" w:rsidR="00104C5C" w:rsidRPr="00E84DAE" w:rsidRDefault="00104C5C" w:rsidP="007D3383">
      <w:pPr>
        <w:jc w:val="both"/>
        <w:rPr>
          <w:rFonts w:ascii="Arial" w:hAnsi="Arial" w:cs="Arial"/>
        </w:rPr>
      </w:pPr>
    </w:p>
    <w:p w14:paraId="0585DF75" w14:textId="6D6F7F5D" w:rsidR="005F7BB0" w:rsidRPr="00E84DAE" w:rsidRDefault="00726490" w:rsidP="007D3383">
      <w:pPr>
        <w:jc w:val="both"/>
        <w:rPr>
          <w:rFonts w:ascii="Arial" w:hAnsi="Arial" w:cs="Arial"/>
        </w:rPr>
      </w:pPr>
      <w:r w:rsidRPr="00E84DAE">
        <w:rPr>
          <w:rFonts w:ascii="Arial" w:hAnsi="Arial" w:cs="Arial"/>
        </w:rPr>
        <w:t>It further describes financial resilience as “</w:t>
      </w:r>
      <w:r w:rsidR="00213879" w:rsidRPr="00E84DAE">
        <w:rPr>
          <w:rFonts w:ascii="Arial" w:hAnsi="Arial" w:cs="Arial"/>
        </w:rPr>
        <w:t>the ability of local authorities to remain viable, stable and effective in the medium to long term in the face of pressures from growing demand, tightening funding and an increasingly complex and unpredictable financial environment”.</w:t>
      </w:r>
    </w:p>
    <w:p w14:paraId="6884EA63" w14:textId="77777777" w:rsidR="00CC3F55" w:rsidRPr="00E84DAE" w:rsidRDefault="00CC3F55" w:rsidP="007D3383">
      <w:pPr>
        <w:jc w:val="both"/>
        <w:rPr>
          <w:rFonts w:ascii="Arial" w:hAnsi="Arial" w:cs="Arial"/>
        </w:rPr>
      </w:pPr>
    </w:p>
    <w:p w14:paraId="587FCFED" w14:textId="05536833" w:rsidR="00CC3F55" w:rsidRPr="00E84DAE" w:rsidRDefault="00CC3F55" w:rsidP="007D3383">
      <w:pPr>
        <w:jc w:val="both"/>
        <w:rPr>
          <w:rFonts w:ascii="Arial" w:hAnsi="Arial" w:cs="Arial"/>
          <w:b/>
          <w:color w:val="C45911" w:themeColor="accent2" w:themeShade="BF"/>
          <w:sz w:val="28"/>
          <w:szCs w:val="28"/>
        </w:rPr>
      </w:pPr>
      <w:r w:rsidRPr="00E84DAE">
        <w:rPr>
          <w:rFonts w:ascii="Arial" w:hAnsi="Arial" w:cs="Arial"/>
          <w:b/>
          <w:color w:val="C45911" w:themeColor="accent2" w:themeShade="BF"/>
          <w:sz w:val="28"/>
          <w:szCs w:val="28"/>
        </w:rPr>
        <w:t>Financial Metrics</w:t>
      </w:r>
    </w:p>
    <w:p w14:paraId="040A6A0C" w14:textId="77777777" w:rsidR="009F16F3" w:rsidRPr="00E84DAE" w:rsidRDefault="009F16F3" w:rsidP="00AE2B82">
      <w:pPr>
        <w:jc w:val="both"/>
        <w:rPr>
          <w:rFonts w:ascii="Arial" w:hAnsi="Arial" w:cs="Arial"/>
        </w:rPr>
      </w:pPr>
    </w:p>
    <w:p w14:paraId="2C50BD6E" w14:textId="560777CD" w:rsidR="008F6A0C" w:rsidRPr="00E84DAE" w:rsidRDefault="008F6A0C" w:rsidP="00AE2B82">
      <w:pPr>
        <w:jc w:val="both"/>
        <w:rPr>
          <w:rFonts w:ascii="Arial" w:hAnsi="Arial" w:cs="Arial"/>
          <w:b/>
        </w:rPr>
      </w:pPr>
      <w:r w:rsidRPr="00E84DAE">
        <w:rPr>
          <w:rFonts w:ascii="Arial" w:hAnsi="Arial" w:cs="Arial"/>
          <w:b/>
        </w:rPr>
        <w:t>Financial Resilience Index</w:t>
      </w:r>
      <w:r w:rsidR="000F01D1" w:rsidRPr="00E84DAE">
        <w:rPr>
          <w:rFonts w:ascii="Arial" w:hAnsi="Arial" w:cs="Arial"/>
          <w:b/>
        </w:rPr>
        <w:t xml:space="preserve"> </w:t>
      </w:r>
    </w:p>
    <w:p w14:paraId="45516B8B" w14:textId="77777777" w:rsidR="00576898" w:rsidRPr="00E84DAE" w:rsidRDefault="00576898" w:rsidP="00AE2B82">
      <w:pPr>
        <w:jc w:val="both"/>
        <w:rPr>
          <w:rFonts w:ascii="Arial" w:hAnsi="Arial" w:cs="Arial"/>
          <w:b/>
          <w:color w:val="C45911" w:themeColor="accent2" w:themeShade="BF"/>
          <w:sz w:val="28"/>
          <w:szCs w:val="28"/>
        </w:rPr>
      </w:pPr>
    </w:p>
    <w:p w14:paraId="144FDF9C" w14:textId="1041299A" w:rsidR="00E87D61" w:rsidRPr="00E84DAE" w:rsidRDefault="009F16F3" w:rsidP="00AE2B82">
      <w:pPr>
        <w:jc w:val="both"/>
        <w:rPr>
          <w:rFonts w:ascii="Arial" w:hAnsi="Arial" w:cs="Arial"/>
        </w:rPr>
      </w:pPr>
      <w:r w:rsidRPr="00E84DAE">
        <w:rPr>
          <w:rFonts w:ascii="Arial" w:hAnsi="Arial" w:cs="Arial"/>
        </w:rPr>
        <w:t>CIPFA have developed a Financial Resilience Index</w:t>
      </w:r>
      <w:r w:rsidR="000F01D1" w:rsidRPr="00E84DAE">
        <w:rPr>
          <w:rFonts w:ascii="Arial" w:hAnsi="Arial" w:cs="Arial"/>
        </w:rPr>
        <w:t xml:space="preserve"> (FRI)</w:t>
      </w:r>
      <w:r w:rsidR="00574E79" w:rsidRPr="00E84DAE">
        <w:rPr>
          <w:rFonts w:ascii="Arial" w:hAnsi="Arial" w:cs="Arial"/>
        </w:rPr>
        <w:t xml:space="preserve">, which is </w:t>
      </w:r>
      <w:r w:rsidRPr="00E84DAE">
        <w:rPr>
          <w:rFonts w:ascii="Arial" w:hAnsi="Arial" w:cs="Arial"/>
        </w:rPr>
        <w:t>a comparative analytical tool designed to support good financial management and shows the Council’s position on a range of measures associated with financial risks</w:t>
      </w:r>
      <w:r w:rsidR="00E87D61" w:rsidRPr="00E84DAE">
        <w:rPr>
          <w:rFonts w:ascii="Arial" w:hAnsi="Arial" w:cs="Arial"/>
        </w:rPr>
        <w:t xml:space="preserve">. </w:t>
      </w:r>
      <w:r w:rsidRPr="00E84DAE">
        <w:rPr>
          <w:rFonts w:ascii="Arial" w:hAnsi="Arial" w:cs="Arial"/>
        </w:rPr>
        <w:t xml:space="preserve"> </w:t>
      </w:r>
      <w:r w:rsidR="0011567B" w:rsidRPr="00E84DAE">
        <w:rPr>
          <w:rFonts w:ascii="Arial" w:hAnsi="Arial" w:cs="Arial"/>
        </w:rPr>
        <w:t>CIPFA’s index centres mainly on the position of Useable Reserves for councils and looks back on how these have changed. It also reviews the General Fund’s sources of income as a percentage of the Net Revenue Expenditure Requirement. The key items are shown in the following table</w:t>
      </w:r>
      <w:r w:rsidR="009F054B">
        <w:rPr>
          <w:rFonts w:ascii="Arial" w:hAnsi="Arial" w:cs="Arial"/>
        </w:rPr>
        <w:t xml:space="preserve"> and are </w:t>
      </w:r>
      <w:r w:rsidR="00A93E82">
        <w:rPr>
          <w:rFonts w:ascii="Arial" w:hAnsi="Arial" w:cs="Arial"/>
        </w:rPr>
        <w:t>RAG rated in comparison to nearest comparative neighbour councils</w:t>
      </w:r>
      <w:r w:rsidR="0011567B" w:rsidRPr="00E84DAE">
        <w:rPr>
          <w:rFonts w:ascii="Arial" w:hAnsi="Arial" w:cs="Arial"/>
        </w:rPr>
        <w:t>.</w:t>
      </w:r>
    </w:p>
    <w:p w14:paraId="0921BBC3" w14:textId="77777777" w:rsidR="008E2EE8" w:rsidRPr="00B91350" w:rsidRDefault="008E2EE8" w:rsidP="00AE2B82">
      <w:pPr>
        <w:jc w:val="both"/>
        <w:rPr>
          <w:rFonts w:ascii="Arial" w:hAnsi="Arial" w:cs="Arial"/>
          <w:highlight w:val="yellow"/>
        </w:rPr>
      </w:pPr>
    </w:p>
    <w:tbl>
      <w:tblPr>
        <w:tblW w:w="90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449"/>
        <w:gridCol w:w="1499"/>
        <w:gridCol w:w="1417"/>
      </w:tblGrid>
      <w:tr w:rsidR="00F13EF1" w:rsidRPr="00B91350" w14:paraId="2531BEA5" w14:textId="77777777">
        <w:tc>
          <w:tcPr>
            <w:tcW w:w="4678" w:type="dxa"/>
          </w:tcPr>
          <w:p w14:paraId="3231AC1A" w14:textId="77777777" w:rsidR="00F322A9" w:rsidRPr="00E2754A" w:rsidRDefault="00F322A9" w:rsidP="00D5019B">
            <w:pPr>
              <w:jc w:val="both"/>
              <w:rPr>
                <w:rFonts w:ascii="Arial" w:hAnsi="Arial" w:cs="Arial"/>
                <w:b/>
              </w:rPr>
            </w:pPr>
            <w:r w:rsidRPr="00E2754A">
              <w:rPr>
                <w:rFonts w:ascii="Arial" w:hAnsi="Arial" w:cs="Arial"/>
                <w:b/>
              </w:rPr>
              <w:t>CIPFA Financial Resilience Index</w:t>
            </w:r>
          </w:p>
        </w:tc>
        <w:tc>
          <w:tcPr>
            <w:tcW w:w="1449" w:type="dxa"/>
          </w:tcPr>
          <w:p w14:paraId="36A43657" w14:textId="77777777" w:rsidR="00F322A9" w:rsidRDefault="00F322A9" w:rsidP="00D5019B">
            <w:pPr>
              <w:jc w:val="center"/>
              <w:rPr>
                <w:rFonts w:ascii="Arial" w:hAnsi="Arial" w:cs="Arial"/>
                <w:b/>
              </w:rPr>
            </w:pPr>
            <w:r>
              <w:rPr>
                <w:rFonts w:ascii="Arial" w:hAnsi="Arial" w:cs="Arial"/>
                <w:b/>
              </w:rPr>
              <w:t>2022/23</w:t>
            </w:r>
          </w:p>
        </w:tc>
        <w:tc>
          <w:tcPr>
            <w:tcW w:w="1499" w:type="dxa"/>
          </w:tcPr>
          <w:p w14:paraId="54C579BA" w14:textId="77777777" w:rsidR="00F322A9" w:rsidRPr="00E2754A" w:rsidRDefault="00F322A9" w:rsidP="00D5019B">
            <w:pPr>
              <w:jc w:val="center"/>
              <w:rPr>
                <w:rFonts w:ascii="Arial" w:hAnsi="Arial" w:cs="Arial"/>
                <w:b/>
              </w:rPr>
            </w:pPr>
            <w:r>
              <w:rPr>
                <w:rFonts w:ascii="Arial" w:hAnsi="Arial" w:cs="Arial"/>
                <w:b/>
              </w:rPr>
              <w:t>2023/24</w:t>
            </w:r>
          </w:p>
        </w:tc>
        <w:tc>
          <w:tcPr>
            <w:tcW w:w="1417" w:type="dxa"/>
          </w:tcPr>
          <w:p w14:paraId="36DBB168" w14:textId="77777777" w:rsidR="00F322A9" w:rsidRPr="00E2754A" w:rsidRDefault="00F322A9" w:rsidP="00D5019B">
            <w:pPr>
              <w:jc w:val="center"/>
              <w:rPr>
                <w:rFonts w:ascii="Arial" w:hAnsi="Arial" w:cs="Arial"/>
                <w:b/>
              </w:rPr>
            </w:pPr>
            <w:r>
              <w:rPr>
                <w:rFonts w:ascii="Arial" w:hAnsi="Arial" w:cs="Arial"/>
                <w:b/>
              </w:rPr>
              <w:t>2024/25</w:t>
            </w:r>
          </w:p>
        </w:tc>
      </w:tr>
      <w:tr w:rsidR="00835F91" w:rsidRPr="00B91350" w14:paraId="0A7F32E5" w14:textId="77777777">
        <w:tc>
          <w:tcPr>
            <w:tcW w:w="4678" w:type="dxa"/>
          </w:tcPr>
          <w:p w14:paraId="006B8DF2" w14:textId="77777777" w:rsidR="00F322A9" w:rsidRPr="00E2754A" w:rsidRDefault="00F322A9" w:rsidP="00D5019B">
            <w:pPr>
              <w:rPr>
                <w:rFonts w:ascii="Arial" w:hAnsi="Arial" w:cs="Arial"/>
              </w:rPr>
            </w:pPr>
            <w:r w:rsidRPr="00E2754A">
              <w:rPr>
                <w:rFonts w:ascii="Arial" w:hAnsi="Arial" w:cs="Arial"/>
              </w:rPr>
              <w:t>Level of Reserves/Net expenditure</w:t>
            </w:r>
          </w:p>
        </w:tc>
        <w:tc>
          <w:tcPr>
            <w:tcW w:w="1449" w:type="dxa"/>
            <w:shd w:val="clear" w:color="auto" w:fill="FF0000"/>
            <w:vAlign w:val="center"/>
          </w:tcPr>
          <w:p w14:paraId="393133C3" w14:textId="30BA9741" w:rsidR="00F322A9" w:rsidRDefault="002A28BD" w:rsidP="00D5019B">
            <w:pPr>
              <w:jc w:val="right"/>
              <w:rPr>
                <w:rStyle w:val="normaltextrun"/>
                <w:rFonts w:ascii="Arial" w:hAnsi="Arial" w:cs="Arial"/>
              </w:rPr>
            </w:pPr>
            <w:r>
              <w:rPr>
                <w:rFonts w:ascii="Arial" w:hAnsi="Arial" w:cs="Arial"/>
              </w:rPr>
              <w:t>78.20</w:t>
            </w:r>
            <w:r w:rsidR="00F322A9" w:rsidRPr="00C9006D">
              <w:rPr>
                <w:rFonts w:ascii="Arial" w:hAnsi="Arial" w:cs="Arial"/>
              </w:rPr>
              <w:t>%</w:t>
            </w:r>
          </w:p>
        </w:tc>
        <w:tc>
          <w:tcPr>
            <w:tcW w:w="1499" w:type="dxa"/>
            <w:tcBorders>
              <w:top w:val="single" w:sz="4" w:space="0" w:color="auto"/>
              <w:left w:val="single" w:sz="4" w:space="0" w:color="auto"/>
              <w:bottom w:val="single" w:sz="4" w:space="0" w:color="auto"/>
              <w:right w:val="single" w:sz="4" w:space="0" w:color="auto"/>
            </w:tcBorders>
            <w:shd w:val="clear" w:color="auto" w:fill="FF0000"/>
            <w:vAlign w:val="center"/>
          </w:tcPr>
          <w:p w14:paraId="2F9B982F" w14:textId="77777777" w:rsidR="00F322A9" w:rsidRPr="00E2754A" w:rsidRDefault="00F322A9" w:rsidP="00D5019B">
            <w:pPr>
              <w:jc w:val="right"/>
              <w:rPr>
                <w:rFonts w:ascii="Arial" w:hAnsi="Arial" w:cs="Arial"/>
              </w:rPr>
            </w:pPr>
            <w:r>
              <w:rPr>
                <w:rStyle w:val="normaltextrun"/>
                <w:rFonts w:ascii="Arial" w:hAnsi="Arial" w:cs="Arial"/>
              </w:rPr>
              <w:t>82.80%</w:t>
            </w:r>
            <w:r>
              <w:rPr>
                <w:rStyle w:val="eop"/>
                <w:rFonts w:ascii="Arial" w:hAnsi="Arial" w:cs="Arial"/>
              </w:rPr>
              <w:t> </w:t>
            </w:r>
          </w:p>
        </w:tc>
        <w:tc>
          <w:tcPr>
            <w:tcW w:w="1417" w:type="dxa"/>
            <w:shd w:val="clear" w:color="auto" w:fill="FF0000"/>
            <w:vAlign w:val="center"/>
          </w:tcPr>
          <w:p w14:paraId="7F2A07EE" w14:textId="77777777" w:rsidR="00F322A9" w:rsidRPr="00E2754A" w:rsidRDefault="00F322A9" w:rsidP="00D5019B">
            <w:pPr>
              <w:jc w:val="right"/>
              <w:rPr>
                <w:rFonts w:ascii="Arial" w:hAnsi="Arial" w:cs="Arial"/>
              </w:rPr>
            </w:pPr>
            <w:r w:rsidRPr="00E2754A">
              <w:rPr>
                <w:rFonts w:ascii="Arial" w:hAnsi="Arial" w:cs="Arial"/>
              </w:rPr>
              <w:t>84.09%</w:t>
            </w:r>
          </w:p>
        </w:tc>
      </w:tr>
      <w:tr w:rsidR="00835F91" w:rsidRPr="00B91350" w14:paraId="3A8F7E97" w14:textId="77777777">
        <w:tc>
          <w:tcPr>
            <w:tcW w:w="4678" w:type="dxa"/>
          </w:tcPr>
          <w:p w14:paraId="4CD0315D" w14:textId="77777777" w:rsidR="00F322A9" w:rsidRPr="00E2754A" w:rsidRDefault="00F322A9" w:rsidP="00D5019B">
            <w:pPr>
              <w:rPr>
                <w:rFonts w:ascii="Arial" w:hAnsi="Arial" w:cs="Arial"/>
              </w:rPr>
            </w:pPr>
            <w:r w:rsidRPr="00E2754A">
              <w:rPr>
                <w:rFonts w:ascii="Arial" w:hAnsi="Arial" w:cs="Arial"/>
              </w:rPr>
              <w:t>Change In Reserves</w:t>
            </w:r>
          </w:p>
        </w:tc>
        <w:tc>
          <w:tcPr>
            <w:tcW w:w="1449" w:type="dxa"/>
            <w:shd w:val="clear" w:color="auto" w:fill="FFC000"/>
            <w:vAlign w:val="center"/>
          </w:tcPr>
          <w:p w14:paraId="6A02A323" w14:textId="30617F73" w:rsidR="00F322A9" w:rsidRDefault="00E0442E" w:rsidP="00D5019B">
            <w:pPr>
              <w:jc w:val="right"/>
              <w:rPr>
                <w:rStyle w:val="normaltextrun"/>
                <w:rFonts w:ascii="Arial" w:hAnsi="Arial" w:cs="Arial"/>
              </w:rPr>
            </w:pPr>
            <w:r>
              <w:rPr>
                <w:rFonts w:ascii="Arial" w:hAnsi="Arial" w:cs="Arial"/>
              </w:rPr>
              <w:t>(4.60)</w:t>
            </w:r>
            <w:r w:rsidR="00F322A9" w:rsidRPr="00C9006D">
              <w:rPr>
                <w:rFonts w:ascii="Arial" w:hAnsi="Arial" w:cs="Arial"/>
              </w:rPr>
              <w:t>%</w:t>
            </w:r>
          </w:p>
        </w:tc>
        <w:tc>
          <w:tcPr>
            <w:tcW w:w="1499" w:type="dxa"/>
            <w:tcBorders>
              <w:top w:val="single" w:sz="4" w:space="0" w:color="auto"/>
              <w:left w:val="single" w:sz="4" w:space="0" w:color="auto"/>
              <w:bottom w:val="single" w:sz="4" w:space="0" w:color="auto"/>
              <w:right w:val="single" w:sz="4" w:space="0" w:color="auto"/>
            </w:tcBorders>
            <w:shd w:val="clear" w:color="auto" w:fill="FF0000"/>
            <w:vAlign w:val="center"/>
          </w:tcPr>
          <w:p w14:paraId="02395434" w14:textId="77777777" w:rsidR="00F322A9" w:rsidRPr="00E2754A" w:rsidRDefault="00F322A9" w:rsidP="00D5019B">
            <w:pPr>
              <w:jc w:val="right"/>
              <w:rPr>
                <w:rFonts w:ascii="Arial" w:hAnsi="Arial" w:cs="Arial"/>
              </w:rPr>
            </w:pPr>
            <w:r>
              <w:rPr>
                <w:rStyle w:val="normaltextrun"/>
                <w:rFonts w:ascii="Arial" w:hAnsi="Arial" w:cs="Arial"/>
              </w:rPr>
              <w:t>(53.03)%</w:t>
            </w:r>
            <w:r>
              <w:rPr>
                <w:rStyle w:val="eop"/>
                <w:rFonts w:ascii="Arial" w:hAnsi="Arial" w:cs="Arial"/>
              </w:rPr>
              <w:t> </w:t>
            </w:r>
          </w:p>
        </w:tc>
        <w:tc>
          <w:tcPr>
            <w:tcW w:w="1417" w:type="dxa"/>
            <w:shd w:val="clear" w:color="auto" w:fill="FFC000"/>
            <w:vAlign w:val="center"/>
          </w:tcPr>
          <w:p w14:paraId="6C60043D" w14:textId="77777777" w:rsidR="00F322A9" w:rsidRPr="00E2754A" w:rsidRDefault="00F322A9" w:rsidP="00D5019B">
            <w:pPr>
              <w:jc w:val="right"/>
              <w:rPr>
                <w:rFonts w:ascii="Arial" w:hAnsi="Arial" w:cs="Arial"/>
              </w:rPr>
            </w:pPr>
            <w:r w:rsidRPr="00E2754A">
              <w:rPr>
                <w:rFonts w:ascii="Arial" w:hAnsi="Arial" w:cs="Arial"/>
              </w:rPr>
              <w:t>(24.81)%</w:t>
            </w:r>
          </w:p>
        </w:tc>
      </w:tr>
      <w:tr w:rsidR="00835F91" w:rsidRPr="00B91350" w14:paraId="5DDEAD91" w14:textId="77777777" w:rsidTr="00E0442E">
        <w:tc>
          <w:tcPr>
            <w:tcW w:w="4678" w:type="dxa"/>
          </w:tcPr>
          <w:p w14:paraId="2DF83CF3" w14:textId="77777777" w:rsidR="00F322A9" w:rsidRPr="00E2754A" w:rsidRDefault="00F322A9" w:rsidP="00D5019B">
            <w:pPr>
              <w:rPr>
                <w:rFonts w:ascii="Arial" w:hAnsi="Arial" w:cs="Arial"/>
              </w:rPr>
            </w:pPr>
            <w:r w:rsidRPr="00E2754A">
              <w:rPr>
                <w:rFonts w:ascii="Arial" w:hAnsi="Arial" w:cs="Arial"/>
              </w:rPr>
              <w:t>Interest Payable/ Net Revenue Expenditure</w:t>
            </w:r>
          </w:p>
        </w:tc>
        <w:tc>
          <w:tcPr>
            <w:tcW w:w="1449" w:type="dxa"/>
            <w:shd w:val="clear" w:color="auto" w:fill="FFC000"/>
            <w:vAlign w:val="center"/>
          </w:tcPr>
          <w:p w14:paraId="274704CE" w14:textId="075F317F" w:rsidR="00F322A9" w:rsidRDefault="00F322A9" w:rsidP="00D5019B">
            <w:pPr>
              <w:jc w:val="right"/>
              <w:rPr>
                <w:rStyle w:val="normaltextrun"/>
                <w:rFonts w:ascii="Arial" w:hAnsi="Arial" w:cs="Arial"/>
              </w:rPr>
            </w:pPr>
            <w:r w:rsidRPr="00C9006D">
              <w:rPr>
                <w:rFonts w:ascii="Arial" w:hAnsi="Arial" w:cs="Arial"/>
              </w:rPr>
              <w:t>27.</w:t>
            </w:r>
            <w:r w:rsidR="00E0442E">
              <w:rPr>
                <w:rFonts w:ascii="Arial" w:hAnsi="Arial" w:cs="Arial"/>
              </w:rPr>
              <w:t>47</w:t>
            </w:r>
            <w:r w:rsidRPr="00C9006D">
              <w:rPr>
                <w:rFonts w:ascii="Arial" w:hAnsi="Arial" w:cs="Arial"/>
              </w:rPr>
              <w:t>%</w:t>
            </w:r>
          </w:p>
        </w:tc>
        <w:tc>
          <w:tcPr>
            <w:tcW w:w="1499" w:type="dxa"/>
            <w:tcBorders>
              <w:top w:val="single" w:sz="4" w:space="0" w:color="auto"/>
              <w:left w:val="single" w:sz="4" w:space="0" w:color="auto"/>
              <w:bottom w:val="single" w:sz="4" w:space="0" w:color="auto"/>
              <w:right w:val="single" w:sz="4" w:space="0" w:color="auto"/>
            </w:tcBorders>
            <w:shd w:val="clear" w:color="auto" w:fill="FFC000"/>
            <w:vAlign w:val="center"/>
          </w:tcPr>
          <w:p w14:paraId="6A901419" w14:textId="77777777" w:rsidR="00F322A9" w:rsidRPr="00E2754A" w:rsidRDefault="00F322A9" w:rsidP="00D5019B">
            <w:pPr>
              <w:jc w:val="right"/>
              <w:rPr>
                <w:rFonts w:ascii="Arial" w:hAnsi="Arial" w:cs="Arial"/>
              </w:rPr>
            </w:pPr>
            <w:r>
              <w:rPr>
                <w:rStyle w:val="normaltextrun"/>
                <w:rFonts w:ascii="Arial" w:hAnsi="Arial" w:cs="Arial"/>
              </w:rPr>
              <w:t>26.15%</w:t>
            </w:r>
            <w:r>
              <w:rPr>
                <w:rStyle w:val="eop"/>
                <w:rFonts w:ascii="Arial" w:hAnsi="Arial" w:cs="Arial"/>
              </w:rPr>
              <w:t> </w:t>
            </w:r>
          </w:p>
        </w:tc>
        <w:tc>
          <w:tcPr>
            <w:tcW w:w="1417" w:type="dxa"/>
            <w:shd w:val="clear" w:color="auto" w:fill="FFC000"/>
            <w:vAlign w:val="center"/>
          </w:tcPr>
          <w:p w14:paraId="345FE4F0" w14:textId="77777777" w:rsidR="00F322A9" w:rsidRPr="00E2754A" w:rsidRDefault="00F322A9" w:rsidP="00D5019B">
            <w:pPr>
              <w:jc w:val="right"/>
              <w:rPr>
                <w:rFonts w:ascii="Arial" w:hAnsi="Arial" w:cs="Arial"/>
              </w:rPr>
            </w:pPr>
            <w:r w:rsidRPr="00E2754A">
              <w:rPr>
                <w:rFonts w:ascii="Arial" w:hAnsi="Arial" w:cs="Arial"/>
              </w:rPr>
              <w:t>23.94%</w:t>
            </w:r>
          </w:p>
        </w:tc>
      </w:tr>
      <w:tr w:rsidR="00835F91" w:rsidRPr="00B91350" w14:paraId="74F7ABE4" w14:textId="77777777" w:rsidTr="00C639DF">
        <w:tc>
          <w:tcPr>
            <w:tcW w:w="4678" w:type="dxa"/>
          </w:tcPr>
          <w:p w14:paraId="42B58079" w14:textId="77777777" w:rsidR="00F322A9" w:rsidRPr="00E2754A" w:rsidRDefault="00F322A9" w:rsidP="00D5019B">
            <w:pPr>
              <w:rPr>
                <w:rFonts w:ascii="Arial" w:hAnsi="Arial" w:cs="Arial"/>
              </w:rPr>
            </w:pPr>
            <w:r w:rsidRPr="00E2754A">
              <w:rPr>
                <w:rFonts w:ascii="Arial" w:hAnsi="Arial" w:cs="Arial"/>
              </w:rPr>
              <w:t>Gross External Debt</w:t>
            </w:r>
          </w:p>
        </w:tc>
        <w:tc>
          <w:tcPr>
            <w:tcW w:w="1449" w:type="dxa"/>
            <w:shd w:val="clear" w:color="auto" w:fill="FFC000"/>
            <w:vAlign w:val="center"/>
          </w:tcPr>
          <w:p w14:paraId="480E71E8" w14:textId="4CEB1731" w:rsidR="00F322A9" w:rsidRDefault="00F322A9" w:rsidP="00D5019B">
            <w:pPr>
              <w:jc w:val="right"/>
              <w:rPr>
                <w:rStyle w:val="normaltextrun"/>
                <w:rFonts w:ascii="Arial" w:hAnsi="Arial" w:cs="Arial"/>
              </w:rPr>
            </w:pPr>
            <w:r w:rsidRPr="00C9006D">
              <w:rPr>
                <w:rFonts w:ascii="Arial" w:hAnsi="Arial" w:cs="Arial"/>
              </w:rPr>
              <w:t>£</w:t>
            </w:r>
            <w:r w:rsidR="00E0442E">
              <w:rPr>
                <w:rFonts w:ascii="Arial" w:hAnsi="Arial" w:cs="Arial"/>
              </w:rPr>
              <w:t>121.962</w:t>
            </w:r>
            <w:r w:rsidR="00C639DF">
              <w:rPr>
                <w:rFonts w:ascii="Arial" w:hAnsi="Arial" w:cs="Arial"/>
              </w:rPr>
              <w:t>m</w:t>
            </w:r>
          </w:p>
        </w:tc>
        <w:tc>
          <w:tcPr>
            <w:tcW w:w="1499" w:type="dxa"/>
            <w:tcBorders>
              <w:top w:val="single" w:sz="4" w:space="0" w:color="auto"/>
              <w:left w:val="single" w:sz="4" w:space="0" w:color="auto"/>
              <w:bottom w:val="single" w:sz="4" w:space="0" w:color="auto"/>
              <w:right w:val="single" w:sz="4" w:space="0" w:color="auto"/>
            </w:tcBorders>
            <w:shd w:val="clear" w:color="auto" w:fill="FFC000"/>
            <w:vAlign w:val="center"/>
          </w:tcPr>
          <w:p w14:paraId="6D34A3DA" w14:textId="77777777" w:rsidR="00F322A9" w:rsidRPr="00E2754A" w:rsidRDefault="00F322A9" w:rsidP="00D5019B">
            <w:pPr>
              <w:jc w:val="right"/>
              <w:rPr>
                <w:rFonts w:ascii="Arial" w:hAnsi="Arial" w:cs="Arial"/>
              </w:rPr>
            </w:pPr>
            <w:r>
              <w:rPr>
                <w:rStyle w:val="normaltextrun"/>
                <w:rFonts w:ascii="Arial" w:hAnsi="Arial" w:cs="Arial"/>
              </w:rPr>
              <w:t>£107.742m</w:t>
            </w:r>
            <w:r>
              <w:rPr>
                <w:rStyle w:val="eop"/>
                <w:rFonts w:ascii="Arial" w:hAnsi="Arial" w:cs="Arial"/>
              </w:rPr>
              <w:t> </w:t>
            </w:r>
          </w:p>
        </w:tc>
        <w:tc>
          <w:tcPr>
            <w:tcW w:w="1417" w:type="dxa"/>
            <w:shd w:val="clear" w:color="auto" w:fill="FFC000"/>
            <w:vAlign w:val="center"/>
          </w:tcPr>
          <w:p w14:paraId="177EC27B" w14:textId="77777777" w:rsidR="00F322A9" w:rsidRPr="00E2754A" w:rsidRDefault="00F322A9" w:rsidP="00D5019B">
            <w:pPr>
              <w:jc w:val="right"/>
              <w:rPr>
                <w:rFonts w:ascii="Arial" w:hAnsi="Arial" w:cs="Arial"/>
              </w:rPr>
            </w:pPr>
            <w:r w:rsidRPr="00E2754A">
              <w:rPr>
                <w:rFonts w:ascii="Arial" w:hAnsi="Arial" w:cs="Arial"/>
              </w:rPr>
              <w:t>£106.957m</w:t>
            </w:r>
          </w:p>
        </w:tc>
      </w:tr>
      <w:tr w:rsidR="00835F91" w:rsidRPr="00B91350" w14:paraId="6E068550" w14:textId="77777777">
        <w:tc>
          <w:tcPr>
            <w:tcW w:w="4678" w:type="dxa"/>
          </w:tcPr>
          <w:p w14:paraId="5C8A4768" w14:textId="77777777" w:rsidR="00F322A9" w:rsidRPr="00E2754A" w:rsidRDefault="00F322A9" w:rsidP="00D5019B">
            <w:pPr>
              <w:rPr>
                <w:rFonts w:ascii="Arial" w:hAnsi="Arial" w:cs="Arial"/>
              </w:rPr>
            </w:pPr>
            <w:r w:rsidRPr="00E2754A">
              <w:rPr>
                <w:rFonts w:ascii="Arial" w:hAnsi="Arial" w:cs="Arial"/>
              </w:rPr>
              <w:t>Unallocated Reserves/ Net Revenue Expenditure</w:t>
            </w:r>
          </w:p>
        </w:tc>
        <w:tc>
          <w:tcPr>
            <w:tcW w:w="1449" w:type="dxa"/>
            <w:shd w:val="clear" w:color="auto" w:fill="FFC000"/>
            <w:vAlign w:val="center"/>
          </w:tcPr>
          <w:p w14:paraId="3FE24B1B" w14:textId="7D15D213" w:rsidR="00F322A9" w:rsidRDefault="002C2A3D" w:rsidP="00D5019B">
            <w:pPr>
              <w:jc w:val="right"/>
              <w:rPr>
                <w:rStyle w:val="normaltextrun"/>
                <w:rFonts w:ascii="Arial" w:hAnsi="Arial" w:cs="Arial"/>
              </w:rPr>
            </w:pPr>
            <w:r>
              <w:rPr>
                <w:rFonts w:ascii="Arial" w:hAnsi="Arial" w:cs="Arial"/>
              </w:rPr>
              <w:t>17.32</w:t>
            </w:r>
            <w:r w:rsidR="00F322A9" w:rsidRPr="00C9006D">
              <w:rPr>
                <w:rFonts w:ascii="Arial" w:hAnsi="Arial" w:cs="Arial"/>
              </w:rPr>
              <w:t>%</w:t>
            </w:r>
          </w:p>
        </w:tc>
        <w:tc>
          <w:tcPr>
            <w:tcW w:w="1499" w:type="dxa"/>
            <w:tcBorders>
              <w:top w:val="single" w:sz="4" w:space="0" w:color="auto"/>
              <w:left w:val="single" w:sz="4" w:space="0" w:color="auto"/>
              <w:bottom w:val="single" w:sz="4" w:space="0" w:color="auto"/>
              <w:right w:val="single" w:sz="4" w:space="0" w:color="auto"/>
            </w:tcBorders>
            <w:shd w:val="clear" w:color="auto" w:fill="FFC000"/>
            <w:vAlign w:val="center"/>
          </w:tcPr>
          <w:p w14:paraId="67681AFB" w14:textId="77777777" w:rsidR="00F322A9" w:rsidRPr="00E2754A" w:rsidRDefault="00F322A9" w:rsidP="00D5019B">
            <w:pPr>
              <w:jc w:val="right"/>
              <w:rPr>
                <w:rFonts w:ascii="Arial" w:hAnsi="Arial" w:cs="Arial"/>
              </w:rPr>
            </w:pPr>
            <w:r>
              <w:rPr>
                <w:rStyle w:val="normaltextrun"/>
                <w:rFonts w:ascii="Arial" w:hAnsi="Arial" w:cs="Arial"/>
              </w:rPr>
              <w:t>16.13%</w:t>
            </w:r>
            <w:r>
              <w:rPr>
                <w:rStyle w:val="eop"/>
                <w:rFonts w:ascii="Arial" w:hAnsi="Arial" w:cs="Arial"/>
              </w:rPr>
              <w:t> </w:t>
            </w:r>
          </w:p>
        </w:tc>
        <w:tc>
          <w:tcPr>
            <w:tcW w:w="1417" w:type="dxa"/>
            <w:shd w:val="clear" w:color="auto" w:fill="FFC000"/>
            <w:vAlign w:val="center"/>
          </w:tcPr>
          <w:p w14:paraId="1FDFF6A9" w14:textId="77777777" w:rsidR="00F322A9" w:rsidRPr="00E2754A" w:rsidRDefault="00F322A9" w:rsidP="00D5019B">
            <w:pPr>
              <w:jc w:val="right"/>
              <w:rPr>
                <w:rFonts w:ascii="Arial" w:hAnsi="Arial" w:cs="Arial"/>
              </w:rPr>
            </w:pPr>
            <w:r w:rsidRPr="00E2754A">
              <w:rPr>
                <w:rFonts w:ascii="Arial" w:hAnsi="Arial" w:cs="Arial"/>
              </w:rPr>
              <w:t>16.35%</w:t>
            </w:r>
          </w:p>
        </w:tc>
      </w:tr>
      <w:tr w:rsidR="00835F91" w:rsidRPr="00B91350" w14:paraId="12309626" w14:textId="77777777" w:rsidTr="008756E4">
        <w:tc>
          <w:tcPr>
            <w:tcW w:w="4678" w:type="dxa"/>
          </w:tcPr>
          <w:p w14:paraId="0B3538B0" w14:textId="77777777" w:rsidR="00F322A9" w:rsidRPr="00E2754A" w:rsidRDefault="00F322A9" w:rsidP="00D5019B">
            <w:pPr>
              <w:rPr>
                <w:rFonts w:ascii="Arial" w:hAnsi="Arial" w:cs="Arial"/>
              </w:rPr>
            </w:pPr>
            <w:r w:rsidRPr="00E2754A">
              <w:rPr>
                <w:rFonts w:ascii="Arial" w:hAnsi="Arial" w:cs="Arial"/>
              </w:rPr>
              <w:t>Earmarked Reserves/ Net Revenue Expenditure</w:t>
            </w:r>
          </w:p>
        </w:tc>
        <w:tc>
          <w:tcPr>
            <w:tcW w:w="1449" w:type="dxa"/>
            <w:shd w:val="clear" w:color="auto" w:fill="FF0000"/>
            <w:vAlign w:val="center"/>
          </w:tcPr>
          <w:p w14:paraId="13CC7DB3" w14:textId="3EB577D9" w:rsidR="00F322A9" w:rsidRDefault="002C2A3D" w:rsidP="00D5019B">
            <w:pPr>
              <w:jc w:val="right"/>
              <w:rPr>
                <w:rStyle w:val="normaltextrun"/>
                <w:rFonts w:ascii="Arial" w:hAnsi="Arial" w:cs="Arial"/>
              </w:rPr>
            </w:pPr>
            <w:r>
              <w:rPr>
                <w:rFonts w:ascii="Arial" w:hAnsi="Arial" w:cs="Arial"/>
              </w:rPr>
              <w:t>60.88</w:t>
            </w:r>
            <w:r w:rsidR="00F322A9" w:rsidRPr="00C9006D">
              <w:rPr>
                <w:rFonts w:ascii="Arial" w:hAnsi="Arial" w:cs="Arial"/>
              </w:rPr>
              <w:t>%</w:t>
            </w:r>
          </w:p>
        </w:tc>
        <w:tc>
          <w:tcPr>
            <w:tcW w:w="1499" w:type="dxa"/>
            <w:tcBorders>
              <w:top w:val="single" w:sz="4" w:space="0" w:color="auto"/>
              <w:left w:val="single" w:sz="4" w:space="0" w:color="auto"/>
              <w:bottom w:val="single" w:sz="4" w:space="0" w:color="auto"/>
              <w:right w:val="single" w:sz="4" w:space="0" w:color="auto"/>
            </w:tcBorders>
            <w:shd w:val="clear" w:color="auto" w:fill="EE0000"/>
            <w:vAlign w:val="center"/>
          </w:tcPr>
          <w:p w14:paraId="26FEF3A0" w14:textId="77777777" w:rsidR="00F322A9" w:rsidRPr="00E2754A" w:rsidRDefault="00F322A9" w:rsidP="00D5019B">
            <w:pPr>
              <w:jc w:val="right"/>
              <w:rPr>
                <w:rFonts w:ascii="Arial" w:hAnsi="Arial" w:cs="Arial"/>
              </w:rPr>
            </w:pPr>
            <w:r>
              <w:rPr>
                <w:rStyle w:val="normaltextrun"/>
                <w:rFonts w:ascii="Arial" w:hAnsi="Arial" w:cs="Arial"/>
              </w:rPr>
              <w:t>66.67%</w:t>
            </w:r>
            <w:r>
              <w:rPr>
                <w:rStyle w:val="eop"/>
                <w:rFonts w:ascii="Arial" w:hAnsi="Arial" w:cs="Arial"/>
              </w:rPr>
              <w:t> </w:t>
            </w:r>
          </w:p>
        </w:tc>
        <w:tc>
          <w:tcPr>
            <w:tcW w:w="1417" w:type="dxa"/>
            <w:shd w:val="clear" w:color="auto" w:fill="EE0000"/>
            <w:vAlign w:val="center"/>
          </w:tcPr>
          <w:p w14:paraId="1DD5126D" w14:textId="77777777" w:rsidR="00F322A9" w:rsidRPr="00E2754A" w:rsidRDefault="00F322A9" w:rsidP="00D5019B">
            <w:pPr>
              <w:jc w:val="right"/>
              <w:rPr>
                <w:rFonts w:ascii="Arial" w:hAnsi="Arial" w:cs="Arial"/>
              </w:rPr>
            </w:pPr>
            <w:r w:rsidRPr="00E2754A">
              <w:rPr>
                <w:rFonts w:ascii="Arial" w:hAnsi="Arial" w:cs="Arial"/>
              </w:rPr>
              <w:t>67.74%</w:t>
            </w:r>
          </w:p>
        </w:tc>
      </w:tr>
      <w:tr w:rsidR="00835F91" w:rsidRPr="00B91350" w14:paraId="1F2D9C8B" w14:textId="77777777" w:rsidTr="002A28BD">
        <w:tc>
          <w:tcPr>
            <w:tcW w:w="4678" w:type="dxa"/>
          </w:tcPr>
          <w:p w14:paraId="6CFCEC45" w14:textId="77777777" w:rsidR="00F322A9" w:rsidRPr="00E2754A" w:rsidRDefault="00F322A9" w:rsidP="00D5019B">
            <w:pPr>
              <w:rPr>
                <w:rFonts w:ascii="Arial" w:hAnsi="Arial" w:cs="Arial"/>
              </w:rPr>
            </w:pPr>
            <w:r w:rsidRPr="00E2754A">
              <w:rPr>
                <w:rFonts w:ascii="Arial" w:hAnsi="Arial" w:cs="Arial"/>
              </w:rPr>
              <w:t>Change in Unallocated Reserves</w:t>
            </w:r>
          </w:p>
        </w:tc>
        <w:tc>
          <w:tcPr>
            <w:tcW w:w="1449" w:type="dxa"/>
            <w:shd w:val="clear" w:color="auto" w:fill="EE0000"/>
            <w:vAlign w:val="center"/>
          </w:tcPr>
          <w:p w14:paraId="3E01034F" w14:textId="5387404C" w:rsidR="00F322A9" w:rsidRDefault="002C2A3D" w:rsidP="00D5019B">
            <w:pPr>
              <w:jc w:val="right"/>
              <w:rPr>
                <w:rStyle w:val="normaltextrun"/>
                <w:rFonts w:ascii="Arial" w:hAnsi="Arial" w:cs="Arial"/>
              </w:rPr>
            </w:pPr>
            <w:r>
              <w:rPr>
                <w:rFonts w:ascii="Arial" w:hAnsi="Arial" w:cs="Arial"/>
              </w:rPr>
              <w:t>(</w:t>
            </w:r>
            <w:r w:rsidR="002A28BD">
              <w:rPr>
                <w:rFonts w:ascii="Arial" w:hAnsi="Arial" w:cs="Arial"/>
              </w:rPr>
              <w:t>35.22)</w:t>
            </w:r>
            <w:r w:rsidR="00F322A9" w:rsidRPr="00C9006D">
              <w:rPr>
                <w:rFonts w:ascii="Arial" w:hAnsi="Arial" w:cs="Arial"/>
              </w:rPr>
              <w:t>%</w:t>
            </w:r>
          </w:p>
        </w:tc>
        <w:tc>
          <w:tcPr>
            <w:tcW w:w="1499" w:type="dxa"/>
            <w:tcBorders>
              <w:top w:val="single" w:sz="4" w:space="0" w:color="auto"/>
              <w:left w:val="single" w:sz="4" w:space="0" w:color="auto"/>
              <w:bottom w:val="single" w:sz="4" w:space="0" w:color="auto"/>
              <w:right w:val="single" w:sz="4" w:space="0" w:color="auto"/>
            </w:tcBorders>
            <w:shd w:val="clear" w:color="auto" w:fill="EE0000"/>
            <w:vAlign w:val="center"/>
          </w:tcPr>
          <w:p w14:paraId="47E8CB6F" w14:textId="77777777" w:rsidR="00F322A9" w:rsidRPr="00E2754A" w:rsidRDefault="00F322A9" w:rsidP="00D5019B">
            <w:pPr>
              <w:jc w:val="right"/>
              <w:rPr>
                <w:rFonts w:ascii="Arial" w:hAnsi="Arial" w:cs="Arial"/>
              </w:rPr>
            </w:pPr>
            <w:r>
              <w:rPr>
                <w:rStyle w:val="normaltextrun"/>
                <w:rFonts w:ascii="Arial" w:hAnsi="Arial" w:cs="Arial"/>
              </w:rPr>
              <w:t>(46.18)% *</w:t>
            </w:r>
            <w:r>
              <w:rPr>
                <w:rStyle w:val="eop"/>
                <w:rFonts w:ascii="Arial" w:hAnsi="Arial" w:cs="Arial"/>
              </w:rPr>
              <w:t> </w:t>
            </w:r>
          </w:p>
        </w:tc>
        <w:tc>
          <w:tcPr>
            <w:tcW w:w="1417" w:type="dxa"/>
            <w:shd w:val="clear" w:color="auto" w:fill="00B050"/>
            <w:vAlign w:val="center"/>
          </w:tcPr>
          <w:p w14:paraId="48D14414" w14:textId="77777777" w:rsidR="00F322A9" w:rsidRPr="00E2754A" w:rsidRDefault="00F322A9" w:rsidP="00D5019B">
            <w:pPr>
              <w:jc w:val="right"/>
              <w:rPr>
                <w:rFonts w:ascii="Arial" w:hAnsi="Arial" w:cs="Arial"/>
              </w:rPr>
            </w:pPr>
            <w:r w:rsidRPr="00E2754A">
              <w:rPr>
                <w:rFonts w:ascii="Arial" w:hAnsi="Arial" w:cs="Arial"/>
              </w:rPr>
              <w:t>8.58%</w:t>
            </w:r>
          </w:p>
        </w:tc>
      </w:tr>
      <w:tr w:rsidR="00835F91" w:rsidRPr="00B91350" w14:paraId="33D10178" w14:textId="77777777">
        <w:tc>
          <w:tcPr>
            <w:tcW w:w="4678" w:type="dxa"/>
          </w:tcPr>
          <w:p w14:paraId="33DB3BD7" w14:textId="77777777" w:rsidR="00F322A9" w:rsidRPr="00E2754A" w:rsidRDefault="00F322A9" w:rsidP="00D5019B">
            <w:pPr>
              <w:rPr>
                <w:rFonts w:ascii="Arial" w:hAnsi="Arial" w:cs="Arial"/>
              </w:rPr>
            </w:pPr>
            <w:r w:rsidRPr="00E2754A">
              <w:rPr>
                <w:rFonts w:ascii="Arial" w:hAnsi="Arial" w:cs="Arial"/>
              </w:rPr>
              <w:t>Change in Earmarked Reserves</w:t>
            </w:r>
          </w:p>
        </w:tc>
        <w:tc>
          <w:tcPr>
            <w:tcW w:w="1449" w:type="dxa"/>
            <w:shd w:val="clear" w:color="auto" w:fill="FFC000"/>
            <w:vAlign w:val="center"/>
          </w:tcPr>
          <w:p w14:paraId="7C937B8C" w14:textId="1EC92BEB" w:rsidR="00F322A9" w:rsidRDefault="002A28BD" w:rsidP="00D5019B">
            <w:pPr>
              <w:jc w:val="right"/>
              <w:rPr>
                <w:rStyle w:val="normaltextrun"/>
                <w:rFonts w:ascii="Arial" w:hAnsi="Arial" w:cs="Arial"/>
              </w:rPr>
            </w:pPr>
            <w:r>
              <w:rPr>
                <w:rFonts w:ascii="Arial" w:hAnsi="Arial" w:cs="Arial"/>
              </w:rPr>
              <w:t>10.22</w:t>
            </w:r>
            <w:r w:rsidR="00F322A9" w:rsidRPr="00C9006D">
              <w:rPr>
                <w:rFonts w:ascii="Arial" w:hAnsi="Arial" w:cs="Arial"/>
              </w:rPr>
              <w:t>%</w:t>
            </w:r>
          </w:p>
        </w:tc>
        <w:tc>
          <w:tcPr>
            <w:tcW w:w="1499" w:type="dxa"/>
            <w:tcBorders>
              <w:top w:val="single" w:sz="4" w:space="0" w:color="auto"/>
              <w:left w:val="single" w:sz="4" w:space="0" w:color="auto"/>
              <w:bottom w:val="single" w:sz="4" w:space="0" w:color="auto"/>
              <w:right w:val="single" w:sz="4" w:space="0" w:color="auto"/>
            </w:tcBorders>
            <w:shd w:val="clear" w:color="auto" w:fill="FF0000"/>
            <w:vAlign w:val="center"/>
          </w:tcPr>
          <w:p w14:paraId="40F79EE6" w14:textId="77777777" w:rsidR="00F322A9" w:rsidRPr="00E2754A" w:rsidRDefault="00F322A9" w:rsidP="00D5019B">
            <w:pPr>
              <w:jc w:val="right"/>
              <w:rPr>
                <w:rFonts w:ascii="Arial" w:hAnsi="Arial" w:cs="Arial"/>
              </w:rPr>
            </w:pPr>
            <w:r>
              <w:rPr>
                <w:rStyle w:val="normaltextrun"/>
                <w:rFonts w:ascii="Arial" w:hAnsi="Arial" w:cs="Arial"/>
              </w:rPr>
              <w:t>(54.43)% *</w:t>
            </w:r>
            <w:r>
              <w:rPr>
                <w:rStyle w:val="eop"/>
                <w:rFonts w:ascii="Arial" w:hAnsi="Arial" w:cs="Arial"/>
              </w:rPr>
              <w:t> </w:t>
            </w:r>
          </w:p>
        </w:tc>
        <w:tc>
          <w:tcPr>
            <w:tcW w:w="1417" w:type="dxa"/>
            <w:shd w:val="clear" w:color="auto" w:fill="FFC000"/>
            <w:vAlign w:val="center"/>
          </w:tcPr>
          <w:p w14:paraId="7697ACE7" w14:textId="77777777" w:rsidR="00F322A9" w:rsidRPr="00E2754A" w:rsidRDefault="00F322A9" w:rsidP="00D5019B">
            <w:pPr>
              <w:jc w:val="right"/>
              <w:rPr>
                <w:rFonts w:ascii="Arial" w:hAnsi="Arial" w:cs="Arial"/>
              </w:rPr>
            </w:pPr>
            <w:r w:rsidRPr="00E2754A">
              <w:rPr>
                <w:rFonts w:ascii="Arial" w:hAnsi="Arial" w:cs="Arial"/>
              </w:rPr>
              <w:t>(39.43)%</w:t>
            </w:r>
          </w:p>
        </w:tc>
      </w:tr>
      <w:tr w:rsidR="00835F91" w:rsidRPr="00B91350" w14:paraId="63946E01" w14:textId="77777777">
        <w:tc>
          <w:tcPr>
            <w:tcW w:w="4678" w:type="dxa"/>
          </w:tcPr>
          <w:p w14:paraId="743233A1" w14:textId="77777777" w:rsidR="00F322A9" w:rsidRPr="00E2754A" w:rsidRDefault="00F322A9" w:rsidP="00D5019B">
            <w:pPr>
              <w:rPr>
                <w:rFonts w:ascii="Arial" w:hAnsi="Arial" w:cs="Arial"/>
              </w:rPr>
            </w:pPr>
            <w:r w:rsidRPr="00E2754A">
              <w:rPr>
                <w:rFonts w:ascii="Arial" w:hAnsi="Arial" w:cs="Arial"/>
              </w:rPr>
              <w:t>Change in HRA Reserves</w:t>
            </w:r>
          </w:p>
        </w:tc>
        <w:tc>
          <w:tcPr>
            <w:tcW w:w="1449" w:type="dxa"/>
            <w:shd w:val="clear" w:color="auto" w:fill="00B050"/>
            <w:vAlign w:val="center"/>
          </w:tcPr>
          <w:p w14:paraId="44F39BED" w14:textId="673B9710" w:rsidR="00F322A9" w:rsidRDefault="002A28BD" w:rsidP="00D5019B">
            <w:pPr>
              <w:jc w:val="right"/>
              <w:rPr>
                <w:rStyle w:val="normaltextrun"/>
                <w:rFonts w:ascii="Arial" w:hAnsi="Arial" w:cs="Arial"/>
              </w:rPr>
            </w:pPr>
            <w:r>
              <w:rPr>
                <w:rFonts w:ascii="Arial" w:hAnsi="Arial" w:cs="Arial"/>
              </w:rPr>
              <w:t>118.14</w:t>
            </w:r>
            <w:r w:rsidR="00F322A9" w:rsidRPr="00C9006D">
              <w:rPr>
                <w:rFonts w:ascii="Arial" w:hAnsi="Arial" w:cs="Arial"/>
              </w:rPr>
              <w:t>%</w:t>
            </w:r>
          </w:p>
        </w:tc>
        <w:tc>
          <w:tcPr>
            <w:tcW w:w="1499" w:type="dxa"/>
            <w:tcBorders>
              <w:top w:val="single" w:sz="4" w:space="0" w:color="auto"/>
              <w:left w:val="single" w:sz="4" w:space="0" w:color="auto"/>
              <w:bottom w:val="single" w:sz="4" w:space="0" w:color="auto"/>
              <w:right w:val="single" w:sz="4" w:space="0" w:color="auto"/>
            </w:tcBorders>
            <w:shd w:val="clear" w:color="auto" w:fill="00B050"/>
            <w:vAlign w:val="center"/>
          </w:tcPr>
          <w:p w14:paraId="50B1B76D" w14:textId="77777777" w:rsidR="00F322A9" w:rsidRPr="00E2754A" w:rsidRDefault="00F322A9" w:rsidP="00D5019B">
            <w:pPr>
              <w:jc w:val="right"/>
              <w:rPr>
                <w:rFonts w:ascii="Arial" w:hAnsi="Arial" w:cs="Arial"/>
              </w:rPr>
            </w:pPr>
            <w:r>
              <w:rPr>
                <w:rStyle w:val="normaltextrun"/>
                <w:rFonts w:ascii="Arial" w:hAnsi="Arial" w:cs="Arial"/>
              </w:rPr>
              <w:t>39.94%</w:t>
            </w:r>
            <w:r>
              <w:rPr>
                <w:rStyle w:val="eop"/>
                <w:rFonts w:ascii="Arial" w:hAnsi="Arial" w:cs="Arial"/>
              </w:rPr>
              <w:t> </w:t>
            </w:r>
          </w:p>
        </w:tc>
        <w:tc>
          <w:tcPr>
            <w:tcW w:w="1417" w:type="dxa"/>
            <w:shd w:val="clear" w:color="auto" w:fill="00B050"/>
            <w:vAlign w:val="center"/>
          </w:tcPr>
          <w:p w14:paraId="4CD6B2C1" w14:textId="77777777" w:rsidR="00F322A9" w:rsidRPr="00E2754A" w:rsidRDefault="00F322A9" w:rsidP="00D5019B">
            <w:pPr>
              <w:jc w:val="right"/>
              <w:rPr>
                <w:rFonts w:ascii="Arial" w:hAnsi="Arial" w:cs="Arial"/>
              </w:rPr>
            </w:pPr>
            <w:r w:rsidRPr="00E2754A">
              <w:rPr>
                <w:rFonts w:ascii="Arial" w:hAnsi="Arial" w:cs="Arial"/>
              </w:rPr>
              <w:t>52.45%</w:t>
            </w:r>
          </w:p>
        </w:tc>
      </w:tr>
    </w:tbl>
    <w:p w14:paraId="5DAF8943" w14:textId="77777777" w:rsidR="00F322A9" w:rsidRPr="00B91350" w:rsidRDefault="00F322A9" w:rsidP="00AE2B82">
      <w:pPr>
        <w:jc w:val="both"/>
        <w:rPr>
          <w:rFonts w:ascii="Arial" w:hAnsi="Arial" w:cs="Arial"/>
          <w:highlight w:val="yellow"/>
        </w:rPr>
      </w:pPr>
    </w:p>
    <w:p w14:paraId="51B9014E" w14:textId="77777777" w:rsidR="00F322A9" w:rsidRPr="00F322A9" w:rsidRDefault="00F322A9" w:rsidP="00F322A9">
      <w:pPr>
        <w:jc w:val="both"/>
        <w:rPr>
          <w:rFonts w:ascii="Arial" w:hAnsi="Arial" w:cs="Arial"/>
          <w:bCs/>
          <w:sz w:val="20"/>
          <w:szCs w:val="20"/>
        </w:rPr>
      </w:pPr>
      <w:r w:rsidRPr="00F322A9">
        <w:rPr>
          <w:rFonts w:ascii="Arial" w:hAnsi="Arial" w:cs="Arial"/>
          <w:bCs/>
          <w:sz w:val="20"/>
          <w:szCs w:val="20"/>
        </w:rPr>
        <w:t>* due to an error in submission of data there was a misclassification of reserves between unallocated and earmarked.  Had the correct amounts been submitted unallocated reserves would have changed by (16)% and earmarked reserves would have changed by (57%). </w:t>
      </w:r>
    </w:p>
    <w:p w14:paraId="2E081FD5" w14:textId="77777777" w:rsidR="00E920E6" w:rsidRPr="00B91350" w:rsidRDefault="00E920E6" w:rsidP="00722E8F">
      <w:pPr>
        <w:rPr>
          <w:highlight w:val="yellow"/>
        </w:rPr>
      </w:pPr>
    </w:p>
    <w:p w14:paraId="6262F3DC" w14:textId="0458F48D" w:rsidR="00761B27" w:rsidRPr="000D3AA1" w:rsidRDefault="00E03984" w:rsidP="00AE2B82">
      <w:pPr>
        <w:jc w:val="both"/>
        <w:rPr>
          <w:rFonts w:ascii="Arial" w:hAnsi="Arial" w:cs="Arial"/>
        </w:rPr>
      </w:pPr>
      <w:r>
        <w:rPr>
          <w:rFonts w:ascii="Arial" w:hAnsi="Arial" w:cs="Arial"/>
        </w:rPr>
        <w:t>While</w:t>
      </w:r>
      <w:r w:rsidR="008E2EE8" w:rsidRPr="000D3AA1">
        <w:rPr>
          <w:rFonts w:ascii="Arial" w:hAnsi="Arial" w:cs="Arial"/>
        </w:rPr>
        <w:t xml:space="preserve"> </w:t>
      </w:r>
      <w:r w:rsidR="000F01D1" w:rsidRPr="000D3AA1">
        <w:rPr>
          <w:rFonts w:ascii="Arial" w:hAnsi="Arial" w:cs="Arial"/>
        </w:rPr>
        <w:t>FRI</w:t>
      </w:r>
      <w:r w:rsidR="00ED223E" w:rsidRPr="000D3AA1">
        <w:rPr>
          <w:rFonts w:ascii="Arial" w:hAnsi="Arial" w:cs="Arial"/>
        </w:rPr>
        <w:t xml:space="preserve"> </w:t>
      </w:r>
      <w:r w:rsidRPr="00D642CD">
        <w:rPr>
          <w:rFonts w:ascii="Arial" w:hAnsi="Arial" w:cs="Arial"/>
        </w:rPr>
        <w:t>provide</w:t>
      </w:r>
      <w:r>
        <w:rPr>
          <w:rFonts w:ascii="Arial" w:hAnsi="Arial" w:cs="Arial"/>
        </w:rPr>
        <w:t>s</w:t>
      </w:r>
      <w:r w:rsidRPr="00D642CD">
        <w:rPr>
          <w:rFonts w:ascii="Arial" w:hAnsi="Arial" w:cs="Arial"/>
        </w:rPr>
        <w:t xml:space="preserve"> comparable</w:t>
      </w:r>
      <w:r w:rsidR="008E2EE8" w:rsidRPr="000D3AA1">
        <w:rPr>
          <w:rFonts w:ascii="Arial" w:hAnsi="Arial" w:cs="Arial"/>
        </w:rPr>
        <w:t xml:space="preserve"> data </w:t>
      </w:r>
      <w:r w:rsidRPr="00D642CD">
        <w:rPr>
          <w:rFonts w:ascii="Arial" w:hAnsi="Arial" w:cs="Arial"/>
        </w:rPr>
        <w:t xml:space="preserve">on key financial sustainability measures, there are drawbacks to </w:t>
      </w:r>
      <w:r>
        <w:rPr>
          <w:rFonts w:ascii="Arial" w:hAnsi="Arial" w:cs="Arial"/>
        </w:rPr>
        <w:t>it</w:t>
      </w:r>
      <w:r w:rsidRPr="00D642CD">
        <w:rPr>
          <w:rFonts w:ascii="Arial" w:hAnsi="Arial" w:cs="Arial"/>
        </w:rPr>
        <w:t xml:space="preserve"> on</w:t>
      </w:r>
      <w:r w:rsidR="008E2EE8" w:rsidRPr="000D3AA1">
        <w:rPr>
          <w:rFonts w:ascii="Arial" w:hAnsi="Arial" w:cs="Arial"/>
        </w:rPr>
        <w:t xml:space="preserve"> the </w:t>
      </w:r>
      <w:r w:rsidRPr="00D642CD">
        <w:rPr>
          <w:rFonts w:ascii="Arial" w:hAnsi="Arial" w:cs="Arial"/>
        </w:rPr>
        <w:t>basis that</w:t>
      </w:r>
      <w:r w:rsidR="00ED223E" w:rsidRPr="000D3AA1">
        <w:rPr>
          <w:rFonts w:ascii="Arial" w:hAnsi="Arial" w:cs="Arial"/>
        </w:rPr>
        <w:t xml:space="preserve"> it is very much a </w:t>
      </w:r>
      <w:r w:rsidR="000C53C5" w:rsidRPr="000D3AA1">
        <w:rPr>
          <w:rFonts w:ascii="Arial" w:hAnsi="Arial" w:cs="Arial"/>
        </w:rPr>
        <w:t>backward-looking</w:t>
      </w:r>
      <w:r w:rsidR="00ED223E" w:rsidRPr="000D3AA1">
        <w:rPr>
          <w:rFonts w:ascii="Arial" w:hAnsi="Arial" w:cs="Arial"/>
        </w:rPr>
        <w:t xml:space="preserve"> review, </w:t>
      </w:r>
      <w:r w:rsidR="00E82200">
        <w:rPr>
          <w:rFonts w:ascii="Arial" w:hAnsi="Arial" w:cs="Arial"/>
        </w:rPr>
        <w:t>and as such does not take account of the forward projections in the MTFS - in particular it does not reflect the more positive and sustainable financial position the Council is now in,</w:t>
      </w:r>
      <w:r>
        <w:rPr>
          <w:rFonts w:ascii="Arial" w:hAnsi="Arial" w:cs="Arial"/>
        </w:rPr>
        <w:t xml:space="preserve"> </w:t>
      </w:r>
      <w:r w:rsidR="00E82200" w:rsidRPr="00D642CD">
        <w:rPr>
          <w:rFonts w:ascii="Arial" w:hAnsi="Arial" w:cs="Arial"/>
        </w:rPr>
        <w:t>and</w:t>
      </w:r>
      <w:r w:rsidR="00E82200">
        <w:rPr>
          <w:rFonts w:ascii="Arial" w:hAnsi="Arial" w:cs="Arial"/>
        </w:rPr>
        <w:t xml:space="preserve"> perhaps</w:t>
      </w:r>
      <w:r w:rsidR="00E82200" w:rsidRPr="00D642CD">
        <w:rPr>
          <w:rFonts w:ascii="Arial" w:hAnsi="Arial" w:cs="Arial"/>
        </w:rPr>
        <w:t xml:space="preserve"> more importantly they do not take into account local factors/circumstances</w:t>
      </w:r>
      <w:r>
        <w:rPr>
          <w:rFonts w:ascii="Arial" w:hAnsi="Arial" w:cs="Arial"/>
        </w:rPr>
        <w:t xml:space="preserve">.  Despite this, </w:t>
      </w:r>
      <w:r w:rsidR="008E2EE8" w:rsidRPr="000D3AA1">
        <w:rPr>
          <w:rFonts w:ascii="Arial" w:hAnsi="Arial" w:cs="Arial"/>
        </w:rPr>
        <w:t>it does highlight areas of potential financial risk</w:t>
      </w:r>
      <w:r w:rsidR="00B73690" w:rsidRPr="000D3AA1">
        <w:rPr>
          <w:rFonts w:ascii="Arial" w:hAnsi="Arial" w:cs="Arial"/>
        </w:rPr>
        <w:t xml:space="preserve"> where additional scrutiny should take place to provide additional assurance. </w:t>
      </w:r>
      <w:r>
        <w:rPr>
          <w:rFonts w:ascii="Arial" w:hAnsi="Arial" w:cs="Arial"/>
        </w:rPr>
        <w:t>In particular it highlights:</w:t>
      </w:r>
    </w:p>
    <w:p w14:paraId="5B6AAECE" w14:textId="77777777" w:rsidR="003172C5" w:rsidRPr="007C68ED" w:rsidRDefault="003172C5" w:rsidP="002954AE">
      <w:pPr>
        <w:jc w:val="both"/>
        <w:rPr>
          <w:rFonts w:ascii="Arial" w:hAnsi="Arial" w:cs="Arial"/>
        </w:rPr>
      </w:pPr>
    </w:p>
    <w:p w14:paraId="22EEB51B" w14:textId="40E03AC8" w:rsidR="006A7315" w:rsidRPr="007C68ED" w:rsidRDefault="0024361B" w:rsidP="00CF25BB">
      <w:pPr>
        <w:pStyle w:val="ListParagraph"/>
        <w:numPr>
          <w:ilvl w:val="0"/>
          <w:numId w:val="36"/>
        </w:numPr>
        <w:spacing w:after="0" w:line="240" w:lineRule="auto"/>
        <w:jc w:val="both"/>
        <w:rPr>
          <w:rFonts w:ascii="Arial" w:hAnsi="Arial" w:cs="Arial"/>
          <w:sz w:val="24"/>
          <w:szCs w:val="24"/>
        </w:rPr>
      </w:pPr>
      <w:r w:rsidRPr="007C68ED">
        <w:rPr>
          <w:rFonts w:ascii="Arial" w:hAnsi="Arial" w:cs="Arial"/>
          <w:sz w:val="24"/>
          <w:szCs w:val="24"/>
        </w:rPr>
        <w:t xml:space="preserve">The </w:t>
      </w:r>
      <w:r w:rsidR="006A7315" w:rsidRPr="007C68ED">
        <w:rPr>
          <w:rFonts w:ascii="Arial" w:hAnsi="Arial" w:cs="Arial"/>
          <w:sz w:val="24"/>
          <w:szCs w:val="24"/>
        </w:rPr>
        <w:t>level of the Council’s reserves</w:t>
      </w:r>
      <w:r w:rsidR="00775038" w:rsidRPr="007C68ED">
        <w:rPr>
          <w:rFonts w:ascii="Arial" w:hAnsi="Arial" w:cs="Arial"/>
          <w:sz w:val="24"/>
          <w:szCs w:val="24"/>
        </w:rPr>
        <w:t xml:space="preserve"> (unallocated and earmarked)</w:t>
      </w:r>
      <w:r w:rsidR="00BB5AED">
        <w:rPr>
          <w:rFonts w:ascii="Arial" w:hAnsi="Arial" w:cs="Arial"/>
          <w:sz w:val="24"/>
          <w:szCs w:val="24"/>
        </w:rPr>
        <w:t xml:space="preserve"> are</w:t>
      </w:r>
      <w:r w:rsidR="006A7315" w:rsidRPr="007C68ED">
        <w:rPr>
          <w:rFonts w:ascii="Arial" w:hAnsi="Arial" w:cs="Arial"/>
          <w:sz w:val="24"/>
          <w:szCs w:val="24"/>
        </w:rPr>
        <w:t xml:space="preserve"> </w:t>
      </w:r>
      <w:r w:rsidR="00B237BB" w:rsidRPr="007C68ED">
        <w:rPr>
          <w:rFonts w:ascii="Arial" w:hAnsi="Arial" w:cs="Arial"/>
          <w:sz w:val="24"/>
          <w:szCs w:val="24"/>
        </w:rPr>
        <w:t>currently and historically,</w:t>
      </w:r>
      <w:r w:rsidR="006A7315" w:rsidRPr="007C68ED">
        <w:rPr>
          <w:rFonts w:ascii="Arial" w:hAnsi="Arial" w:cs="Arial"/>
          <w:sz w:val="24"/>
          <w:szCs w:val="24"/>
        </w:rPr>
        <w:t xml:space="preserve"> comparatively low compared to nearest neighbours/similar authorities and to all district councils.</w:t>
      </w:r>
    </w:p>
    <w:p w14:paraId="6005710B" w14:textId="77777777" w:rsidR="006A7315" w:rsidRPr="007C68ED" w:rsidRDefault="006A7315" w:rsidP="002954AE">
      <w:pPr>
        <w:jc w:val="both"/>
        <w:rPr>
          <w:rFonts w:ascii="Arial" w:hAnsi="Arial" w:cs="Arial"/>
        </w:rPr>
      </w:pPr>
    </w:p>
    <w:p w14:paraId="51AF74DD" w14:textId="4AF25E65" w:rsidR="006A7315" w:rsidRPr="007C68ED" w:rsidRDefault="00BB5AED" w:rsidP="00CF25BB">
      <w:pPr>
        <w:pStyle w:val="ListParagraph"/>
        <w:numPr>
          <w:ilvl w:val="0"/>
          <w:numId w:val="36"/>
        </w:numPr>
        <w:spacing w:after="0" w:line="240" w:lineRule="auto"/>
        <w:jc w:val="both"/>
        <w:rPr>
          <w:rFonts w:ascii="Arial" w:hAnsi="Arial" w:cs="Arial"/>
          <w:sz w:val="24"/>
          <w:szCs w:val="24"/>
        </w:rPr>
      </w:pPr>
      <w:r>
        <w:rPr>
          <w:rFonts w:ascii="Arial" w:hAnsi="Arial" w:cs="Arial"/>
          <w:sz w:val="24"/>
          <w:szCs w:val="24"/>
        </w:rPr>
        <w:t>The Council has comparatively h</w:t>
      </w:r>
      <w:r w:rsidR="006A7315" w:rsidRPr="007C68ED">
        <w:rPr>
          <w:rFonts w:ascii="Arial" w:hAnsi="Arial" w:cs="Arial"/>
          <w:sz w:val="24"/>
          <w:szCs w:val="24"/>
        </w:rPr>
        <w:t>igh levels of capital financing</w:t>
      </w:r>
    </w:p>
    <w:p w14:paraId="1CC04598" w14:textId="33EA06BD" w:rsidR="004C1326" w:rsidRPr="00B91350" w:rsidRDefault="004C1326" w:rsidP="002954AE">
      <w:pPr>
        <w:jc w:val="both"/>
        <w:rPr>
          <w:rFonts w:ascii="Arial" w:hAnsi="Arial" w:cs="Arial"/>
          <w:highlight w:val="yellow"/>
        </w:rPr>
      </w:pPr>
    </w:p>
    <w:p w14:paraId="7699FD2C" w14:textId="4A730F1E" w:rsidR="004C1326" w:rsidRPr="007C68ED" w:rsidRDefault="00B96F03" w:rsidP="003172C5">
      <w:pPr>
        <w:jc w:val="both"/>
        <w:rPr>
          <w:rFonts w:ascii="Arial" w:hAnsi="Arial" w:cs="Arial"/>
          <w:u w:val="single"/>
        </w:rPr>
      </w:pPr>
      <w:r w:rsidRPr="007C68ED">
        <w:rPr>
          <w:rFonts w:ascii="Arial" w:hAnsi="Arial" w:cs="Arial"/>
          <w:u w:val="single"/>
        </w:rPr>
        <w:t>Reserves</w:t>
      </w:r>
    </w:p>
    <w:p w14:paraId="0A2E8EF9" w14:textId="77777777" w:rsidR="00004410" w:rsidRPr="00B91350" w:rsidRDefault="00004410" w:rsidP="00004410">
      <w:pPr>
        <w:autoSpaceDE w:val="0"/>
        <w:autoSpaceDN w:val="0"/>
        <w:adjustRightInd w:val="0"/>
        <w:jc w:val="both"/>
        <w:rPr>
          <w:rFonts w:ascii="Arial" w:hAnsi="Arial" w:cs="Arial"/>
          <w:color w:val="000000"/>
          <w:highlight w:val="yellow"/>
          <w:lang w:eastAsia="en-GB"/>
        </w:rPr>
      </w:pPr>
    </w:p>
    <w:p w14:paraId="498C0D21" w14:textId="56644974" w:rsidR="00004410" w:rsidRPr="00F03CC0" w:rsidRDefault="00004410" w:rsidP="00CF25BB">
      <w:pPr>
        <w:numPr>
          <w:ilvl w:val="1"/>
          <w:numId w:val="37"/>
        </w:numPr>
        <w:autoSpaceDE w:val="0"/>
        <w:autoSpaceDN w:val="0"/>
        <w:adjustRightInd w:val="0"/>
        <w:jc w:val="both"/>
        <w:rPr>
          <w:rFonts w:ascii="Arial" w:hAnsi="Arial" w:cs="Arial"/>
          <w:color w:val="000000"/>
          <w:lang w:eastAsia="en-GB"/>
        </w:rPr>
      </w:pPr>
      <w:r w:rsidRPr="00F03CC0">
        <w:rPr>
          <w:rFonts w:ascii="Arial" w:hAnsi="Arial" w:cs="Arial"/>
          <w:color w:val="000000"/>
          <w:lang w:eastAsia="en-GB"/>
        </w:rPr>
        <w:t xml:space="preserve">The headline that </w:t>
      </w:r>
      <w:r w:rsidR="00754EC9">
        <w:rPr>
          <w:rFonts w:ascii="Arial" w:hAnsi="Arial" w:cs="Arial"/>
          <w:color w:val="000000"/>
          <w:lang w:eastAsia="en-GB"/>
        </w:rPr>
        <w:t>the level of reserves</w:t>
      </w:r>
      <w:r w:rsidRPr="00F03CC0">
        <w:rPr>
          <w:rFonts w:ascii="Arial" w:hAnsi="Arial" w:cs="Arial"/>
          <w:color w:val="000000"/>
          <w:lang w:eastAsia="en-GB"/>
        </w:rPr>
        <w:t xml:space="preserve"> </w:t>
      </w:r>
      <w:r w:rsidR="00D441E2" w:rsidRPr="00F03CC0">
        <w:rPr>
          <w:rFonts w:ascii="Arial" w:hAnsi="Arial" w:cs="Arial"/>
          <w:color w:val="000000"/>
          <w:lang w:eastAsia="en-GB"/>
        </w:rPr>
        <w:t>as a percentage of expenditure</w:t>
      </w:r>
      <w:r w:rsidRPr="00F03CC0">
        <w:rPr>
          <w:rFonts w:ascii="Arial" w:hAnsi="Arial" w:cs="Arial"/>
          <w:color w:val="000000"/>
          <w:lang w:eastAsia="en-GB"/>
        </w:rPr>
        <w:t xml:space="preserve"> are below average hides two specific factors once that measure is disaggregated</w:t>
      </w:r>
      <w:r w:rsidR="00DD4F24" w:rsidRPr="00F03CC0">
        <w:rPr>
          <w:rFonts w:ascii="Arial" w:hAnsi="Arial" w:cs="Arial"/>
          <w:color w:val="000000"/>
          <w:lang w:eastAsia="en-GB"/>
        </w:rPr>
        <w:t>, as</w:t>
      </w:r>
      <w:r w:rsidR="00D6171B" w:rsidRPr="00F03CC0">
        <w:rPr>
          <w:rFonts w:ascii="Arial" w:hAnsi="Arial" w:cs="Arial"/>
          <w:color w:val="000000"/>
          <w:lang w:eastAsia="en-GB"/>
        </w:rPr>
        <w:t xml:space="preserve"> this inclu</w:t>
      </w:r>
      <w:r w:rsidR="00B12E36" w:rsidRPr="00F03CC0">
        <w:rPr>
          <w:rFonts w:ascii="Arial" w:hAnsi="Arial" w:cs="Arial"/>
          <w:color w:val="000000"/>
          <w:lang w:eastAsia="en-GB"/>
        </w:rPr>
        <w:t xml:space="preserve">des unallocated ‘general’ reserves and earmarked reserves.  </w:t>
      </w:r>
    </w:p>
    <w:p w14:paraId="6A8E5F1E" w14:textId="77777777" w:rsidR="00004410" w:rsidRPr="00B91350" w:rsidRDefault="00004410" w:rsidP="00CF25BB">
      <w:pPr>
        <w:numPr>
          <w:ilvl w:val="1"/>
          <w:numId w:val="37"/>
        </w:numPr>
        <w:autoSpaceDE w:val="0"/>
        <w:autoSpaceDN w:val="0"/>
        <w:adjustRightInd w:val="0"/>
        <w:jc w:val="both"/>
        <w:rPr>
          <w:rFonts w:ascii="Arial" w:hAnsi="Arial" w:cs="Arial"/>
          <w:color w:val="000000"/>
          <w:highlight w:val="yellow"/>
          <w:lang w:eastAsia="en-GB"/>
        </w:rPr>
      </w:pPr>
    </w:p>
    <w:p w14:paraId="372FA53F" w14:textId="4A645EB7" w:rsidR="00004410" w:rsidRPr="00754EC9" w:rsidRDefault="00004410" w:rsidP="00CF25BB">
      <w:pPr>
        <w:pStyle w:val="ListParagraph"/>
        <w:numPr>
          <w:ilvl w:val="0"/>
          <w:numId w:val="39"/>
        </w:numPr>
        <w:autoSpaceDE w:val="0"/>
        <w:autoSpaceDN w:val="0"/>
        <w:adjustRightInd w:val="0"/>
        <w:spacing w:after="0" w:line="240" w:lineRule="auto"/>
        <w:jc w:val="both"/>
        <w:rPr>
          <w:rFonts w:ascii="Arial" w:hAnsi="Arial" w:cs="Arial"/>
          <w:color w:val="000000"/>
          <w:sz w:val="24"/>
          <w:szCs w:val="24"/>
          <w:lang w:eastAsia="en-GB"/>
        </w:rPr>
      </w:pPr>
      <w:r w:rsidRPr="00754EC9">
        <w:rPr>
          <w:rFonts w:ascii="Arial" w:hAnsi="Arial" w:cs="Arial"/>
          <w:color w:val="000000"/>
          <w:sz w:val="24"/>
          <w:szCs w:val="24"/>
          <w:lang w:eastAsia="en-GB"/>
        </w:rPr>
        <w:t xml:space="preserve">Earmarked reserves are defined as being kept for a specific purpose or plan. By virtue of being earmarked, they cannot contribute to covering financial shortfalls without this having an impact on previous plans; and some cannot be used for anything other than the intended purpose at all. </w:t>
      </w:r>
      <w:r w:rsidR="00485746" w:rsidRPr="00754EC9">
        <w:rPr>
          <w:rFonts w:ascii="Arial" w:hAnsi="Arial" w:cs="Arial"/>
          <w:color w:val="000000"/>
          <w:sz w:val="24"/>
          <w:szCs w:val="24"/>
          <w:lang w:eastAsia="en-GB"/>
        </w:rPr>
        <w:t>The Council’s</w:t>
      </w:r>
      <w:r w:rsidRPr="00754EC9">
        <w:rPr>
          <w:rFonts w:ascii="Arial" w:hAnsi="Arial" w:cs="Arial"/>
          <w:color w:val="000000"/>
          <w:sz w:val="24"/>
          <w:szCs w:val="24"/>
          <w:lang w:eastAsia="en-GB"/>
        </w:rPr>
        <w:t xml:space="preserve"> Earmarked reserves as at 31 March 202</w:t>
      </w:r>
      <w:r w:rsidR="00396B51" w:rsidRPr="00754EC9">
        <w:rPr>
          <w:rFonts w:ascii="Arial" w:hAnsi="Arial" w:cs="Arial"/>
          <w:color w:val="000000"/>
          <w:sz w:val="24"/>
          <w:szCs w:val="24"/>
          <w:lang w:eastAsia="en-GB"/>
        </w:rPr>
        <w:t>5</w:t>
      </w:r>
      <w:r w:rsidRPr="00754EC9">
        <w:rPr>
          <w:rFonts w:ascii="Arial" w:hAnsi="Arial" w:cs="Arial"/>
          <w:color w:val="000000"/>
          <w:sz w:val="24"/>
          <w:szCs w:val="24"/>
          <w:lang w:eastAsia="en-GB"/>
        </w:rPr>
        <w:t xml:space="preserve"> (expressed as % of net revenue expenditure) were below median</w:t>
      </w:r>
      <w:r w:rsidR="009B4363" w:rsidRPr="00754EC9">
        <w:rPr>
          <w:rFonts w:ascii="Arial" w:hAnsi="Arial" w:cs="Arial"/>
          <w:color w:val="000000"/>
          <w:sz w:val="24"/>
          <w:szCs w:val="24"/>
          <w:lang w:eastAsia="en-GB"/>
        </w:rPr>
        <w:t xml:space="preserve"> for both the CIPFA FRI nearest neighbour cohort and the national median</w:t>
      </w:r>
      <w:r w:rsidRPr="00754EC9">
        <w:rPr>
          <w:rFonts w:ascii="Arial" w:hAnsi="Arial" w:cs="Arial"/>
          <w:color w:val="000000"/>
          <w:sz w:val="24"/>
          <w:szCs w:val="24"/>
          <w:lang w:eastAsia="en-GB"/>
        </w:rPr>
        <w:t xml:space="preserve">. However, </w:t>
      </w:r>
      <w:r w:rsidR="005F39AA" w:rsidRPr="00754EC9">
        <w:rPr>
          <w:rFonts w:ascii="Arial" w:hAnsi="Arial" w:cs="Arial"/>
          <w:color w:val="000000"/>
          <w:sz w:val="24"/>
          <w:szCs w:val="24"/>
          <w:lang w:eastAsia="en-GB"/>
        </w:rPr>
        <w:t xml:space="preserve">what the data does not collect is </w:t>
      </w:r>
      <w:r w:rsidRPr="00754EC9">
        <w:rPr>
          <w:rFonts w:ascii="Arial" w:hAnsi="Arial" w:cs="Arial"/>
          <w:color w:val="000000"/>
          <w:sz w:val="24"/>
          <w:szCs w:val="24"/>
          <w:lang w:eastAsia="en-GB"/>
        </w:rPr>
        <w:t>whether t</w:t>
      </w:r>
      <w:r w:rsidR="0099479F" w:rsidRPr="00754EC9">
        <w:rPr>
          <w:rFonts w:ascii="Arial" w:hAnsi="Arial" w:cs="Arial"/>
          <w:color w:val="000000"/>
          <w:sz w:val="24"/>
          <w:szCs w:val="24"/>
          <w:lang w:eastAsia="en-GB"/>
        </w:rPr>
        <w:t xml:space="preserve">he </w:t>
      </w:r>
      <w:r w:rsidRPr="00754EC9">
        <w:rPr>
          <w:rFonts w:ascii="Arial" w:hAnsi="Arial" w:cs="Arial"/>
          <w:color w:val="000000"/>
          <w:sz w:val="24"/>
          <w:szCs w:val="24"/>
          <w:lang w:eastAsia="en-GB"/>
        </w:rPr>
        <w:t xml:space="preserve">earmarked reserves </w:t>
      </w:r>
      <w:r w:rsidR="00C47E88" w:rsidRPr="00754EC9">
        <w:rPr>
          <w:rFonts w:ascii="Arial" w:hAnsi="Arial" w:cs="Arial"/>
          <w:color w:val="000000"/>
          <w:sz w:val="24"/>
          <w:szCs w:val="24"/>
          <w:lang w:eastAsia="en-GB"/>
        </w:rPr>
        <w:t>have</w:t>
      </w:r>
      <w:r w:rsidRPr="00754EC9">
        <w:rPr>
          <w:rFonts w:ascii="Arial" w:hAnsi="Arial" w:cs="Arial"/>
          <w:color w:val="000000"/>
          <w:sz w:val="24"/>
          <w:szCs w:val="24"/>
          <w:lang w:eastAsia="en-GB"/>
        </w:rPr>
        <w:t xml:space="preserve"> specific purposes, </w:t>
      </w:r>
      <w:r w:rsidR="00C47E88" w:rsidRPr="00754EC9">
        <w:rPr>
          <w:rFonts w:ascii="Arial" w:hAnsi="Arial" w:cs="Arial"/>
          <w:color w:val="000000"/>
          <w:sz w:val="24"/>
          <w:szCs w:val="24"/>
          <w:lang w:eastAsia="en-GB"/>
        </w:rPr>
        <w:t xml:space="preserve">i.e are set aside for specific items or more generic </w:t>
      </w:r>
      <w:r w:rsidR="00153F2E" w:rsidRPr="00754EC9">
        <w:rPr>
          <w:rFonts w:ascii="Arial" w:hAnsi="Arial" w:cs="Arial"/>
          <w:color w:val="000000"/>
          <w:sz w:val="24"/>
          <w:szCs w:val="24"/>
          <w:lang w:eastAsia="en-GB"/>
        </w:rPr>
        <w:t>risk-based</w:t>
      </w:r>
      <w:r w:rsidR="00C47E88" w:rsidRPr="00754EC9">
        <w:rPr>
          <w:rFonts w:ascii="Arial" w:hAnsi="Arial" w:cs="Arial"/>
          <w:color w:val="000000"/>
          <w:sz w:val="24"/>
          <w:szCs w:val="24"/>
          <w:lang w:eastAsia="en-GB"/>
        </w:rPr>
        <w:t xml:space="preserve"> reserves.</w:t>
      </w:r>
      <w:r w:rsidR="001D753B">
        <w:rPr>
          <w:rFonts w:ascii="Arial" w:hAnsi="Arial" w:cs="Arial"/>
          <w:color w:val="000000"/>
          <w:sz w:val="24"/>
          <w:szCs w:val="24"/>
          <w:lang w:eastAsia="en-GB"/>
        </w:rPr>
        <w:t xml:space="preserve"> </w:t>
      </w:r>
      <w:r w:rsidR="009E6BC4">
        <w:rPr>
          <w:rFonts w:ascii="Arial" w:hAnsi="Arial" w:cs="Arial"/>
          <w:color w:val="000000"/>
          <w:sz w:val="24"/>
          <w:szCs w:val="24"/>
          <w:lang w:eastAsia="en-GB"/>
        </w:rPr>
        <w:t xml:space="preserve">The FRI also highlights that although the level of earmarked reserves are comparatively low, </w:t>
      </w:r>
      <w:r w:rsidR="005300D6">
        <w:rPr>
          <w:rFonts w:ascii="Arial" w:hAnsi="Arial" w:cs="Arial"/>
          <w:color w:val="000000"/>
          <w:sz w:val="24"/>
          <w:szCs w:val="24"/>
          <w:lang w:eastAsia="en-GB"/>
        </w:rPr>
        <w:t>as a  percentage they have marginally increased over the last three years.</w:t>
      </w:r>
    </w:p>
    <w:p w14:paraId="4C98A76F" w14:textId="77777777" w:rsidR="00E10E6C" w:rsidRPr="00B91350" w:rsidRDefault="00E10E6C" w:rsidP="00295337">
      <w:pPr>
        <w:autoSpaceDE w:val="0"/>
        <w:autoSpaceDN w:val="0"/>
        <w:adjustRightInd w:val="0"/>
        <w:rPr>
          <w:rFonts w:ascii="Arial" w:hAnsi="Arial" w:cs="Arial"/>
          <w:color w:val="000000"/>
          <w:highlight w:val="yellow"/>
          <w:lang w:eastAsia="en-GB"/>
        </w:rPr>
      </w:pPr>
    </w:p>
    <w:p w14:paraId="175C3B66" w14:textId="39601957" w:rsidR="00E10E6C" w:rsidRPr="005300D6" w:rsidRDefault="00E10E6C" w:rsidP="00CF25BB">
      <w:pPr>
        <w:pStyle w:val="ListParagraph"/>
        <w:numPr>
          <w:ilvl w:val="0"/>
          <w:numId w:val="38"/>
        </w:numPr>
        <w:autoSpaceDE w:val="0"/>
        <w:autoSpaceDN w:val="0"/>
        <w:adjustRightInd w:val="0"/>
        <w:spacing w:after="0" w:line="240" w:lineRule="auto"/>
        <w:jc w:val="both"/>
        <w:rPr>
          <w:rFonts w:ascii="Arial" w:hAnsi="Arial" w:cs="Arial"/>
          <w:color w:val="000000"/>
          <w:sz w:val="24"/>
          <w:szCs w:val="24"/>
          <w:lang w:eastAsia="en-GB"/>
        </w:rPr>
      </w:pPr>
      <w:r w:rsidRPr="005300D6">
        <w:rPr>
          <w:rFonts w:ascii="Arial" w:hAnsi="Arial" w:cs="Arial"/>
          <w:color w:val="000000"/>
          <w:sz w:val="24"/>
          <w:szCs w:val="24"/>
          <w:lang w:eastAsia="en-GB"/>
        </w:rPr>
        <w:t xml:space="preserve">Unallocated reserves are normally kept to manage general financial risks and can be used flexibly. At </w:t>
      </w:r>
      <w:r w:rsidR="005B0D92" w:rsidRPr="005300D6">
        <w:rPr>
          <w:rFonts w:ascii="Arial" w:hAnsi="Arial" w:cs="Arial"/>
          <w:color w:val="000000"/>
          <w:sz w:val="24"/>
          <w:szCs w:val="24"/>
          <w:lang w:eastAsia="en-GB"/>
        </w:rPr>
        <w:t>16.</w:t>
      </w:r>
      <w:r w:rsidR="0014764B" w:rsidRPr="005300D6">
        <w:rPr>
          <w:rFonts w:ascii="Arial" w:hAnsi="Arial" w:cs="Arial"/>
          <w:color w:val="000000"/>
          <w:sz w:val="24"/>
          <w:szCs w:val="24"/>
          <w:lang w:eastAsia="en-GB"/>
        </w:rPr>
        <w:t>35</w:t>
      </w:r>
      <w:r w:rsidRPr="005300D6">
        <w:rPr>
          <w:rFonts w:ascii="Arial" w:hAnsi="Arial" w:cs="Arial"/>
          <w:color w:val="000000"/>
          <w:sz w:val="24"/>
          <w:szCs w:val="24"/>
          <w:lang w:eastAsia="en-GB"/>
        </w:rPr>
        <w:t>% of 202</w:t>
      </w:r>
      <w:r w:rsidR="0014764B" w:rsidRPr="005300D6">
        <w:rPr>
          <w:rFonts w:ascii="Arial" w:hAnsi="Arial" w:cs="Arial"/>
          <w:color w:val="000000"/>
          <w:sz w:val="24"/>
          <w:szCs w:val="24"/>
          <w:lang w:eastAsia="en-GB"/>
        </w:rPr>
        <w:t>4</w:t>
      </w:r>
      <w:r w:rsidRPr="005300D6">
        <w:rPr>
          <w:rFonts w:ascii="Arial" w:hAnsi="Arial" w:cs="Arial"/>
          <w:color w:val="000000"/>
          <w:sz w:val="24"/>
          <w:szCs w:val="24"/>
          <w:lang w:eastAsia="en-GB"/>
        </w:rPr>
        <w:t>/2</w:t>
      </w:r>
      <w:r w:rsidR="0014764B" w:rsidRPr="005300D6">
        <w:rPr>
          <w:rFonts w:ascii="Arial" w:hAnsi="Arial" w:cs="Arial"/>
          <w:color w:val="000000"/>
          <w:sz w:val="24"/>
          <w:szCs w:val="24"/>
          <w:lang w:eastAsia="en-GB"/>
        </w:rPr>
        <w:t>5</w:t>
      </w:r>
      <w:r w:rsidRPr="005300D6">
        <w:rPr>
          <w:rFonts w:ascii="Arial" w:hAnsi="Arial" w:cs="Arial"/>
          <w:color w:val="000000"/>
          <w:sz w:val="24"/>
          <w:szCs w:val="24"/>
          <w:lang w:eastAsia="en-GB"/>
        </w:rPr>
        <w:t xml:space="preserve"> net revenue expenditure, the level of unallocated reserves on 31 March 202</w:t>
      </w:r>
      <w:r w:rsidR="0014764B" w:rsidRPr="005300D6">
        <w:rPr>
          <w:rFonts w:ascii="Arial" w:hAnsi="Arial" w:cs="Arial"/>
          <w:color w:val="000000"/>
          <w:sz w:val="24"/>
          <w:szCs w:val="24"/>
          <w:lang w:eastAsia="en-GB"/>
        </w:rPr>
        <w:t>5</w:t>
      </w:r>
      <w:r w:rsidRPr="005300D6">
        <w:rPr>
          <w:rFonts w:ascii="Arial" w:hAnsi="Arial" w:cs="Arial"/>
          <w:color w:val="000000"/>
          <w:sz w:val="24"/>
          <w:szCs w:val="24"/>
          <w:lang w:eastAsia="en-GB"/>
        </w:rPr>
        <w:t xml:space="preserve"> was</w:t>
      </w:r>
      <w:r w:rsidR="006B572C" w:rsidRPr="005300D6">
        <w:rPr>
          <w:rFonts w:ascii="Arial" w:hAnsi="Arial" w:cs="Arial"/>
          <w:color w:val="000000"/>
          <w:sz w:val="24"/>
          <w:szCs w:val="24"/>
          <w:lang w:eastAsia="en-GB"/>
        </w:rPr>
        <w:t xml:space="preserve"> only</w:t>
      </w:r>
      <w:r w:rsidRPr="005300D6">
        <w:rPr>
          <w:rFonts w:ascii="Arial" w:hAnsi="Arial" w:cs="Arial"/>
          <w:color w:val="000000"/>
          <w:sz w:val="24"/>
          <w:szCs w:val="24"/>
          <w:lang w:eastAsia="en-GB"/>
        </w:rPr>
        <w:t xml:space="preserve"> </w:t>
      </w:r>
      <w:r w:rsidR="008F755B" w:rsidRPr="005300D6">
        <w:rPr>
          <w:rFonts w:ascii="Arial" w:hAnsi="Arial" w:cs="Arial"/>
          <w:color w:val="000000"/>
          <w:sz w:val="24"/>
          <w:szCs w:val="24"/>
          <w:lang w:eastAsia="en-GB"/>
        </w:rPr>
        <w:t>just below</w:t>
      </w:r>
      <w:r w:rsidRPr="005300D6">
        <w:rPr>
          <w:rFonts w:ascii="Arial" w:hAnsi="Arial" w:cs="Arial"/>
          <w:color w:val="000000"/>
          <w:sz w:val="24"/>
          <w:szCs w:val="24"/>
          <w:lang w:eastAsia="en-GB"/>
        </w:rPr>
        <w:t xml:space="preserve"> the median for the CIPFA FRI nearest neighbour cohort</w:t>
      </w:r>
      <w:r w:rsidR="00305F46" w:rsidRPr="005300D6">
        <w:rPr>
          <w:rFonts w:ascii="Arial" w:hAnsi="Arial" w:cs="Arial"/>
          <w:color w:val="000000"/>
          <w:sz w:val="24"/>
          <w:szCs w:val="24"/>
          <w:lang w:eastAsia="en-GB"/>
        </w:rPr>
        <w:t xml:space="preserve"> </w:t>
      </w:r>
      <w:r w:rsidR="009365A5" w:rsidRPr="005300D6">
        <w:rPr>
          <w:rFonts w:ascii="Arial" w:hAnsi="Arial" w:cs="Arial"/>
          <w:color w:val="000000"/>
          <w:sz w:val="24"/>
          <w:szCs w:val="24"/>
          <w:lang w:eastAsia="en-GB"/>
        </w:rPr>
        <w:t xml:space="preserve">and </w:t>
      </w:r>
      <w:r w:rsidRPr="005300D6">
        <w:rPr>
          <w:rFonts w:ascii="Arial" w:hAnsi="Arial" w:cs="Arial"/>
          <w:color w:val="000000"/>
          <w:sz w:val="24"/>
          <w:szCs w:val="24"/>
          <w:lang w:eastAsia="en-GB"/>
        </w:rPr>
        <w:t>the national median</w:t>
      </w:r>
      <w:r w:rsidR="00305F46" w:rsidRPr="005300D6">
        <w:rPr>
          <w:rFonts w:ascii="Arial" w:hAnsi="Arial" w:cs="Arial"/>
          <w:color w:val="000000"/>
          <w:sz w:val="24"/>
          <w:szCs w:val="24"/>
          <w:lang w:eastAsia="en-GB"/>
        </w:rPr>
        <w:t xml:space="preserve">. </w:t>
      </w:r>
    </w:p>
    <w:p w14:paraId="1F68A54F" w14:textId="77777777" w:rsidR="00056923" w:rsidRPr="00B91350" w:rsidRDefault="00056923" w:rsidP="00056923">
      <w:pPr>
        <w:autoSpaceDE w:val="0"/>
        <w:autoSpaceDN w:val="0"/>
        <w:adjustRightInd w:val="0"/>
        <w:jc w:val="both"/>
        <w:rPr>
          <w:rFonts w:ascii="Arial" w:hAnsi="Arial" w:cs="Arial"/>
          <w:color w:val="000000"/>
          <w:highlight w:val="yellow"/>
          <w:lang w:eastAsia="en-GB"/>
        </w:rPr>
      </w:pPr>
    </w:p>
    <w:p w14:paraId="75E97D1B" w14:textId="151354F7" w:rsidR="00C46330" w:rsidRPr="00C92570" w:rsidRDefault="00C46330" w:rsidP="00C46330">
      <w:pPr>
        <w:jc w:val="both"/>
      </w:pPr>
      <w:r w:rsidRPr="00034FAA">
        <w:rPr>
          <w:rFonts w:ascii="Arial" w:hAnsi="Arial" w:cs="Arial"/>
        </w:rPr>
        <w:t xml:space="preserve">Taking into account the local context, while reserve levels are considered low when compared to other local councils, the Council’s level of reserves is planned, with balances held for both the General Fund and the Housing Revenue Account (HRA) being in line with prudently assessed minimum levels. While there are a range of earmarked reserves held for specific purposes there are also a significant portion, </w:t>
      </w:r>
      <w:r w:rsidRPr="00E01833">
        <w:rPr>
          <w:rFonts w:ascii="Arial" w:hAnsi="Arial" w:cs="Arial"/>
        </w:rPr>
        <w:t>c</w:t>
      </w:r>
      <w:r w:rsidR="00D973EC" w:rsidRPr="00E01833">
        <w:rPr>
          <w:rFonts w:ascii="Arial" w:hAnsi="Arial" w:cs="Arial"/>
        </w:rPr>
        <w:t>30</w:t>
      </w:r>
      <w:r w:rsidRPr="00E01833">
        <w:rPr>
          <w:rFonts w:ascii="Arial" w:hAnsi="Arial" w:cs="Arial"/>
        </w:rPr>
        <w:t>%</w:t>
      </w:r>
      <w:r w:rsidR="00D973EC" w:rsidRPr="00E01833">
        <w:rPr>
          <w:rFonts w:ascii="Arial" w:hAnsi="Arial" w:cs="Arial"/>
        </w:rPr>
        <w:t xml:space="preserve"> as at</w:t>
      </w:r>
      <w:r w:rsidR="00E01833" w:rsidRPr="00E01833">
        <w:rPr>
          <w:rFonts w:ascii="Arial" w:hAnsi="Arial" w:cs="Arial"/>
        </w:rPr>
        <w:t xml:space="preserve"> 2026/27</w:t>
      </w:r>
      <w:r w:rsidRPr="00E01833">
        <w:rPr>
          <w:rFonts w:ascii="Arial" w:hAnsi="Arial" w:cs="Arial"/>
        </w:rPr>
        <w:t xml:space="preserve">, </w:t>
      </w:r>
      <w:r w:rsidRPr="00C92570">
        <w:rPr>
          <w:rFonts w:ascii="Arial" w:hAnsi="Arial" w:cs="Arial"/>
        </w:rPr>
        <w:t>that are held as either risk-based reserves or budget stabilisation reserves and are used to manage budget risks. There is a balance to be made between money held in reserves and balances and money used for the delivery of corporate priorities. The Council’s policy is to keep reserves and balances low but prudent to ensure money is not left as dormant and inaccessible for the delivery of corporate priorities</w:t>
      </w:r>
      <w:r w:rsidRPr="00C92570">
        <w:t>.</w:t>
      </w:r>
    </w:p>
    <w:p w14:paraId="197162F5" w14:textId="77777777" w:rsidR="00C46330" w:rsidRPr="00B91350" w:rsidRDefault="00C46330" w:rsidP="00C46330">
      <w:pPr>
        <w:jc w:val="both"/>
        <w:rPr>
          <w:highlight w:val="yellow"/>
        </w:rPr>
      </w:pPr>
    </w:p>
    <w:p w14:paraId="2DEE0515" w14:textId="65E793E4" w:rsidR="00C46330" w:rsidRPr="00702F97" w:rsidRDefault="00B268F0" w:rsidP="00C46330">
      <w:pPr>
        <w:jc w:val="both"/>
        <w:rPr>
          <w:rFonts w:ascii="Arial" w:hAnsi="Arial" w:cs="Arial"/>
        </w:rPr>
      </w:pPr>
      <w:r w:rsidRPr="00702F97">
        <w:rPr>
          <w:rFonts w:ascii="Arial" w:hAnsi="Arial" w:cs="Arial"/>
        </w:rPr>
        <w:t>The financial position of the General Fund over the last decade has been predicated on the delivery of significant savings targets</w:t>
      </w:r>
      <w:r w:rsidR="00DF71F2" w:rsidRPr="00702F97">
        <w:rPr>
          <w:rFonts w:ascii="Arial" w:hAnsi="Arial" w:cs="Arial"/>
        </w:rPr>
        <w:t xml:space="preserve">. </w:t>
      </w:r>
      <w:r w:rsidR="00C46330" w:rsidRPr="00702F97">
        <w:rPr>
          <w:rFonts w:ascii="Arial" w:hAnsi="Arial" w:cs="Arial"/>
        </w:rPr>
        <w:t>As reserves can only be increased by the setting aside of revenue resources, any attempts to increase reserves would</w:t>
      </w:r>
      <w:r w:rsidR="00DF71F2" w:rsidRPr="00702F97">
        <w:rPr>
          <w:rFonts w:ascii="Arial" w:hAnsi="Arial" w:cs="Arial"/>
        </w:rPr>
        <w:t xml:space="preserve"> have</w:t>
      </w:r>
      <w:r w:rsidR="00C46330" w:rsidRPr="00702F97">
        <w:rPr>
          <w:rFonts w:ascii="Arial" w:hAnsi="Arial" w:cs="Arial"/>
        </w:rPr>
        <w:t xml:space="preserve"> </w:t>
      </w:r>
      <w:r w:rsidR="00DF71F2" w:rsidRPr="00702F97">
        <w:rPr>
          <w:rFonts w:ascii="Arial" w:hAnsi="Arial" w:cs="Arial"/>
        </w:rPr>
        <w:t xml:space="preserve">required a </w:t>
      </w:r>
      <w:r w:rsidR="00C46330" w:rsidRPr="00702F97">
        <w:rPr>
          <w:rFonts w:ascii="Arial" w:hAnsi="Arial" w:cs="Arial"/>
        </w:rPr>
        <w:t>reduc</w:t>
      </w:r>
      <w:r w:rsidR="00DF71F2" w:rsidRPr="00702F97">
        <w:rPr>
          <w:rFonts w:ascii="Arial" w:hAnsi="Arial" w:cs="Arial"/>
        </w:rPr>
        <w:t>tion in</w:t>
      </w:r>
      <w:r w:rsidR="00C46330" w:rsidRPr="00702F97">
        <w:rPr>
          <w:rFonts w:ascii="Arial" w:hAnsi="Arial" w:cs="Arial"/>
        </w:rPr>
        <w:t xml:space="preserve"> service budgets</w:t>
      </w:r>
      <w:r w:rsidR="00DF71F2" w:rsidRPr="00702F97">
        <w:rPr>
          <w:rFonts w:ascii="Arial" w:hAnsi="Arial" w:cs="Arial"/>
        </w:rPr>
        <w:t xml:space="preserve"> and/or </w:t>
      </w:r>
      <w:r w:rsidR="00C46330" w:rsidRPr="00702F97">
        <w:rPr>
          <w:rFonts w:ascii="Arial" w:hAnsi="Arial" w:cs="Arial"/>
        </w:rPr>
        <w:t xml:space="preserve">increase the level of savings required. </w:t>
      </w:r>
      <w:r w:rsidR="00DF71F2" w:rsidRPr="00702F97">
        <w:rPr>
          <w:rFonts w:ascii="Arial" w:hAnsi="Arial" w:cs="Arial"/>
        </w:rPr>
        <w:t xml:space="preserve">As a result of the </w:t>
      </w:r>
      <w:r w:rsidR="00583F8B" w:rsidRPr="00702F97">
        <w:rPr>
          <w:rFonts w:ascii="Arial" w:hAnsi="Arial" w:cs="Arial"/>
        </w:rPr>
        <w:t xml:space="preserve">positive outcome of the FFR, the MTFS now projects positive contributions to unallocated reserves </w:t>
      </w:r>
      <w:r w:rsidR="008C6ED6" w:rsidRPr="00702F97">
        <w:rPr>
          <w:rFonts w:ascii="Arial" w:hAnsi="Arial" w:cs="Arial"/>
        </w:rPr>
        <w:t xml:space="preserve">with no drawdowns required to support annual expenditure.  In the longer term, and in the absence of LGR, </w:t>
      </w:r>
      <w:r w:rsidR="00702F97" w:rsidRPr="00702F97">
        <w:rPr>
          <w:rFonts w:ascii="Arial" w:hAnsi="Arial" w:cs="Arial"/>
        </w:rPr>
        <w:t>it would be expected that the Council’s comparative position would improve.</w:t>
      </w:r>
    </w:p>
    <w:p w14:paraId="539D2E3A" w14:textId="77777777" w:rsidR="00C46330" w:rsidRDefault="00C46330" w:rsidP="00056923">
      <w:pPr>
        <w:autoSpaceDE w:val="0"/>
        <w:autoSpaceDN w:val="0"/>
        <w:adjustRightInd w:val="0"/>
        <w:jc w:val="both"/>
        <w:rPr>
          <w:rFonts w:ascii="Arial" w:hAnsi="Arial" w:cs="Arial"/>
          <w:color w:val="000000"/>
          <w:highlight w:val="yellow"/>
          <w:lang w:eastAsia="en-GB"/>
        </w:rPr>
      </w:pPr>
    </w:p>
    <w:p w14:paraId="39E343F8" w14:textId="09D373F1" w:rsidR="00004410" w:rsidRPr="0072371E" w:rsidRDefault="00E3397A" w:rsidP="00CF25BB">
      <w:pPr>
        <w:numPr>
          <w:ilvl w:val="0"/>
          <w:numId w:val="37"/>
        </w:numPr>
        <w:autoSpaceDE w:val="0"/>
        <w:autoSpaceDN w:val="0"/>
        <w:adjustRightInd w:val="0"/>
        <w:jc w:val="both"/>
        <w:rPr>
          <w:rFonts w:ascii="Arial" w:hAnsi="Arial" w:cs="Arial"/>
          <w:color w:val="000000"/>
          <w:u w:val="single"/>
          <w:lang w:eastAsia="en-GB"/>
        </w:rPr>
      </w:pPr>
      <w:r w:rsidRPr="0072371E">
        <w:rPr>
          <w:rFonts w:ascii="Arial" w:hAnsi="Arial" w:cs="Arial"/>
          <w:u w:val="single"/>
        </w:rPr>
        <w:t xml:space="preserve">Capital Financing </w:t>
      </w:r>
    </w:p>
    <w:p w14:paraId="5A4DE3F0" w14:textId="77777777" w:rsidR="008B69E5" w:rsidRPr="0072371E" w:rsidRDefault="008B69E5" w:rsidP="008B69E5">
      <w:pPr>
        <w:autoSpaceDE w:val="0"/>
        <w:autoSpaceDN w:val="0"/>
        <w:adjustRightInd w:val="0"/>
        <w:jc w:val="both"/>
        <w:rPr>
          <w:rFonts w:ascii="Arial" w:hAnsi="Arial" w:cs="Arial"/>
          <w:lang w:eastAsia="en-GB"/>
        </w:rPr>
      </w:pPr>
    </w:p>
    <w:p w14:paraId="792E6313" w14:textId="64972A08" w:rsidR="008B69E5" w:rsidRPr="0072371E" w:rsidRDefault="008B69E5" w:rsidP="008B69E5">
      <w:pPr>
        <w:autoSpaceDE w:val="0"/>
        <w:autoSpaceDN w:val="0"/>
        <w:adjustRightInd w:val="0"/>
        <w:jc w:val="both"/>
        <w:rPr>
          <w:rFonts w:ascii="Arial" w:hAnsi="Arial" w:cs="Arial"/>
          <w:lang w:eastAsia="en-GB"/>
        </w:rPr>
      </w:pPr>
      <w:r w:rsidRPr="0072371E">
        <w:rPr>
          <w:rFonts w:ascii="Arial" w:hAnsi="Arial" w:cs="Arial"/>
          <w:lang w:eastAsia="en-GB"/>
        </w:rPr>
        <w:t xml:space="preserve">The CIPFA FRI only uses a cash value Gross External Debt measure to compare councils against each other. There’s no weighting by local authority size, </w:t>
      </w:r>
      <w:r w:rsidR="00846BDF">
        <w:rPr>
          <w:rFonts w:ascii="Arial" w:hAnsi="Arial" w:cs="Arial"/>
          <w:lang w:eastAsia="en-GB"/>
        </w:rPr>
        <w:t>neither</w:t>
      </w:r>
      <w:r w:rsidRPr="0072371E">
        <w:rPr>
          <w:rFonts w:ascii="Arial" w:hAnsi="Arial" w:cs="Arial"/>
          <w:lang w:eastAsia="en-GB"/>
        </w:rPr>
        <w:t xml:space="preserve"> does it take into account the </w:t>
      </w:r>
      <w:r w:rsidR="00311AA4" w:rsidRPr="0072371E">
        <w:rPr>
          <w:rFonts w:ascii="Arial" w:hAnsi="Arial" w:cs="Arial"/>
          <w:lang w:eastAsia="en-GB"/>
        </w:rPr>
        <w:t>medium-term</w:t>
      </w:r>
      <w:r w:rsidRPr="0072371E">
        <w:rPr>
          <w:rFonts w:ascii="Arial" w:hAnsi="Arial" w:cs="Arial"/>
          <w:lang w:eastAsia="en-GB"/>
        </w:rPr>
        <w:t xml:space="preserve"> borrowing requirements </w:t>
      </w:r>
      <w:r w:rsidR="0072371E" w:rsidRPr="0072371E">
        <w:rPr>
          <w:rFonts w:ascii="Arial" w:hAnsi="Arial" w:cs="Arial"/>
          <w:lang w:eastAsia="en-GB"/>
        </w:rPr>
        <w:t>or whether</w:t>
      </w:r>
      <w:r w:rsidRPr="0072371E">
        <w:rPr>
          <w:rFonts w:ascii="Arial" w:hAnsi="Arial" w:cs="Arial"/>
          <w:lang w:eastAsia="en-GB"/>
        </w:rPr>
        <w:t xml:space="preserve"> the </w:t>
      </w:r>
      <w:r w:rsidR="0072371E" w:rsidRPr="0072371E">
        <w:rPr>
          <w:rFonts w:ascii="Arial" w:hAnsi="Arial" w:cs="Arial"/>
          <w:lang w:eastAsia="en-GB"/>
        </w:rPr>
        <w:t>Council has a Housing Revenue Account</w:t>
      </w:r>
      <w:r w:rsidRPr="0072371E">
        <w:rPr>
          <w:rFonts w:ascii="Arial" w:hAnsi="Arial" w:cs="Arial"/>
          <w:lang w:eastAsia="en-GB"/>
        </w:rPr>
        <w:t>.</w:t>
      </w:r>
    </w:p>
    <w:p w14:paraId="34BF14CF" w14:textId="75A7F029" w:rsidR="008B69E5" w:rsidRPr="0072371E" w:rsidRDefault="008B69E5" w:rsidP="0072371E">
      <w:pPr>
        <w:autoSpaceDE w:val="0"/>
        <w:autoSpaceDN w:val="0"/>
        <w:adjustRightInd w:val="0"/>
        <w:jc w:val="both"/>
        <w:rPr>
          <w:rFonts w:ascii="Arial" w:hAnsi="Arial" w:cs="Arial"/>
          <w:lang w:eastAsia="en-GB"/>
        </w:rPr>
      </w:pPr>
      <w:r w:rsidRPr="0072371E">
        <w:rPr>
          <w:rFonts w:ascii="Arial" w:hAnsi="Arial" w:cs="Arial"/>
          <w:lang w:eastAsia="en-GB"/>
        </w:rPr>
        <w:t xml:space="preserve"> </w:t>
      </w:r>
    </w:p>
    <w:p w14:paraId="3B6669E6" w14:textId="1AAEC71E" w:rsidR="006E563C" w:rsidRPr="00C92570" w:rsidRDefault="00437E23" w:rsidP="00944EE1">
      <w:pPr>
        <w:jc w:val="both"/>
        <w:rPr>
          <w:rFonts w:ascii="Arial" w:hAnsi="Arial" w:cs="Arial"/>
        </w:rPr>
      </w:pPr>
      <w:r>
        <w:rPr>
          <w:rFonts w:ascii="Arial" w:hAnsi="Arial" w:cs="Arial"/>
        </w:rPr>
        <w:t>Taking into account the local context</w:t>
      </w:r>
      <w:r w:rsidR="00824E63">
        <w:rPr>
          <w:rFonts w:ascii="Arial" w:hAnsi="Arial" w:cs="Arial"/>
        </w:rPr>
        <w:t xml:space="preserve">, </w:t>
      </w:r>
      <w:r w:rsidR="00824E63" w:rsidRPr="00C92570">
        <w:rPr>
          <w:rFonts w:ascii="Arial" w:hAnsi="Arial" w:cs="Arial"/>
        </w:rPr>
        <w:t xml:space="preserve">while </w:t>
      </w:r>
      <w:r w:rsidR="00944EE1" w:rsidRPr="00C92570">
        <w:rPr>
          <w:rFonts w:ascii="Arial" w:hAnsi="Arial" w:cs="Arial"/>
        </w:rPr>
        <w:t>the Council has an historic high level of capital financing requirement, it does</w:t>
      </w:r>
      <w:r w:rsidR="006D108F" w:rsidRPr="00C92570">
        <w:rPr>
          <w:rFonts w:ascii="Arial" w:hAnsi="Arial" w:cs="Arial"/>
        </w:rPr>
        <w:t xml:space="preserve"> adopt a prudent approach to the need to borrow and seeks </w:t>
      </w:r>
      <w:r w:rsidR="005516AD" w:rsidRPr="00C92570">
        <w:rPr>
          <w:rFonts w:ascii="Arial" w:hAnsi="Arial" w:cs="Arial"/>
        </w:rPr>
        <w:t xml:space="preserve">to finance capital expenditure from alternative sources whether possible.  </w:t>
      </w:r>
    </w:p>
    <w:p w14:paraId="1865052D" w14:textId="77777777" w:rsidR="006E563C" w:rsidRPr="00C92570" w:rsidRDefault="006E563C" w:rsidP="00944EE1">
      <w:pPr>
        <w:jc w:val="both"/>
        <w:rPr>
          <w:rFonts w:ascii="Arial" w:hAnsi="Arial" w:cs="Arial"/>
        </w:rPr>
      </w:pPr>
    </w:p>
    <w:p w14:paraId="0D85BD47" w14:textId="77777777" w:rsidR="007764BA" w:rsidRPr="00762038" w:rsidRDefault="00944EE1" w:rsidP="00944EE1">
      <w:pPr>
        <w:jc w:val="both"/>
        <w:rPr>
          <w:rFonts w:ascii="Arial" w:hAnsi="Arial" w:cs="Arial"/>
        </w:rPr>
      </w:pPr>
      <w:r w:rsidRPr="00C92570">
        <w:rPr>
          <w:rFonts w:ascii="Arial" w:hAnsi="Arial" w:cs="Arial"/>
        </w:rPr>
        <w:t xml:space="preserve">In terms of the General Fund the use of long-term prudential borrowing will only be used as a funding mechanism for key projects following a full financial assessment, with priority for income generating/sustaining schemes.  It may however be used as a short-term measure to fund capital expenditure prior to a capital receipt being received, or in the absence of any other funding source.  </w:t>
      </w:r>
      <w:r w:rsidR="00B4125F" w:rsidRPr="00C92570">
        <w:rPr>
          <w:rFonts w:ascii="Arial" w:hAnsi="Arial" w:cs="Arial"/>
        </w:rPr>
        <w:t>In terms of the HRA</w:t>
      </w:r>
      <w:r w:rsidR="00BC159B" w:rsidRPr="00C92570">
        <w:rPr>
          <w:rFonts w:ascii="Arial" w:hAnsi="Arial" w:cs="Arial"/>
        </w:rPr>
        <w:t xml:space="preserve">, </w:t>
      </w:r>
      <w:r w:rsidR="002659C7" w:rsidRPr="00C92570">
        <w:rPr>
          <w:rFonts w:ascii="Arial" w:hAnsi="Arial" w:cs="Arial"/>
        </w:rPr>
        <w:t xml:space="preserve">financing of new builds or acquisitions will be funded through borrowing on the basis that </w:t>
      </w:r>
      <w:r w:rsidR="002659C7" w:rsidRPr="00762038">
        <w:rPr>
          <w:rFonts w:ascii="Arial" w:hAnsi="Arial" w:cs="Arial"/>
        </w:rPr>
        <w:t>investments are made where projected income offsets the cost including borrowing.</w:t>
      </w:r>
      <w:r w:rsidR="00986C65" w:rsidRPr="00762038">
        <w:rPr>
          <w:rFonts w:ascii="Arial" w:hAnsi="Arial" w:cs="Arial"/>
        </w:rPr>
        <w:t xml:space="preserve"> </w:t>
      </w:r>
    </w:p>
    <w:p w14:paraId="65F62E39" w14:textId="06F090E8" w:rsidR="007764BA" w:rsidRPr="00762038" w:rsidRDefault="007764BA" w:rsidP="007764BA">
      <w:pPr>
        <w:jc w:val="both"/>
        <w:rPr>
          <w:rFonts w:ascii="Arial" w:hAnsi="Arial" w:cs="Arial"/>
        </w:rPr>
      </w:pPr>
      <w:r w:rsidRPr="00762038">
        <w:rPr>
          <w:rFonts w:ascii="Arial" w:hAnsi="Arial" w:cs="Arial"/>
        </w:rPr>
        <w:t xml:space="preserve">Over the past decade the levels of the Council’s capital finance requirement has significantly increased, (in 2012/13 the CFR was £57m, in </w:t>
      </w:r>
      <w:r w:rsidRPr="003E7EE2">
        <w:rPr>
          <w:rFonts w:ascii="Arial" w:hAnsi="Arial" w:cs="Arial"/>
        </w:rPr>
        <w:t>202</w:t>
      </w:r>
      <w:r w:rsidR="00536DE3" w:rsidRPr="003E7EE2">
        <w:rPr>
          <w:rFonts w:ascii="Arial" w:hAnsi="Arial" w:cs="Arial"/>
        </w:rPr>
        <w:t>4</w:t>
      </w:r>
      <w:r w:rsidRPr="003E7EE2">
        <w:rPr>
          <w:rFonts w:ascii="Arial" w:hAnsi="Arial" w:cs="Arial"/>
        </w:rPr>
        <w:t>/2</w:t>
      </w:r>
      <w:r w:rsidR="00536DE3" w:rsidRPr="003E7EE2">
        <w:rPr>
          <w:rFonts w:ascii="Arial" w:hAnsi="Arial" w:cs="Arial"/>
        </w:rPr>
        <w:t>5</w:t>
      </w:r>
      <w:r w:rsidRPr="003E7EE2">
        <w:rPr>
          <w:rFonts w:ascii="Arial" w:hAnsi="Arial" w:cs="Arial"/>
        </w:rPr>
        <w:t xml:space="preserve"> it was £</w:t>
      </w:r>
      <w:r w:rsidR="00AE64FC" w:rsidRPr="003E7EE2">
        <w:rPr>
          <w:rFonts w:ascii="Arial" w:hAnsi="Arial" w:cs="Arial"/>
        </w:rPr>
        <w:t>15</w:t>
      </w:r>
      <w:r w:rsidR="00762038" w:rsidRPr="003E7EE2">
        <w:rPr>
          <w:rFonts w:ascii="Arial" w:hAnsi="Arial" w:cs="Arial"/>
        </w:rPr>
        <w:t>2</w:t>
      </w:r>
      <w:r w:rsidRPr="003E7EE2">
        <w:rPr>
          <w:rFonts w:ascii="Arial" w:hAnsi="Arial" w:cs="Arial"/>
        </w:rPr>
        <w:t>m)</w:t>
      </w:r>
      <w:r w:rsidRPr="00762038">
        <w:rPr>
          <w:rFonts w:ascii="Arial" w:hAnsi="Arial" w:cs="Arial"/>
        </w:rPr>
        <w:t xml:space="preserve"> due to funding decisions taken in relation to:</w:t>
      </w:r>
    </w:p>
    <w:p w14:paraId="30581C0C" w14:textId="77777777" w:rsidR="007764BA" w:rsidRPr="00B91350" w:rsidRDefault="007764BA" w:rsidP="007764BA">
      <w:pPr>
        <w:jc w:val="both"/>
        <w:rPr>
          <w:rFonts w:ascii="Arial" w:hAnsi="Arial" w:cs="Arial"/>
          <w:b/>
          <w:bCs/>
          <w:highlight w:val="yellow"/>
        </w:rPr>
      </w:pPr>
    </w:p>
    <w:p w14:paraId="3F38BBF2" w14:textId="77777777" w:rsidR="007764BA" w:rsidRPr="00177410" w:rsidRDefault="007764BA" w:rsidP="00CF25BB">
      <w:pPr>
        <w:pStyle w:val="ListParagraph"/>
        <w:numPr>
          <w:ilvl w:val="0"/>
          <w:numId w:val="40"/>
        </w:numPr>
        <w:spacing w:after="0" w:line="240" w:lineRule="auto"/>
        <w:jc w:val="both"/>
        <w:rPr>
          <w:rFonts w:ascii="Arial" w:hAnsi="Arial" w:cs="Arial"/>
          <w:b/>
          <w:sz w:val="24"/>
          <w:szCs w:val="24"/>
        </w:rPr>
      </w:pPr>
      <w:r w:rsidRPr="00177410">
        <w:rPr>
          <w:rFonts w:ascii="Arial" w:hAnsi="Arial" w:cs="Arial"/>
          <w:sz w:val="24"/>
          <w:szCs w:val="24"/>
        </w:rPr>
        <w:t>Investment in Lincoln Central Car Park, resulting in significant additional revenue income.</w:t>
      </w:r>
    </w:p>
    <w:p w14:paraId="7E8F069B" w14:textId="77777777" w:rsidR="007764BA" w:rsidRPr="00177410" w:rsidRDefault="007764BA" w:rsidP="00CF25BB">
      <w:pPr>
        <w:pStyle w:val="ListParagraph"/>
        <w:numPr>
          <w:ilvl w:val="0"/>
          <w:numId w:val="40"/>
        </w:numPr>
        <w:spacing w:after="0" w:line="240" w:lineRule="auto"/>
        <w:jc w:val="both"/>
        <w:rPr>
          <w:rFonts w:ascii="Arial" w:hAnsi="Arial" w:cs="Arial"/>
          <w:b/>
          <w:sz w:val="24"/>
          <w:szCs w:val="24"/>
        </w:rPr>
      </w:pPr>
      <w:r w:rsidRPr="00177410">
        <w:rPr>
          <w:rFonts w:ascii="Arial" w:hAnsi="Arial" w:cs="Arial"/>
          <w:sz w:val="24"/>
          <w:szCs w:val="24"/>
        </w:rPr>
        <w:t>Acquisition of investment properties: Travelodge, NCP Car Parks and Deacon Road Retail Units.</w:t>
      </w:r>
    </w:p>
    <w:p w14:paraId="4FFD6464" w14:textId="77777777" w:rsidR="007764BA" w:rsidRPr="00177410" w:rsidRDefault="007764BA" w:rsidP="00CF25BB">
      <w:pPr>
        <w:pStyle w:val="ListParagraph"/>
        <w:numPr>
          <w:ilvl w:val="0"/>
          <w:numId w:val="40"/>
        </w:numPr>
        <w:spacing w:after="0" w:line="240" w:lineRule="auto"/>
        <w:jc w:val="both"/>
        <w:rPr>
          <w:rFonts w:ascii="Arial" w:hAnsi="Arial" w:cs="Arial"/>
          <w:b/>
          <w:sz w:val="24"/>
          <w:szCs w:val="24"/>
        </w:rPr>
      </w:pPr>
      <w:r w:rsidRPr="00177410">
        <w:rPr>
          <w:rFonts w:ascii="Arial" w:hAnsi="Arial" w:cs="Arial"/>
          <w:sz w:val="24"/>
          <w:szCs w:val="24"/>
        </w:rPr>
        <w:t>Investment at the Crematorium to maintain existing income streams.</w:t>
      </w:r>
    </w:p>
    <w:p w14:paraId="47012260" w14:textId="77777777" w:rsidR="007764BA" w:rsidRPr="00177410" w:rsidRDefault="007764BA" w:rsidP="00CF25BB">
      <w:pPr>
        <w:pStyle w:val="ListParagraph"/>
        <w:numPr>
          <w:ilvl w:val="0"/>
          <w:numId w:val="40"/>
        </w:numPr>
        <w:spacing w:after="0" w:line="240" w:lineRule="auto"/>
        <w:jc w:val="both"/>
        <w:rPr>
          <w:rFonts w:ascii="Arial" w:hAnsi="Arial" w:cs="Arial"/>
          <w:b/>
          <w:sz w:val="24"/>
          <w:szCs w:val="24"/>
        </w:rPr>
      </w:pPr>
      <w:r w:rsidRPr="00177410">
        <w:rPr>
          <w:rFonts w:ascii="Arial" w:hAnsi="Arial" w:cs="Arial"/>
          <w:sz w:val="24"/>
          <w:szCs w:val="24"/>
        </w:rPr>
        <w:t>‘Buy-out’ under HRA Self-Financing reforms.</w:t>
      </w:r>
    </w:p>
    <w:p w14:paraId="119092BF" w14:textId="3F69FBD8" w:rsidR="007764BA" w:rsidRPr="00177410" w:rsidRDefault="007764BA" w:rsidP="00CF25BB">
      <w:pPr>
        <w:pStyle w:val="ListParagraph"/>
        <w:numPr>
          <w:ilvl w:val="0"/>
          <w:numId w:val="40"/>
        </w:numPr>
        <w:spacing w:after="0" w:line="240" w:lineRule="auto"/>
        <w:jc w:val="both"/>
        <w:rPr>
          <w:rFonts w:ascii="Arial" w:hAnsi="Arial" w:cs="Arial"/>
          <w:b/>
          <w:sz w:val="24"/>
          <w:szCs w:val="24"/>
        </w:rPr>
      </w:pPr>
      <w:r w:rsidRPr="00177410">
        <w:rPr>
          <w:rFonts w:ascii="Arial" w:hAnsi="Arial" w:cs="Arial"/>
          <w:sz w:val="24"/>
          <w:szCs w:val="24"/>
        </w:rPr>
        <w:t>Significant investment in new builds and buyback, e.g</w:t>
      </w:r>
      <w:r w:rsidR="00067C13">
        <w:rPr>
          <w:rFonts w:ascii="Arial" w:hAnsi="Arial" w:cs="Arial"/>
          <w:sz w:val="24"/>
          <w:szCs w:val="24"/>
        </w:rPr>
        <w:t>.</w:t>
      </w:r>
      <w:r w:rsidRPr="00177410">
        <w:rPr>
          <w:rFonts w:ascii="Arial" w:hAnsi="Arial" w:cs="Arial"/>
          <w:sz w:val="24"/>
          <w:szCs w:val="24"/>
        </w:rPr>
        <w:t xml:space="preserve"> De Wint Court, Rookery Lane, Markham House, </w:t>
      </w:r>
      <w:r w:rsidR="00053CDE" w:rsidRPr="00177410">
        <w:rPr>
          <w:rFonts w:ascii="Arial" w:hAnsi="Arial" w:cs="Arial"/>
          <w:sz w:val="24"/>
          <w:szCs w:val="24"/>
        </w:rPr>
        <w:t xml:space="preserve">Victory Hotel site, </w:t>
      </w:r>
      <w:r w:rsidRPr="00177410">
        <w:rPr>
          <w:rFonts w:ascii="Arial" w:hAnsi="Arial" w:cs="Arial"/>
          <w:sz w:val="24"/>
          <w:szCs w:val="24"/>
        </w:rPr>
        <w:t>buyback programme, LAHF homes etc, resulting in significant additional rental income</w:t>
      </w:r>
    </w:p>
    <w:p w14:paraId="725A6301" w14:textId="77777777" w:rsidR="007764BA" w:rsidRPr="00B91350" w:rsidRDefault="007764BA" w:rsidP="007764BA">
      <w:pPr>
        <w:jc w:val="both"/>
        <w:rPr>
          <w:rFonts w:ascii="Arial" w:hAnsi="Arial" w:cs="Arial"/>
          <w:highlight w:val="yellow"/>
        </w:rPr>
      </w:pPr>
    </w:p>
    <w:p w14:paraId="1095115B" w14:textId="77777777" w:rsidR="007764BA" w:rsidRPr="00744A9D" w:rsidRDefault="007764BA" w:rsidP="007764BA">
      <w:pPr>
        <w:jc w:val="both"/>
        <w:rPr>
          <w:rFonts w:ascii="Arial" w:hAnsi="Arial" w:cs="Arial"/>
        </w:rPr>
      </w:pPr>
      <w:r w:rsidRPr="00744A9D">
        <w:rPr>
          <w:rFonts w:ascii="Arial" w:hAnsi="Arial" w:cs="Arial"/>
        </w:rPr>
        <w:t>The use of prudential borrowing in relation to both the General Fund and HRA has resulted in significant additional income, in excess of annual revenue cost of borrowing.  This use of borrowing has been undertaken in accordance with the principles of being prudent and affordable to do so and has ensured the financial sustainability of the General Fund.  In the absence of the revenue income generated by these investments, significant reductions in services would have been required.</w:t>
      </w:r>
    </w:p>
    <w:p w14:paraId="476AC436" w14:textId="77777777" w:rsidR="007764BA" w:rsidRPr="00B91350" w:rsidRDefault="007764BA" w:rsidP="00944EE1">
      <w:pPr>
        <w:jc w:val="both"/>
        <w:rPr>
          <w:rFonts w:ascii="Arial" w:hAnsi="Arial" w:cs="Arial"/>
          <w:highlight w:val="yellow"/>
        </w:rPr>
      </w:pPr>
    </w:p>
    <w:p w14:paraId="3E5E8117" w14:textId="5D29939D" w:rsidR="0053725F" w:rsidRPr="005650CC" w:rsidRDefault="0053725F" w:rsidP="0053725F">
      <w:pPr>
        <w:jc w:val="both"/>
        <w:rPr>
          <w:rFonts w:ascii="Arial" w:hAnsi="Arial" w:cs="Arial"/>
        </w:rPr>
      </w:pPr>
      <w:r w:rsidRPr="005650CC">
        <w:rPr>
          <w:rFonts w:ascii="Arial" w:hAnsi="Arial" w:cs="Arial"/>
        </w:rPr>
        <w:t xml:space="preserve">The Council has also taken the decision to amend its Minimum Revenue Provision (MRP) policy on two occasions in the last ten years.  This has the consequence of reducing the annual revenue charge (and as such supporting the General Fund), but does however mean that the capital financing requirement does not reduce as quickly.  These decisions </w:t>
      </w:r>
      <w:r w:rsidR="001E5022">
        <w:rPr>
          <w:rFonts w:ascii="Arial" w:hAnsi="Arial" w:cs="Arial"/>
        </w:rPr>
        <w:t>were</w:t>
      </w:r>
      <w:r w:rsidRPr="005650CC">
        <w:rPr>
          <w:rFonts w:ascii="Arial" w:hAnsi="Arial" w:cs="Arial"/>
        </w:rPr>
        <w:t xml:space="preserve"> taken in order to maintain the financial sustainability of the General Fund and with the implications for the CFR being fully set out.</w:t>
      </w:r>
    </w:p>
    <w:p w14:paraId="01769C80" w14:textId="77777777" w:rsidR="0053725F" w:rsidRPr="005650CC" w:rsidRDefault="0053725F" w:rsidP="00944EE1">
      <w:pPr>
        <w:jc w:val="both"/>
        <w:rPr>
          <w:rFonts w:ascii="Arial" w:hAnsi="Arial" w:cs="Arial"/>
        </w:rPr>
      </w:pPr>
    </w:p>
    <w:p w14:paraId="3DB26792" w14:textId="77777777" w:rsidR="00964CE4" w:rsidRPr="005650CC" w:rsidRDefault="00964CE4" w:rsidP="00964CE4">
      <w:pPr>
        <w:autoSpaceDE w:val="0"/>
        <w:autoSpaceDN w:val="0"/>
        <w:adjustRightInd w:val="0"/>
        <w:jc w:val="both"/>
        <w:rPr>
          <w:rFonts w:ascii="Arial" w:hAnsi="Arial" w:cs="Arial"/>
        </w:rPr>
      </w:pPr>
      <w:r w:rsidRPr="005650CC">
        <w:rPr>
          <w:rFonts w:ascii="Arial" w:hAnsi="Arial" w:cs="Arial"/>
        </w:rPr>
        <w:t>Further details about the Council’s borrowing requirements and the Prudential Indicators can be found in the Council’s Treasury Management Strategy.</w:t>
      </w:r>
    </w:p>
    <w:p w14:paraId="0FE14E1E" w14:textId="77777777" w:rsidR="00C77CFB" w:rsidRPr="00B91350" w:rsidRDefault="00C77CFB" w:rsidP="00AE2B82">
      <w:pPr>
        <w:jc w:val="both"/>
        <w:rPr>
          <w:rFonts w:ascii="Arial" w:hAnsi="Arial" w:cs="Arial"/>
          <w:b/>
          <w:highlight w:val="yellow"/>
        </w:rPr>
      </w:pPr>
    </w:p>
    <w:p w14:paraId="71A8C183" w14:textId="5A0F88CD" w:rsidR="00A16DE4" w:rsidRPr="00DB1769" w:rsidRDefault="00A16DE4" w:rsidP="00A16DE4">
      <w:pPr>
        <w:jc w:val="both"/>
        <w:rPr>
          <w:rFonts w:ascii="Arial" w:hAnsi="Arial" w:cs="Arial"/>
          <w:b/>
          <w:color w:val="C45911" w:themeColor="accent2" w:themeShade="BF"/>
          <w:sz w:val="28"/>
          <w:szCs w:val="28"/>
        </w:rPr>
      </w:pPr>
      <w:r w:rsidRPr="00DB1769">
        <w:rPr>
          <w:rFonts w:ascii="Arial" w:hAnsi="Arial" w:cs="Arial"/>
          <w:b/>
          <w:color w:val="C45911" w:themeColor="accent2" w:themeShade="BF"/>
          <w:sz w:val="28"/>
          <w:szCs w:val="28"/>
        </w:rPr>
        <w:t>Management of Risk</w:t>
      </w:r>
    </w:p>
    <w:p w14:paraId="7214A431" w14:textId="77777777" w:rsidR="00A16DE4" w:rsidRPr="00DB1769" w:rsidRDefault="00A16DE4" w:rsidP="00A16DE4">
      <w:pPr>
        <w:jc w:val="both"/>
        <w:rPr>
          <w:rFonts w:ascii="Arial" w:hAnsi="Arial" w:cs="Arial"/>
        </w:rPr>
      </w:pPr>
    </w:p>
    <w:p w14:paraId="1CEBD155" w14:textId="720E3E7B" w:rsidR="00A16DE4" w:rsidRPr="00DB1769" w:rsidRDefault="00A16DE4" w:rsidP="00A16DE4">
      <w:pPr>
        <w:jc w:val="both"/>
        <w:rPr>
          <w:rFonts w:ascii="Arial" w:hAnsi="Arial" w:cs="Arial"/>
        </w:rPr>
      </w:pPr>
      <w:r w:rsidRPr="00DB1769">
        <w:rPr>
          <w:rFonts w:ascii="Arial" w:hAnsi="Arial" w:cs="Arial"/>
        </w:rPr>
        <w:t xml:space="preserve">The Council has always maintained a very proactive approach to managing risk and there are effective arrangements for financial control already in place.  </w:t>
      </w:r>
    </w:p>
    <w:p w14:paraId="284F36A9" w14:textId="77777777" w:rsidR="00393F7F" w:rsidRPr="00B05D11" w:rsidRDefault="00393F7F" w:rsidP="00A16DE4">
      <w:pPr>
        <w:jc w:val="both"/>
        <w:rPr>
          <w:rFonts w:ascii="Arial" w:hAnsi="Arial" w:cs="Arial"/>
        </w:rPr>
      </w:pPr>
    </w:p>
    <w:p w14:paraId="116E1661" w14:textId="31ED2ADF" w:rsidR="00891545" w:rsidRPr="00B05D11" w:rsidRDefault="00A16DE4" w:rsidP="00A16DE4">
      <w:pPr>
        <w:jc w:val="both"/>
        <w:rPr>
          <w:rFonts w:ascii="Arial" w:hAnsi="Arial" w:cs="Arial"/>
        </w:rPr>
      </w:pPr>
      <w:r w:rsidRPr="00B05D11">
        <w:rPr>
          <w:rFonts w:ascii="Arial" w:hAnsi="Arial" w:cs="Arial"/>
        </w:rPr>
        <w:t xml:space="preserve">The financial risks, in Appendix </w:t>
      </w:r>
      <w:r w:rsidR="00F926A5">
        <w:rPr>
          <w:rFonts w:ascii="Arial" w:hAnsi="Arial" w:cs="Arial"/>
        </w:rPr>
        <w:t>6</w:t>
      </w:r>
      <w:r w:rsidRPr="00B05D11">
        <w:rPr>
          <w:rFonts w:ascii="Arial" w:hAnsi="Arial" w:cs="Arial"/>
        </w:rPr>
        <w:t>, have been identified and an assessment of the estimated exposure, likelihood and mitigation</w:t>
      </w:r>
      <w:r w:rsidR="00D226A6" w:rsidRPr="00B05D11">
        <w:rPr>
          <w:rFonts w:ascii="Arial" w:hAnsi="Arial" w:cs="Arial"/>
        </w:rPr>
        <w:t>s</w:t>
      </w:r>
      <w:r w:rsidRPr="00B05D11">
        <w:rPr>
          <w:rFonts w:ascii="Arial" w:hAnsi="Arial" w:cs="Arial"/>
        </w:rPr>
        <w:t xml:space="preserve"> has been made in the context of the Council’s overall approach to risk management and internal financial controls.  </w:t>
      </w:r>
    </w:p>
    <w:p w14:paraId="5D5A9EE5" w14:textId="77777777" w:rsidR="00891545" w:rsidRPr="00B91350" w:rsidRDefault="00891545" w:rsidP="00A16DE4">
      <w:pPr>
        <w:jc w:val="both"/>
        <w:rPr>
          <w:rFonts w:ascii="Arial" w:hAnsi="Arial" w:cs="Arial"/>
          <w:highlight w:val="yellow"/>
        </w:rPr>
      </w:pPr>
    </w:p>
    <w:p w14:paraId="6285F52F" w14:textId="77777777" w:rsidR="002F77A6" w:rsidRPr="00D96185" w:rsidRDefault="002F77A6" w:rsidP="002F77A6">
      <w:pPr>
        <w:jc w:val="both"/>
        <w:rPr>
          <w:rFonts w:ascii="Arial" w:hAnsi="Arial" w:cs="Arial"/>
          <w:b/>
          <w:color w:val="C45911" w:themeColor="accent2" w:themeShade="BF"/>
          <w:sz w:val="28"/>
          <w:szCs w:val="28"/>
        </w:rPr>
      </w:pPr>
      <w:r w:rsidRPr="00D96185">
        <w:rPr>
          <w:rFonts w:ascii="Arial" w:hAnsi="Arial" w:cs="Arial"/>
          <w:b/>
          <w:color w:val="C45911" w:themeColor="accent2" w:themeShade="BF"/>
          <w:sz w:val="28"/>
          <w:szCs w:val="28"/>
        </w:rPr>
        <w:t>Reserves and Balances</w:t>
      </w:r>
    </w:p>
    <w:p w14:paraId="481BE709" w14:textId="77777777" w:rsidR="002F77A6" w:rsidRPr="00D96185" w:rsidRDefault="002F77A6" w:rsidP="002F77A6">
      <w:pPr>
        <w:jc w:val="both"/>
        <w:rPr>
          <w:rFonts w:ascii="Arial" w:hAnsi="Arial" w:cs="Arial"/>
        </w:rPr>
      </w:pPr>
    </w:p>
    <w:p w14:paraId="717B31BD" w14:textId="29F120CE" w:rsidR="002F77A6" w:rsidRPr="00B91350" w:rsidRDefault="002F77A6" w:rsidP="002F77A6">
      <w:pPr>
        <w:jc w:val="both"/>
        <w:rPr>
          <w:rFonts w:ascii="Arial" w:hAnsi="Arial" w:cs="Arial"/>
          <w:highlight w:val="yellow"/>
        </w:rPr>
      </w:pPr>
      <w:r w:rsidRPr="00D96185">
        <w:rPr>
          <w:rFonts w:ascii="Arial" w:hAnsi="Arial" w:cs="Arial"/>
        </w:rPr>
        <w:t xml:space="preserve">Some reserves and balances are essential for the prudent management of the Council’s financial affairs.  These will provide a working balance to cushion the impact of uneven cash flow, a contingency for the impact of unexpected events or </w:t>
      </w:r>
      <w:r w:rsidRPr="00CD4CFF">
        <w:rPr>
          <w:rFonts w:ascii="Arial" w:hAnsi="Arial" w:cs="Arial"/>
        </w:rPr>
        <w:t xml:space="preserve">emergencies (as experienced </w:t>
      </w:r>
      <w:r w:rsidR="00954E7B" w:rsidRPr="00CD4CFF">
        <w:rPr>
          <w:rFonts w:ascii="Arial" w:hAnsi="Arial" w:cs="Arial"/>
        </w:rPr>
        <w:t xml:space="preserve">with </w:t>
      </w:r>
      <w:r w:rsidRPr="00CD4CFF">
        <w:rPr>
          <w:rFonts w:ascii="Arial" w:hAnsi="Arial" w:cs="Arial"/>
        </w:rPr>
        <w:t xml:space="preserve">unforeseen and unavoidable </w:t>
      </w:r>
      <w:r w:rsidR="001D4CAB" w:rsidRPr="00CD4CFF">
        <w:rPr>
          <w:rFonts w:ascii="Arial" w:hAnsi="Arial" w:cs="Arial"/>
        </w:rPr>
        <w:t>contract</w:t>
      </w:r>
      <w:r w:rsidR="00CD4CFF" w:rsidRPr="00CD4CFF">
        <w:rPr>
          <w:rFonts w:ascii="Arial" w:hAnsi="Arial" w:cs="Arial"/>
        </w:rPr>
        <w:t>or</w:t>
      </w:r>
      <w:r w:rsidR="001D4CAB" w:rsidRPr="00CD4CFF">
        <w:rPr>
          <w:rFonts w:ascii="Arial" w:hAnsi="Arial" w:cs="Arial"/>
        </w:rPr>
        <w:t xml:space="preserve"> </w:t>
      </w:r>
      <w:r w:rsidR="00CD4CFF" w:rsidRPr="00CD4CFF">
        <w:rPr>
          <w:rFonts w:ascii="Arial" w:hAnsi="Arial" w:cs="Arial"/>
        </w:rPr>
        <w:t>issues</w:t>
      </w:r>
      <w:r w:rsidRPr="00CD4CFF">
        <w:rPr>
          <w:rFonts w:ascii="Arial" w:hAnsi="Arial" w:cs="Arial"/>
        </w:rPr>
        <w:t xml:space="preserve"> arising over the </w:t>
      </w:r>
      <w:r w:rsidR="00CD4CFF" w:rsidRPr="00CD4CFF">
        <w:rPr>
          <w:rFonts w:ascii="Arial" w:hAnsi="Arial" w:cs="Arial"/>
        </w:rPr>
        <w:t>last 12 months</w:t>
      </w:r>
      <w:r w:rsidRPr="00CD4CFF">
        <w:rPr>
          <w:rFonts w:ascii="Arial" w:hAnsi="Arial" w:cs="Arial"/>
        </w:rPr>
        <w:t xml:space="preserve">) and allow the creation of earmarked reserves to meet known liabilities.  </w:t>
      </w:r>
      <w:r w:rsidRPr="00DF7F3D">
        <w:rPr>
          <w:rFonts w:ascii="Arial" w:hAnsi="Arial" w:cs="Arial"/>
        </w:rPr>
        <w:t xml:space="preserve">The consequences of not keeping a minimum level of reserves can be serious and is therefore one of the </w:t>
      </w:r>
      <w:r w:rsidR="00D7191D" w:rsidRPr="00DF7F3D">
        <w:rPr>
          <w:rFonts w:ascii="Arial" w:hAnsi="Arial" w:cs="Arial"/>
        </w:rPr>
        <w:t xml:space="preserve">key </w:t>
      </w:r>
      <w:r w:rsidRPr="00DF7F3D">
        <w:rPr>
          <w:rFonts w:ascii="Arial" w:hAnsi="Arial" w:cs="Arial"/>
        </w:rPr>
        <w:t>considerations when setting the MTFS.</w:t>
      </w:r>
    </w:p>
    <w:p w14:paraId="1E3007F6" w14:textId="77777777" w:rsidR="002F77A6" w:rsidRPr="00B91350" w:rsidRDefault="002F77A6" w:rsidP="002F77A6">
      <w:pPr>
        <w:jc w:val="both"/>
        <w:rPr>
          <w:rFonts w:ascii="Arial" w:hAnsi="Arial" w:cs="Arial"/>
          <w:highlight w:val="yellow"/>
        </w:rPr>
      </w:pPr>
    </w:p>
    <w:p w14:paraId="33AE3C37" w14:textId="77777777" w:rsidR="002F77A6" w:rsidRPr="000D3AA1" w:rsidRDefault="002F77A6" w:rsidP="002F77A6">
      <w:pPr>
        <w:jc w:val="both"/>
        <w:rPr>
          <w:rFonts w:ascii="Arial" w:hAnsi="Arial" w:cs="Arial"/>
        </w:rPr>
      </w:pPr>
      <w:r w:rsidRPr="000D3AA1">
        <w:rPr>
          <w:rFonts w:ascii="Arial" w:hAnsi="Arial" w:cs="Arial"/>
        </w:rPr>
        <w:t>The minimum prudent levels of reserves and balances that the Council should maintain are a matter of judgement.  It is the Council’s safety net for unforeseen circumstances and must last the lifetime of the Council unless contributions are made from future years’ revenue budgets.  It is currently for local authorities themselves, taking into account all the relevant local circumstances, to make a professional judgement on what the appropriate level of reserves and balances should be.</w:t>
      </w:r>
    </w:p>
    <w:p w14:paraId="0C2AD6FA" w14:textId="77777777" w:rsidR="002F77A6" w:rsidRPr="000D3AA1" w:rsidRDefault="002F77A6" w:rsidP="00A16DE4">
      <w:pPr>
        <w:jc w:val="both"/>
        <w:rPr>
          <w:rFonts w:ascii="Arial" w:hAnsi="Arial" w:cs="Arial"/>
        </w:rPr>
      </w:pPr>
    </w:p>
    <w:p w14:paraId="797B2ABE" w14:textId="4AEF10C6" w:rsidR="002F77A6" w:rsidRPr="000D3AA1" w:rsidRDefault="002F77A6" w:rsidP="002F77A6">
      <w:pPr>
        <w:jc w:val="both"/>
        <w:rPr>
          <w:rFonts w:ascii="Arial" w:hAnsi="Arial" w:cs="Arial"/>
        </w:rPr>
      </w:pPr>
      <w:r w:rsidRPr="000D3AA1">
        <w:rPr>
          <w:rFonts w:ascii="Arial" w:hAnsi="Arial" w:cs="Arial"/>
        </w:rPr>
        <w:t xml:space="preserve">In order to ensure the adequacy of the Council’s reserves </w:t>
      </w:r>
      <w:r w:rsidR="00A93BF4" w:rsidRPr="000D3AA1">
        <w:rPr>
          <w:rFonts w:ascii="Arial" w:hAnsi="Arial" w:cs="Arial"/>
        </w:rPr>
        <w:t xml:space="preserve">and balances </w:t>
      </w:r>
      <w:r w:rsidRPr="000D3AA1">
        <w:rPr>
          <w:rFonts w:ascii="Arial" w:hAnsi="Arial" w:cs="Arial"/>
        </w:rPr>
        <w:t xml:space="preserve">(i.e. their robustness) it is essential to determine if the Councils </w:t>
      </w:r>
      <w:r w:rsidR="00141FCC" w:rsidRPr="000D3AA1">
        <w:rPr>
          <w:rFonts w:ascii="Arial" w:hAnsi="Arial" w:cs="Arial"/>
        </w:rPr>
        <w:t>they</w:t>
      </w:r>
      <w:r w:rsidRPr="000D3AA1">
        <w:rPr>
          <w:rFonts w:ascii="Arial" w:hAnsi="Arial" w:cs="Arial"/>
        </w:rPr>
        <w:t xml:space="preserve"> are sufficient to meet the assessed risks over the MTFS period. </w:t>
      </w:r>
    </w:p>
    <w:p w14:paraId="57CBC3D8" w14:textId="77777777" w:rsidR="002F77A6" w:rsidRPr="00B91350" w:rsidRDefault="002F77A6" w:rsidP="00A16DE4">
      <w:pPr>
        <w:jc w:val="both"/>
        <w:rPr>
          <w:rFonts w:ascii="Arial" w:hAnsi="Arial" w:cs="Arial"/>
          <w:highlight w:val="yellow"/>
        </w:rPr>
      </w:pPr>
    </w:p>
    <w:p w14:paraId="738BEB19" w14:textId="214B12BE" w:rsidR="00623753" w:rsidRPr="00B91350" w:rsidRDefault="00623753" w:rsidP="00623753">
      <w:pPr>
        <w:jc w:val="both"/>
        <w:rPr>
          <w:rFonts w:ascii="Arial" w:hAnsi="Arial" w:cs="Arial"/>
          <w:highlight w:val="yellow"/>
        </w:rPr>
      </w:pPr>
      <w:r w:rsidRPr="00DF7F3D">
        <w:rPr>
          <w:rFonts w:ascii="Arial" w:hAnsi="Arial" w:cs="Arial"/>
        </w:rPr>
        <w:t xml:space="preserve">Using the risk </w:t>
      </w:r>
      <w:r w:rsidR="00A513B7" w:rsidRPr="00DF7F3D">
        <w:rPr>
          <w:rFonts w:ascii="Arial" w:hAnsi="Arial" w:cs="Arial"/>
        </w:rPr>
        <w:t>register</w:t>
      </w:r>
      <w:r w:rsidRPr="00DF7F3D">
        <w:rPr>
          <w:rFonts w:ascii="Arial" w:hAnsi="Arial" w:cs="Arial"/>
        </w:rPr>
        <w:t xml:space="preserve">, as set out in Appendix </w:t>
      </w:r>
      <w:r w:rsidR="00F926A5" w:rsidRPr="00DF7F3D">
        <w:rPr>
          <w:rFonts w:ascii="Arial" w:hAnsi="Arial" w:cs="Arial"/>
        </w:rPr>
        <w:t>6</w:t>
      </w:r>
      <w:r w:rsidRPr="00DF7F3D">
        <w:rPr>
          <w:rFonts w:ascii="Arial" w:hAnsi="Arial" w:cs="Arial"/>
        </w:rPr>
        <w:t>,</w:t>
      </w:r>
      <w:r w:rsidR="00A7741C" w:rsidRPr="00DF7F3D">
        <w:rPr>
          <w:rFonts w:ascii="Arial" w:hAnsi="Arial" w:cs="Arial"/>
        </w:rPr>
        <w:t xml:space="preserve"> </w:t>
      </w:r>
      <w:r w:rsidR="00A513B7" w:rsidRPr="00DF7F3D">
        <w:rPr>
          <w:rFonts w:ascii="Arial" w:hAnsi="Arial" w:cs="Arial"/>
        </w:rPr>
        <w:t>a</w:t>
      </w:r>
      <w:r w:rsidR="002464F2" w:rsidRPr="00DF7F3D">
        <w:rPr>
          <w:rFonts w:ascii="Arial" w:hAnsi="Arial" w:cs="Arial"/>
        </w:rPr>
        <w:t xml:space="preserve"> sensitivity analysis </w:t>
      </w:r>
      <w:r w:rsidR="00A513B7" w:rsidRPr="00DF7F3D">
        <w:rPr>
          <w:rFonts w:ascii="Arial" w:hAnsi="Arial" w:cs="Arial"/>
        </w:rPr>
        <w:t xml:space="preserve">has been </w:t>
      </w:r>
      <w:r w:rsidR="00A513B7" w:rsidRPr="00796484">
        <w:rPr>
          <w:rFonts w:ascii="Arial" w:hAnsi="Arial" w:cs="Arial"/>
        </w:rPr>
        <w:t xml:space="preserve">undertaken to </w:t>
      </w:r>
      <w:r w:rsidR="0067791A" w:rsidRPr="00796484">
        <w:rPr>
          <w:rFonts w:ascii="Arial" w:hAnsi="Arial" w:cs="Arial"/>
        </w:rPr>
        <w:t xml:space="preserve">determine </w:t>
      </w:r>
      <w:r w:rsidR="00A7741C" w:rsidRPr="00796484">
        <w:rPr>
          <w:rFonts w:ascii="Arial" w:hAnsi="Arial" w:cs="Arial"/>
        </w:rPr>
        <w:t>an</w:t>
      </w:r>
      <w:r w:rsidRPr="00796484">
        <w:rPr>
          <w:rFonts w:ascii="Arial" w:hAnsi="Arial" w:cs="Arial"/>
        </w:rPr>
        <w:t xml:space="preserve"> optimum level of reserve holdings needed to meet the requirements of a working balance and contingency</w:t>
      </w:r>
      <w:r w:rsidR="002F42FA" w:rsidRPr="00796484">
        <w:rPr>
          <w:rFonts w:ascii="Arial" w:hAnsi="Arial" w:cs="Arial"/>
        </w:rPr>
        <w:t xml:space="preserve"> to provide </w:t>
      </w:r>
      <w:r w:rsidR="007908A5" w:rsidRPr="00796484">
        <w:rPr>
          <w:rFonts w:ascii="Arial" w:hAnsi="Arial" w:cs="Arial"/>
        </w:rPr>
        <w:t>in-year resilience</w:t>
      </w:r>
      <w:r w:rsidRPr="00796484">
        <w:rPr>
          <w:rFonts w:ascii="Arial" w:hAnsi="Arial" w:cs="Arial"/>
        </w:rPr>
        <w:t>.  Th</w:t>
      </w:r>
      <w:r w:rsidR="0067791A" w:rsidRPr="00796484">
        <w:rPr>
          <w:rFonts w:ascii="Arial" w:hAnsi="Arial" w:cs="Arial"/>
        </w:rPr>
        <w:t>e</w:t>
      </w:r>
      <w:r w:rsidRPr="00796484">
        <w:rPr>
          <w:rFonts w:ascii="Arial" w:hAnsi="Arial" w:cs="Arial"/>
        </w:rPr>
        <w:t xml:space="preserve"> conclusion of this risk assessment is that it is deemed prudent that General Fund reserves should</w:t>
      </w:r>
      <w:r w:rsidR="003677AB" w:rsidRPr="00796484">
        <w:rPr>
          <w:rFonts w:ascii="Arial" w:hAnsi="Arial" w:cs="Arial"/>
        </w:rPr>
        <w:t xml:space="preserve"> continue to</w:t>
      </w:r>
      <w:r w:rsidRPr="00796484">
        <w:rPr>
          <w:rFonts w:ascii="Arial" w:hAnsi="Arial" w:cs="Arial"/>
        </w:rPr>
        <w:t xml:space="preserve"> be maintained at </w:t>
      </w:r>
      <w:r w:rsidRPr="004A0FF9">
        <w:rPr>
          <w:rFonts w:ascii="Arial" w:hAnsi="Arial" w:cs="Arial"/>
        </w:rPr>
        <w:t>around £2m, and that Housing Revenue Account reserves should maintained at around £1m - £1.5m.</w:t>
      </w:r>
    </w:p>
    <w:p w14:paraId="3DA739F4" w14:textId="77777777" w:rsidR="00BA3E0C" w:rsidRPr="00B91350" w:rsidRDefault="00BA3E0C" w:rsidP="00623753">
      <w:pPr>
        <w:jc w:val="both"/>
        <w:rPr>
          <w:rFonts w:ascii="Arial" w:hAnsi="Arial" w:cs="Arial"/>
          <w:highlight w:val="yellow"/>
        </w:rPr>
      </w:pPr>
    </w:p>
    <w:p w14:paraId="08EFD370" w14:textId="5F94B9AA" w:rsidR="00BA3E0C" w:rsidRPr="000D3AA1" w:rsidRDefault="00BA3E0C" w:rsidP="00BA3E0C">
      <w:pPr>
        <w:pStyle w:val="Default"/>
        <w:spacing w:after="220"/>
        <w:jc w:val="both"/>
        <w:rPr>
          <w:rFonts w:ascii="Arial" w:hAnsi="Arial" w:cs="Arial"/>
          <w:b/>
          <w:color w:val="auto"/>
          <w:sz w:val="32"/>
          <w:lang w:val="en-GB"/>
        </w:rPr>
      </w:pPr>
      <w:r w:rsidRPr="000D3AA1">
        <w:rPr>
          <w:rFonts w:ascii="Arial" w:hAnsi="Arial" w:cs="Arial"/>
          <w:color w:val="auto"/>
        </w:rPr>
        <w:t>The general reserves at the end of each year for 202</w:t>
      </w:r>
      <w:r w:rsidR="000D3AA1" w:rsidRPr="000D3AA1">
        <w:rPr>
          <w:rFonts w:ascii="Arial" w:hAnsi="Arial" w:cs="Arial"/>
          <w:color w:val="auto"/>
        </w:rPr>
        <w:t>6</w:t>
      </w:r>
      <w:r w:rsidRPr="000D3AA1">
        <w:rPr>
          <w:rFonts w:ascii="Arial" w:hAnsi="Arial" w:cs="Arial"/>
          <w:color w:val="auto"/>
        </w:rPr>
        <w:t>/2</w:t>
      </w:r>
      <w:r w:rsidR="000D3AA1" w:rsidRPr="000D3AA1">
        <w:rPr>
          <w:rFonts w:ascii="Arial" w:hAnsi="Arial" w:cs="Arial"/>
          <w:color w:val="auto"/>
        </w:rPr>
        <w:t>7</w:t>
      </w:r>
      <w:r w:rsidRPr="000D3AA1">
        <w:rPr>
          <w:rFonts w:ascii="Arial" w:hAnsi="Arial" w:cs="Arial"/>
          <w:color w:val="auto"/>
        </w:rPr>
        <w:t xml:space="preserve"> to 20</w:t>
      </w:r>
      <w:r w:rsidR="000D3AA1" w:rsidRPr="000D3AA1">
        <w:rPr>
          <w:rFonts w:ascii="Arial" w:hAnsi="Arial" w:cs="Arial"/>
          <w:color w:val="auto"/>
        </w:rPr>
        <w:t>30</w:t>
      </w:r>
      <w:r w:rsidRPr="000D3AA1">
        <w:rPr>
          <w:rFonts w:ascii="Arial" w:hAnsi="Arial" w:cs="Arial"/>
          <w:color w:val="auto"/>
        </w:rPr>
        <w:t>/3</w:t>
      </w:r>
      <w:r w:rsidR="000D3AA1" w:rsidRPr="000D3AA1">
        <w:rPr>
          <w:rFonts w:ascii="Arial" w:hAnsi="Arial" w:cs="Arial"/>
          <w:color w:val="auto"/>
        </w:rPr>
        <w:t>1</w:t>
      </w:r>
      <w:r w:rsidRPr="000D3AA1">
        <w:rPr>
          <w:rFonts w:ascii="Arial" w:hAnsi="Arial" w:cs="Arial"/>
          <w:color w:val="auto"/>
        </w:rPr>
        <w:t xml:space="preserve"> are summarised in the table below.</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256"/>
        <w:gridCol w:w="1084"/>
        <w:gridCol w:w="1260"/>
        <w:gridCol w:w="1256"/>
        <w:gridCol w:w="1084"/>
      </w:tblGrid>
      <w:tr w:rsidR="00BA3E0C" w:rsidRPr="00B91350" w14:paraId="3F9751B8" w14:textId="77777777" w:rsidTr="00CA2B8F">
        <w:trPr>
          <w:trHeight w:val="636"/>
        </w:trPr>
        <w:tc>
          <w:tcPr>
            <w:tcW w:w="3060" w:type="dxa"/>
          </w:tcPr>
          <w:p w14:paraId="738F2C27" w14:textId="77777777" w:rsidR="00BA3E0C" w:rsidRPr="00263F18" w:rsidRDefault="00BA3E0C" w:rsidP="00CA2B8F">
            <w:pPr>
              <w:pStyle w:val="Default"/>
              <w:jc w:val="both"/>
              <w:rPr>
                <w:rFonts w:ascii="Arial" w:hAnsi="Arial" w:cs="Arial"/>
                <w:b/>
                <w:color w:val="auto"/>
                <w:lang w:val="en-GB"/>
              </w:rPr>
            </w:pPr>
          </w:p>
        </w:tc>
        <w:tc>
          <w:tcPr>
            <w:tcW w:w="1256" w:type="dxa"/>
          </w:tcPr>
          <w:p w14:paraId="0A1137F0" w14:textId="77777777" w:rsidR="00263F18" w:rsidRPr="00263F18" w:rsidRDefault="00263F18" w:rsidP="00263F18">
            <w:pPr>
              <w:jc w:val="center"/>
              <w:rPr>
                <w:rFonts w:ascii="Arial" w:hAnsi="Arial" w:cs="Arial"/>
                <w:b/>
              </w:rPr>
            </w:pPr>
            <w:r w:rsidRPr="00263F18">
              <w:rPr>
                <w:rFonts w:ascii="Arial" w:hAnsi="Arial" w:cs="Arial"/>
                <w:b/>
              </w:rPr>
              <w:t>2026/27</w:t>
            </w:r>
          </w:p>
          <w:p w14:paraId="7D84CDE0" w14:textId="77777777" w:rsidR="00BA3E0C" w:rsidRPr="00263F18" w:rsidRDefault="00BA3E0C" w:rsidP="00CA2B8F">
            <w:pPr>
              <w:jc w:val="center"/>
              <w:rPr>
                <w:rFonts w:ascii="Arial" w:hAnsi="Arial" w:cs="Arial"/>
                <w:b/>
              </w:rPr>
            </w:pPr>
            <w:r w:rsidRPr="00263F18">
              <w:rPr>
                <w:rFonts w:ascii="Arial" w:hAnsi="Arial" w:cs="Arial"/>
                <w:b/>
              </w:rPr>
              <w:t>£’000</w:t>
            </w:r>
          </w:p>
        </w:tc>
        <w:tc>
          <w:tcPr>
            <w:tcW w:w="1084" w:type="dxa"/>
          </w:tcPr>
          <w:p w14:paraId="14C80EBB" w14:textId="77777777" w:rsidR="00263F18" w:rsidRPr="00263F18" w:rsidRDefault="00263F18" w:rsidP="00263F18">
            <w:pPr>
              <w:jc w:val="center"/>
              <w:rPr>
                <w:rFonts w:ascii="Arial" w:hAnsi="Arial" w:cs="Arial"/>
                <w:b/>
              </w:rPr>
            </w:pPr>
            <w:r w:rsidRPr="00263F18">
              <w:rPr>
                <w:rFonts w:ascii="Arial" w:hAnsi="Arial" w:cs="Arial"/>
                <w:b/>
              </w:rPr>
              <w:t>2027/28</w:t>
            </w:r>
          </w:p>
          <w:p w14:paraId="7187B232" w14:textId="77777777" w:rsidR="00BA3E0C" w:rsidRPr="00263F18" w:rsidRDefault="00BA3E0C" w:rsidP="00CA2B8F">
            <w:pPr>
              <w:jc w:val="center"/>
              <w:rPr>
                <w:rFonts w:ascii="Arial" w:hAnsi="Arial" w:cs="Arial"/>
                <w:b/>
              </w:rPr>
            </w:pPr>
            <w:r w:rsidRPr="00263F18">
              <w:rPr>
                <w:rFonts w:ascii="Arial" w:hAnsi="Arial" w:cs="Arial"/>
                <w:b/>
              </w:rPr>
              <w:t>£’000</w:t>
            </w:r>
          </w:p>
        </w:tc>
        <w:tc>
          <w:tcPr>
            <w:tcW w:w="1260" w:type="dxa"/>
          </w:tcPr>
          <w:p w14:paraId="453F7124" w14:textId="77777777" w:rsidR="00263F18" w:rsidRPr="00263F18" w:rsidRDefault="00263F18" w:rsidP="00263F18">
            <w:pPr>
              <w:jc w:val="center"/>
              <w:rPr>
                <w:rFonts w:ascii="Arial" w:hAnsi="Arial" w:cs="Arial"/>
                <w:b/>
              </w:rPr>
            </w:pPr>
            <w:r w:rsidRPr="00263F18">
              <w:rPr>
                <w:rFonts w:ascii="Arial" w:hAnsi="Arial" w:cs="Arial"/>
                <w:b/>
              </w:rPr>
              <w:t>2028/29</w:t>
            </w:r>
          </w:p>
          <w:p w14:paraId="19BD0C59" w14:textId="77777777" w:rsidR="00BA3E0C" w:rsidRPr="00263F18" w:rsidRDefault="00BA3E0C" w:rsidP="00CA2B8F">
            <w:pPr>
              <w:jc w:val="center"/>
              <w:rPr>
                <w:rFonts w:ascii="Arial" w:hAnsi="Arial" w:cs="Arial"/>
                <w:b/>
              </w:rPr>
            </w:pPr>
            <w:r w:rsidRPr="00263F18">
              <w:rPr>
                <w:rFonts w:ascii="Arial" w:hAnsi="Arial" w:cs="Arial"/>
                <w:b/>
              </w:rPr>
              <w:t>£’000</w:t>
            </w:r>
          </w:p>
        </w:tc>
        <w:tc>
          <w:tcPr>
            <w:tcW w:w="1256" w:type="dxa"/>
          </w:tcPr>
          <w:p w14:paraId="6811C344" w14:textId="77777777" w:rsidR="00263F18" w:rsidRPr="00263F18" w:rsidRDefault="00263F18" w:rsidP="00263F18">
            <w:pPr>
              <w:jc w:val="center"/>
              <w:rPr>
                <w:rFonts w:ascii="Arial" w:hAnsi="Arial" w:cs="Arial"/>
                <w:b/>
              </w:rPr>
            </w:pPr>
            <w:r w:rsidRPr="00263F18">
              <w:rPr>
                <w:rFonts w:ascii="Arial" w:hAnsi="Arial" w:cs="Arial"/>
                <w:b/>
              </w:rPr>
              <w:t>2029/30</w:t>
            </w:r>
          </w:p>
          <w:p w14:paraId="10E1D298" w14:textId="77777777" w:rsidR="00BA3E0C" w:rsidRPr="00263F18" w:rsidRDefault="00BA3E0C" w:rsidP="00CA2B8F">
            <w:pPr>
              <w:jc w:val="center"/>
              <w:rPr>
                <w:rFonts w:ascii="Arial" w:hAnsi="Arial" w:cs="Arial"/>
                <w:b/>
              </w:rPr>
            </w:pPr>
            <w:r w:rsidRPr="00263F18">
              <w:rPr>
                <w:rFonts w:ascii="Arial" w:hAnsi="Arial" w:cs="Arial"/>
                <w:b/>
              </w:rPr>
              <w:t>£’000</w:t>
            </w:r>
          </w:p>
        </w:tc>
        <w:tc>
          <w:tcPr>
            <w:tcW w:w="1084" w:type="dxa"/>
          </w:tcPr>
          <w:p w14:paraId="4258BA5B" w14:textId="4621F08A" w:rsidR="00BA3E0C" w:rsidRPr="00263F18" w:rsidRDefault="00263F18" w:rsidP="00CA2B8F">
            <w:pPr>
              <w:jc w:val="center"/>
              <w:rPr>
                <w:rFonts w:ascii="Arial" w:hAnsi="Arial" w:cs="Arial"/>
                <w:b/>
              </w:rPr>
            </w:pPr>
            <w:r w:rsidRPr="00263F18">
              <w:rPr>
                <w:rFonts w:ascii="Arial" w:hAnsi="Arial" w:cs="Arial"/>
                <w:b/>
              </w:rPr>
              <w:t>2030/31</w:t>
            </w:r>
          </w:p>
          <w:p w14:paraId="60F2042E" w14:textId="77777777" w:rsidR="00BA3E0C" w:rsidRPr="00263F18" w:rsidRDefault="00BA3E0C" w:rsidP="00CA2B8F">
            <w:pPr>
              <w:jc w:val="center"/>
              <w:rPr>
                <w:rFonts w:ascii="Arial" w:hAnsi="Arial" w:cs="Arial"/>
                <w:b/>
              </w:rPr>
            </w:pPr>
            <w:r w:rsidRPr="00263F18">
              <w:rPr>
                <w:rFonts w:ascii="Arial" w:hAnsi="Arial" w:cs="Arial"/>
                <w:b/>
              </w:rPr>
              <w:t>£’000</w:t>
            </w:r>
          </w:p>
        </w:tc>
      </w:tr>
      <w:tr w:rsidR="00BA3E0C" w:rsidRPr="00B91350" w14:paraId="0EEF95BA" w14:textId="77777777" w:rsidTr="00CA2B8F">
        <w:trPr>
          <w:trHeight w:val="397"/>
        </w:trPr>
        <w:tc>
          <w:tcPr>
            <w:tcW w:w="3060" w:type="dxa"/>
            <w:vAlign w:val="center"/>
          </w:tcPr>
          <w:p w14:paraId="2B26E719" w14:textId="77777777" w:rsidR="00BA3E0C" w:rsidRPr="00263F18" w:rsidRDefault="00BA3E0C" w:rsidP="00CA2B8F">
            <w:pPr>
              <w:pStyle w:val="Default"/>
              <w:rPr>
                <w:rFonts w:ascii="Arial" w:hAnsi="Arial" w:cs="Arial"/>
                <w:color w:val="auto"/>
                <w:lang w:val="en-GB"/>
              </w:rPr>
            </w:pPr>
            <w:r w:rsidRPr="00263F18">
              <w:rPr>
                <w:rFonts w:ascii="Arial" w:hAnsi="Arial" w:cs="Arial"/>
                <w:color w:val="auto"/>
                <w:lang w:val="en-GB"/>
              </w:rPr>
              <w:t>General Fund</w:t>
            </w:r>
          </w:p>
        </w:tc>
        <w:tc>
          <w:tcPr>
            <w:tcW w:w="1256" w:type="dxa"/>
            <w:vAlign w:val="center"/>
          </w:tcPr>
          <w:p w14:paraId="0E7C691A" w14:textId="640CE325" w:rsidR="00BA3E0C" w:rsidRPr="0082315C" w:rsidRDefault="00BA3E0C" w:rsidP="00CA2B8F">
            <w:pPr>
              <w:pStyle w:val="Default"/>
              <w:jc w:val="right"/>
              <w:rPr>
                <w:rFonts w:ascii="Arial" w:hAnsi="Arial" w:cs="Arial"/>
                <w:color w:val="auto"/>
                <w:lang w:val="en-GB"/>
              </w:rPr>
            </w:pPr>
            <w:r w:rsidRPr="0082315C">
              <w:rPr>
                <w:rFonts w:ascii="Arial" w:hAnsi="Arial" w:cs="Arial"/>
                <w:color w:val="auto"/>
                <w:lang w:val="en-GB"/>
              </w:rPr>
              <w:t>2,</w:t>
            </w:r>
            <w:r w:rsidR="00B904E1" w:rsidRPr="0082315C">
              <w:rPr>
                <w:rFonts w:ascii="Arial" w:hAnsi="Arial" w:cs="Arial"/>
                <w:color w:val="auto"/>
                <w:lang w:val="en-GB"/>
              </w:rPr>
              <w:t>5</w:t>
            </w:r>
            <w:r w:rsidR="00256861" w:rsidRPr="0082315C">
              <w:rPr>
                <w:rFonts w:ascii="Arial" w:hAnsi="Arial" w:cs="Arial"/>
                <w:color w:val="auto"/>
                <w:lang w:val="en-GB"/>
              </w:rPr>
              <w:t>26</w:t>
            </w:r>
          </w:p>
        </w:tc>
        <w:tc>
          <w:tcPr>
            <w:tcW w:w="1084" w:type="dxa"/>
            <w:vAlign w:val="center"/>
          </w:tcPr>
          <w:p w14:paraId="55D8B4B4" w14:textId="03DFCFD8" w:rsidR="00BA3E0C" w:rsidRPr="0082315C" w:rsidRDefault="00E10E37" w:rsidP="00CA2B8F">
            <w:pPr>
              <w:pStyle w:val="Default"/>
              <w:jc w:val="right"/>
              <w:rPr>
                <w:rFonts w:ascii="Arial" w:hAnsi="Arial" w:cs="Arial"/>
                <w:color w:val="auto"/>
                <w:lang w:val="en-GB"/>
              </w:rPr>
            </w:pPr>
            <w:r w:rsidRPr="0082315C">
              <w:rPr>
                <w:rFonts w:ascii="Arial" w:hAnsi="Arial" w:cs="Arial"/>
                <w:color w:val="auto"/>
                <w:lang w:val="en-GB"/>
              </w:rPr>
              <w:t>2,</w:t>
            </w:r>
            <w:r w:rsidR="002B17D4" w:rsidRPr="0082315C">
              <w:rPr>
                <w:rFonts w:ascii="Arial" w:hAnsi="Arial" w:cs="Arial"/>
                <w:color w:val="auto"/>
                <w:lang w:val="en-GB"/>
              </w:rPr>
              <w:t>5</w:t>
            </w:r>
            <w:r w:rsidR="0082315C" w:rsidRPr="0082315C">
              <w:rPr>
                <w:rFonts w:ascii="Arial" w:hAnsi="Arial" w:cs="Arial"/>
                <w:color w:val="auto"/>
                <w:lang w:val="en-GB"/>
              </w:rPr>
              <w:t>29</w:t>
            </w:r>
          </w:p>
        </w:tc>
        <w:tc>
          <w:tcPr>
            <w:tcW w:w="1260" w:type="dxa"/>
            <w:vAlign w:val="center"/>
          </w:tcPr>
          <w:p w14:paraId="7599484F" w14:textId="417C6A56" w:rsidR="00BA3E0C" w:rsidRPr="0082315C" w:rsidRDefault="00B904E1" w:rsidP="00CA2B8F">
            <w:pPr>
              <w:pStyle w:val="Default"/>
              <w:jc w:val="right"/>
              <w:rPr>
                <w:rFonts w:ascii="Arial" w:hAnsi="Arial" w:cs="Arial"/>
                <w:color w:val="auto"/>
                <w:lang w:val="en-GB"/>
              </w:rPr>
            </w:pPr>
            <w:r w:rsidRPr="0082315C">
              <w:rPr>
                <w:rFonts w:ascii="Arial" w:hAnsi="Arial" w:cs="Arial"/>
                <w:color w:val="auto"/>
                <w:lang w:val="en-GB"/>
              </w:rPr>
              <w:t>3,</w:t>
            </w:r>
            <w:r w:rsidR="002B17D4" w:rsidRPr="0082315C">
              <w:rPr>
                <w:rFonts w:ascii="Arial" w:hAnsi="Arial" w:cs="Arial"/>
                <w:color w:val="auto"/>
                <w:lang w:val="en-GB"/>
              </w:rPr>
              <w:t>6</w:t>
            </w:r>
            <w:r w:rsidR="0082315C" w:rsidRPr="0082315C">
              <w:rPr>
                <w:rFonts w:ascii="Arial" w:hAnsi="Arial" w:cs="Arial"/>
                <w:color w:val="auto"/>
                <w:lang w:val="en-GB"/>
              </w:rPr>
              <w:t>64</w:t>
            </w:r>
          </w:p>
        </w:tc>
        <w:tc>
          <w:tcPr>
            <w:tcW w:w="1256" w:type="dxa"/>
            <w:vAlign w:val="center"/>
          </w:tcPr>
          <w:p w14:paraId="1478069F" w14:textId="71C9CF93" w:rsidR="00BA3E0C" w:rsidRPr="0082315C" w:rsidRDefault="00350B0D" w:rsidP="00CA2B8F">
            <w:pPr>
              <w:pStyle w:val="Default"/>
              <w:jc w:val="right"/>
              <w:rPr>
                <w:rFonts w:ascii="Arial" w:hAnsi="Arial" w:cs="Arial"/>
                <w:color w:val="auto"/>
                <w:lang w:val="en-GB"/>
              </w:rPr>
            </w:pPr>
            <w:r w:rsidRPr="0082315C">
              <w:rPr>
                <w:rFonts w:ascii="Arial" w:hAnsi="Arial" w:cs="Arial"/>
                <w:color w:val="auto"/>
                <w:lang w:val="en-GB"/>
              </w:rPr>
              <w:t>4,</w:t>
            </w:r>
            <w:r w:rsidR="002B17D4" w:rsidRPr="0082315C">
              <w:rPr>
                <w:rFonts w:ascii="Arial" w:hAnsi="Arial" w:cs="Arial"/>
                <w:color w:val="auto"/>
                <w:lang w:val="en-GB"/>
              </w:rPr>
              <w:t>3</w:t>
            </w:r>
            <w:r w:rsidR="0082315C" w:rsidRPr="0082315C">
              <w:rPr>
                <w:rFonts w:ascii="Arial" w:hAnsi="Arial" w:cs="Arial"/>
                <w:color w:val="auto"/>
                <w:lang w:val="en-GB"/>
              </w:rPr>
              <w:t>32</w:t>
            </w:r>
          </w:p>
        </w:tc>
        <w:tc>
          <w:tcPr>
            <w:tcW w:w="1084" w:type="dxa"/>
            <w:vAlign w:val="center"/>
          </w:tcPr>
          <w:p w14:paraId="5BA2C86B" w14:textId="31C03B6D" w:rsidR="00BA3E0C" w:rsidRPr="0082315C" w:rsidRDefault="00350B0D" w:rsidP="00CA2B8F">
            <w:pPr>
              <w:pStyle w:val="Default"/>
              <w:jc w:val="right"/>
              <w:rPr>
                <w:rFonts w:ascii="Arial" w:hAnsi="Arial" w:cs="Arial"/>
                <w:color w:val="auto"/>
                <w:lang w:val="en-GB"/>
              </w:rPr>
            </w:pPr>
            <w:r w:rsidRPr="0082315C">
              <w:rPr>
                <w:rFonts w:ascii="Arial" w:hAnsi="Arial" w:cs="Arial"/>
                <w:color w:val="auto"/>
                <w:lang w:val="en-GB"/>
              </w:rPr>
              <w:t>4,</w:t>
            </w:r>
            <w:r w:rsidR="002B17D4" w:rsidRPr="0082315C">
              <w:rPr>
                <w:rFonts w:ascii="Arial" w:hAnsi="Arial" w:cs="Arial"/>
                <w:color w:val="auto"/>
                <w:lang w:val="en-GB"/>
              </w:rPr>
              <w:t>9</w:t>
            </w:r>
            <w:r w:rsidR="0082315C" w:rsidRPr="0082315C">
              <w:rPr>
                <w:rFonts w:ascii="Arial" w:hAnsi="Arial" w:cs="Arial"/>
                <w:color w:val="auto"/>
                <w:lang w:val="en-GB"/>
              </w:rPr>
              <w:t>3</w:t>
            </w:r>
            <w:r w:rsidR="002E2A51">
              <w:rPr>
                <w:rFonts w:ascii="Arial" w:hAnsi="Arial" w:cs="Arial"/>
                <w:color w:val="auto"/>
                <w:lang w:val="en-GB"/>
              </w:rPr>
              <w:t>6</w:t>
            </w:r>
          </w:p>
        </w:tc>
      </w:tr>
      <w:tr w:rsidR="00BA3E0C" w:rsidRPr="00B91350" w14:paraId="1A650409" w14:textId="77777777" w:rsidTr="00CA2B8F">
        <w:trPr>
          <w:trHeight w:val="397"/>
        </w:trPr>
        <w:tc>
          <w:tcPr>
            <w:tcW w:w="3060" w:type="dxa"/>
            <w:vAlign w:val="center"/>
          </w:tcPr>
          <w:p w14:paraId="184FC6C8" w14:textId="77777777" w:rsidR="00BA3E0C" w:rsidRPr="00263F18" w:rsidRDefault="00BA3E0C" w:rsidP="00CA2B8F">
            <w:pPr>
              <w:pStyle w:val="Default"/>
              <w:rPr>
                <w:rFonts w:ascii="Arial" w:hAnsi="Arial" w:cs="Arial"/>
                <w:color w:val="auto"/>
                <w:lang w:val="en-GB"/>
              </w:rPr>
            </w:pPr>
            <w:r w:rsidRPr="00263F18">
              <w:rPr>
                <w:rFonts w:ascii="Arial" w:hAnsi="Arial" w:cs="Arial"/>
                <w:color w:val="auto"/>
                <w:lang w:val="en-GB"/>
              </w:rPr>
              <w:t>Housing Revenue Account</w:t>
            </w:r>
          </w:p>
        </w:tc>
        <w:tc>
          <w:tcPr>
            <w:tcW w:w="1256" w:type="dxa"/>
            <w:vAlign w:val="center"/>
          </w:tcPr>
          <w:p w14:paraId="4789A1B3" w14:textId="5F8C5A02" w:rsidR="00BA3E0C" w:rsidRPr="00F262C2" w:rsidRDefault="00D17CAF" w:rsidP="00CA2B8F">
            <w:pPr>
              <w:pStyle w:val="Default"/>
              <w:jc w:val="right"/>
              <w:rPr>
                <w:rFonts w:ascii="Arial" w:hAnsi="Arial" w:cs="Arial"/>
                <w:color w:val="auto"/>
                <w:lang w:val="en-GB"/>
              </w:rPr>
            </w:pPr>
            <w:r w:rsidRPr="00F262C2">
              <w:rPr>
                <w:rFonts w:ascii="Arial" w:hAnsi="Arial" w:cs="Arial"/>
              </w:rPr>
              <w:t>1,</w:t>
            </w:r>
            <w:r w:rsidR="00263F18" w:rsidRPr="00F262C2">
              <w:rPr>
                <w:rFonts w:ascii="Arial" w:hAnsi="Arial" w:cs="Arial"/>
              </w:rPr>
              <w:t>02</w:t>
            </w:r>
            <w:r w:rsidR="00F262C2" w:rsidRPr="00F262C2">
              <w:rPr>
                <w:rFonts w:ascii="Arial" w:hAnsi="Arial" w:cs="Arial"/>
              </w:rPr>
              <w:t>0</w:t>
            </w:r>
          </w:p>
        </w:tc>
        <w:tc>
          <w:tcPr>
            <w:tcW w:w="1084" w:type="dxa"/>
            <w:vAlign w:val="center"/>
          </w:tcPr>
          <w:p w14:paraId="060D2EF7" w14:textId="6FC8E4CC" w:rsidR="00BA3E0C" w:rsidRPr="00F262C2" w:rsidRDefault="00D17CAF" w:rsidP="00CA2B8F">
            <w:pPr>
              <w:pStyle w:val="Default"/>
              <w:jc w:val="right"/>
              <w:rPr>
                <w:rFonts w:ascii="Arial" w:hAnsi="Arial" w:cs="Arial"/>
                <w:color w:val="auto"/>
                <w:lang w:val="en-GB"/>
              </w:rPr>
            </w:pPr>
            <w:r w:rsidRPr="00F262C2">
              <w:rPr>
                <w:rFonts w:ascii="Arial" w:hAnsi="Arial" w:cs="Arial"/>
              </w:rPr>
              <w:t>1,</w:t>
            </w:r>
            <w:r w:rsidR="00263F18" w:rsidRPr="00F262C2">
              <w:rPr>
                <w:rFonts w:ascii="Arial" w:hAnsi="Arial" w:cs="Arial"/>
              </w:rPr>
              <w:t>0</w:t>
            </w:r>
            <w:r w:rsidR="00F262C2" w:rsidRPr="00F262C2">
              <w:rPr>
                <w:rFonts w:ascii="Arial" w:hAnsi="Arial" w:cs="Arial"/>
              </w:rPr>
              <w:t>40</w:t>
            </w:r>
          </w:p>
        </w:tc>
        <w:tc>
          <w:tcPr>
            <w:tcW w:w="1260" w:type="dxa"/>
            <w:vAlign w:val="center"/>
          </w:tcPr>
          <w:p w14:paraId="42CF7287" w14:textId="6672F9EF" w:rsidR="00BA3E0C" w:rsidRPr="00F262C2" w:rsidRDefault="00D17CAF" w:rsidP="00CA2B8F">
            <w:pPr>
              <w:pStyle w:val="Default"/>
              <w:jc w:val="right"/>
              <w:rPr>
                <w:rFonts w:ascii="Arial" w:hAnsi="Arial" w:cs="Arial"/>
                <w:color w:val="auto"/>
                <w:lang w:val="en-GB"/>
              </w:rPr>
            </w:pPr>
            <w:r w:rsidRPr="00F262C2">
              <w:rPr>
                <w:rFonts w:ascii="Arial" w:hAnsi="Arial" w:cs="Arial"/>
              </w:rPr>
              <w:t>1,</w:t>
            </w:r>
            <w:r w:rsidR="00263F18" w:rsidRPr="00F262C2">
              <w:rPr>
                <w:rFonts w:ascii="Arial" w:hAnsi="Arial" w:cs="Arial"/>
              </w:rPr>
              <w:t>0</w:t>
            </w:r>
            <w:r w:rsidR="00F262C2" w:rsidRPr="00F262C2">
              <w:rPr>
                <w:rFonts w:ascii="Arial" w:hAnsi="Arial" w:cs="Arial"/>
              </w:rPr>
              <w:t>78</w:t>
            </w:r>
          </w:p>
        </w:tc>
        <w:tc>
          <w:tcPr>
            <w:tcW w:w="1256" w:type="dxa"/>
            <w:vAlign w:val="center"/>
          </w:tcPr>
          <w:p w14:paraId="2B6972BF" w14:textId="481284B9" w:rsidR="00BA3E0C" w:rsidRPr="00F262C2" w:rsidRDefault="0050112F" w:rsidP="00CA2B8F">
            <w:pPr>
              <w:pStyle w:val="Default"/>
              <w:jc w:val="right"/>
              <w:rPr>
                <w:rFonts w:ascii="Arial" w:hAnsi="Arial" w:cs="Arial"/>
                <w:color w:val="auto"/>
                <w:lang w:val="en-GB"/>
              </w:rPr>
            </w:pPr>
            <w:r w:rsidRPr="00F262C2">
              <w:rPr>
                <w:rFonts w:ascii="Arial" w:hAnsi="Arial" w:cs="Arial"/>
              </w:rPr>
              <w:t>1,</w:t>
            </w:r>
            <w:r w:rsidR="00F262C2" w:rsidRPr="00F262C2">
              <w:rPr>
                <w:rFonts w:ascii="Arial" w:hAnsi="Arial" w:cs="Arial"/>
              </w:rPr>
              <w:t>165</w:t>
            </w:r>
          </w:p>
        </w:tc>
        <w:tc>
          <w:tcPr>
            <w:tcW w:w="1084" w:type="dxa"/>
            <w:vAlign w:val="center"/>
          </w:tcPr>
          <w:p w14:paraId="0763CABA" w14:textId="31C1200D" w:rsidR="00BA3E0C" w:rsidRPr="00F262C2" w:rsidRDefault="0050112F" w:rsidP="00CA2B8F">
            <w:pPr>
              <w:pStyle w:val="Default"/>
              <w:jc w:val="right"/>
              <w:rPr>
                <w:rFonts w:ascii="Arial" w:hAnsi="Arial" w:cs="Arial"/>
                <w:color w:val="auto"/>
                <w:lang w:val="en-GB"/>
              </w:rPr>
            </w:pPr>
            <w:r w:rsidRPr="00F262C2">
              <w:rPr>
                <w:rFonts w:ascii="Arial" w:hAnsi="Arial" w:cs="Arial"/>
              </w:rPr>
              <w:t>1,</w:t>
            </w:r>
            <w:r w:rsidR="00F262C2" w:rsidRPr="00F262C2">
              <w:rPr>
                <w:rFonts w:ascii="Arial" w:hAnsi="Arial" w:cs="Arial"/>
              </w:rPr>
              <w:t>331</w:t>
            </w:r>
          </w:p>
        </w:tc>
      </w:tr>
    </w:tbl>
    <w:p w14:paraId="3058852B" w14:textId="77777777" w:rsidR="00BA3E0C" w:rsidRPr="00B91350" w:rsidRDefault="00BA3E0C" w:rsidP="00BA3E0C">
      <w:pPr>
        <w:jc w:val="both"/>
        <w:rPr>
          <w:rFonts w:ascii="Arial" w:hAnsi="Arial" w:cs="Arial"/>
          <w:highlight w:val="yellow"/>
        </w:rPr>
      </w:pPr>
    </w:p>
    <w:p w14:paraId="4EF9896E" w14:textId="787DD0F4" w:rsidR="00BA3E0C" w:rsidRDefault="00BA3E0C" w:rsidP="00BA3E0C">
      <w:pPr>
        <w:jc w:val="both"/>
        <w:rPr>
          <w:rFonts w:ascii="Arial" w:hAnsi="Arial" w:cs="Arial"/>
        </w:rPr>
      </w:pPr>
      <w:r w:rsidRPr="0028798B">
        <w:rPr>
          <w:rFonts w:ascii="Arial" w:hAnsi="Arial" w:cs="Arial"/>
        </w:rPr>
        <w:t>The overall levels of General Fund and</w:t>
      </w:r>
      <w:r w:rsidRPr="00CF4286">
        <w:rPr>
          <w:rFonts w:ascii="Arial" w:hAnsi="Arial" w:cs="Arial"/>
        </w:rPr>
        <w:t xml:space="preserve"> Housing Revenue Account balances in 20</w:t>
      </w:r>
      <w:r w:rsidR="000D3AA1" w:rsidRPr="00CF4286">
        <w:rPr>
          <w:rFonts w:ascii="Arial" w:hAnsi="Arial" w:cs="Arial"/>
        </w:rPr>
        <w:t>30</w:t>
      </w:r>
      <w:r w:rsidRPr="00CF4286">
        <w:rPr>
          <w:rFonts w:ascii="Arial" w:hAnsi="Arial" w:cs="Arial"/>
        </w:rPr>
        <w:t>/3</w:t>
      </w:r>
      <w:r w:rsidR="000D3AA1" w:rsidRPr="00CF4286">
        <w:rPr>
          <w:rFonts w:ascii="Arial" w:hAnsi="Arial" w:cs="Arial"/>
        </w:rPr>
        <w:t>1</w:t>
      </w:r>
      <w:r w:rsidRPr="00CF4286">
        <w:rPr>
          <w:rFonts w:ascii="Arial" w:hAnsi="Arial" w:cs="Arial"/>
        </w:rPr>
        <w:t xml:space="preserve"> are in line with</w:t>
      </w:r>
      <w:r w:rsidR="00F42055">
        <w:rPr>
          <w:rFonts w:ascii="Arial" w:hAnsi="Arial" w:cs="Arial"/>
        </w:rPr>
        <w:t>, or in excess of,</w:t>
      </w:r>
      <w:r w:rsidRPr="00CF4286">
        <w:rPr>
          <w:rFonts w:ascii="Arial" w:hAnsi="Arial" w:cs="Arial"/>
        </w:rPr>
        <w:t xml:space="preserve"> the prudently assessed minimum level of balances.  </w:t>
      </w:r>
    </w:p>
    <w:p w14:paraId="66644602" w14:textId="77777777" w:rsidR="00D7191D" w:rsidRDefault="00D7191D" w:rsidP="00BA3E0C">
      <w:pPr>
        <w:jc w:val="both"/>
        <w:rPr>
          <w:rFonts w:ascii="Arial" w:hAnsi="Arial" w:cs="Arial"/>
        </w:rPr>
      </w:pPr>
    </w:p>
    <w:p w14:paraId="7E46BC5E" w14:textId="604D971A" w:rsidR="00D7191D" w:rsidRPr="000D3AA1" w:rsidRDefault="00D7191D" w:rsidP="00D7191D">
      <w:pPr>
        <w:jc w:val="both"/>
        <w:rPr>
          <w:rFonts w:ascii="Arial" w:hAnsi="Arial" w:cs="Arial"/>
        </w:rPr>
      </w:pPr>
      <w:r w:rsidRPr="000D3AA1">
        <w:rPr>
          <w:rFonts w:ascii="Arial" w:hAnsi="Arial" w:cs="Arial"/>
        </w:rPr>
        <w:t xml:space="preserve">Earmarked reserves are sums specifically held to enable funds to be built up to meet known or predicted liabilities.  A review of reserves and balances has been undertaken as part of the budget process and a schedule presenting the estimated closing balances at the end of each of the next five financial years is contained within Appendix </w:t>
      </w:r>
      <w:r w:rsidR="00F926A5">
        <w:rPr>
          <w:rFonts w:ascii="Arial" w:hAnsi="Arial" w:cs="Arial"/>
        </w:rPr>
        <w:t>7</w:t>
      </w:r>
      <w:r w:rsidRPr="000D3AA1">
        <w:rPr>
          <w:rFonts w:ascii="Arial" w:hAnsi="Arial" w:cs="Arial"/>
        </w:rPr>
        <w:t>.</w:t>
      </w:r>
    </w:p>
    <w:p w14:paraId="221B6581" w14:textId="77777777" w:rsidR="00A468A6" w:rsidRPr="00B91350" w:rsidRDefault="00A468A6" w:rsidP="0057593C">
      <w:pPr>
        <w:jc w:val="both"/>
        <w:rPr>
          <w:rFonts w:ascii="Arial" w:hAnsi="Arial" w:cs="Arial"/>
          <w:b/>
          <w:highlight w:val="yellow"/>
        </w:rPr>
      </w:pPr>
    </w:p>
    <w:p w14:paraId="346C54C8" w14:textId="2879F65D" w:rsidR="0057593C" w:rsidRPr="000D3AA1" w:rsidRDefault="0057593C" w:rsidP="0057593C">
      <w:pPr>
        <w:jc w:val="both"/>
        <w:rPr>
          <w:rFonts w:ascii="Arial" w:hAnsi="Arial" w:cs="Arial"/>
          <w:b/>
        </w:rPr>
      </w:pPr>
      <w:r w:rsidRPr="000D3AA1">
        <w:rPr>
          <w:rFonts w:ascii="Arial" w:hAnsi="Arial" w:cs="Arial"/>
          <w:b/>
        </w:rPr>
        <w:t>Scenario Planning</w:t>
      </w:r>
      <w:r w:rsidR="0064071A" w:rsidRPr="000D3AA1">
        <w:rPr>
          <w:rFonts w:ascii="Arial" w:hAnsi="Arial" w:cs="Arial"/>
          <w:b/>
        </w:rPr>
        <w:t xml:space="preserve"> and Tests of Financial </w:t>
      </w:r>
      <w:r w:rsidR="002612E3" w:rsidRPr="000D3AA1">
        <w:rPr>
          <w:rFonts w:ascii="Arial" w:hAnsi="Arial" w:cs="Arial"/>
          <w:b/>
        </w:rPr>
        <w:t>Resilience</w:t>
      </w:r>
    </w:p>
    <w:p w14:paraId="024FEE73" w14:textId="77777777" w:rsidR="00542D7D" w:rsidRPr="000D3AA1" w:rsidRDefault="00542D7D" w:rsidP="0057593C">
      <w:pPr>
        <w:jc w:val="both"/>
        <w:rPr>
          <w:rFonts w:ascii="Arial" w:hAnsi="Arial" w:cs="Arial"/>
          <w:b/>
        </w:rPr>
      </w:pPr>
    </w:p>
    <w:p w14:paraId="4D4F901F" w14:textId="558C4616" w:rsidR="00542D7D" w:rsidRPr="000D3AA1" w:rsidRDefault="00570C1C" w:rsidP="0057593C">
      <w:pPr>
        <w:jc w:val="both"/>
        <w:rPr>
          <w:rFonts w:ascii="Arial" w:hAnsi="Arial" w:cs="Arial"/>
        </w:rPr>
      </w:pPr>
      <w:r w:rsidRPr="000D3AA1">
        <w:rPr>
          <w:rFonts w:ascii="Arial" w:hAnsi="Arial" w:cs="Arial"/>
        </w:rPr>
        <w:t xml:space="preserve">While the above assessment of a prudent level of reserves focuses on </w:t>
      </w:r>
      <w:r w:rsidR="00BD7F2E" w:rsidRPr="000D3AA1">
        <w:rPr>
          <w:rFonts w:ascii="Arial" w:hAnsi="Arial" w:cs="Arial"/>
        </w:rPr>
        <w:t>ensuring reserves are sufficient to respond to in-year</w:t>
      </w:r>
      <w:r w:rsidRPr="000D3AA1">
        <w:rPr>
          <w:rFonts w:ascii="Arial" w:hAnsi="Arial" w:cs="Arial"/>
        </w:rPr>
        <w:t xml:space="preserve"> fluctuations</w:t>
      </w:r>
      <w:r w:rsidR="00BD7F2E" w:rsidRPr="000D3AA1">
        <w:rPr>
          <w:rFonts w:ascii="Arial" w:hAnsi="Arial" w:cs="Arial"/>
        </w:rPr>
        <w:t>, some of th</w:t>
      </w:r>
      <w:r w:rsidR="0099757D" w:rsidRPr="000D3AA1">
        <w:rPr>
          <w:rFonts w:ascii="Arial" w:hAnsi="Arial" w:cs="Arial"/>
        </w:rPr>
        <w:t>ese</w:t>
      </w:r>
      <w:r w:rsidR="00BD7F2E" w:rsidRPr="000D3AA1">
        <w:rPr>
          <w:rFonts w:ascii="Arial" w:hAnsi="Arial" w:cs="Arial"/>
        </w:rPr>
        <w:t xml:space="preserve"> variables may have ongoing </w:t>
      </w:r>
      <w:r w:rsidR="00A915BF" w:rsidRPr="000D3AA1">
        <w:rPr>
          <w:rFonts w:ascii="Arial" w:hAnsi="Arial" w:cs="Arial"/>
        </w:rPr>
        <w:t>impacts</w:t>
      </w:r>
      <w:r w:rsidR="003C55D0" w:rsidRPr="000D3AA1">
        <w:rPr>
          <w:rFonts w:ascii="Arial" w:hAnsi="Arial" w:cs="Arial"/>
        </w:rPr>
        <w:t xml:space="preserve"> and a longer time frame for assessing the Council’s financial resilience should be undertaken.</w:t>
      </w:r>
    </w:p>
    <w:p w14:paraId="3AFD57FF" w14:textId="77777777" w:rsidR="0057593C" w:rsidRPr="000D3AA1" w:rsidRDefault="0057593C" w:rsidP="0057593C">
      <w:pPr>
        <w:jc w:val="both"/>
        <w:rPr>
          <w:rFonts w:ascii="Arial" w:hAnsi="Arial" w:cs="Arial"/>
          <w:b/>
        </w:rPr>
      </w:pPr>
    </w:p>
    <w:p w14:paraId="7A1645E3" w14:textId="66303F9B" w:rsidR="008D31BE" w:rsidRPr="000D3AA1" w:rsidRDefault="00160B5B" w:rsidP="0057593C">
      <w:pPr>
        <w:jc w:val="both"/>
        <w:rPr>
          <w:rFonts w:ascii="Arial" w:hAnsi="Arial" w:cs="Arial"/>
        </w:rPr>
      </w:pPr>
      <w:r w:rsidRPr="000D3AA1">
        <w:rPr>
          <w:rFonts w:ascii="Arial" w:hAnsi="Arial" w:cs="Arial"/>
        </w:rPr>
        <w:t xml:space="preserve">Using the above </w:t>
      </w:r>
      <w:r w:rsidR="00F6437C" w:rsidRPr="000D3AA1">
        <w:rPr>
          <w:rFonts w:ascii="Arial" w:hAnsi="Arial" w:cs="Arial"/>
        </w:rPr>
        <w:t>sensitivity</w:t>
      </w:r>
      <w:r w:rsidRPr="000D3AA1">
        <w:rPr>
          <w:rFonts w:ascii="Arial" w:hAnsi="Arial" w:cs="Arial"/>
        </w:rPr>
        <w:t xml:space="preserve"> </w:t>
      </w:r>
      <w:r w:rsidR="00F6437C" w:rsidRPr="000D3AA1">
        <w:rPr>
          <w:rFonts w:ascii="Arial" w:hAnsi="Arial" w:cs="Arial"/>
        </w:rPr>
        <w:t xml:space="preserve">analysis and extrapolating it over the period of the MTFS allows </w:t>
      </w:r>
      <w:r w:rsidR="00683A46" w:rsidRPr="000D3AA1">
        <w:rPr>
          <w:rFonts w:ascii="Arial" w:hAnsi="Arial" w:cs="Arial"/>
        </w:rPr>
        <w:t xml:space="preserve">the modelling of an optimistic, most likely (the MTFS) and </w:t>
      </w:r>
      <w:r w:rsidR="005474BE" w:rsidRPr="000D3AA1">
        <w:rPr>
          <w:rFonts w:ascii="Arial" w:hAnsi="Arial" w:cs="Arial"/>
        </w:rPr>
        <w:t>pessimistic</w:t>
      </w:r>
      <w:r w:rsidR="00683A46" w:rsidRPr="000D3AA1">
        <w:rPr>
          <w:rFonts w:ascii="Arial" w:hAnsi="Arial" w:cs="Arial"/>
        </w:rPr>
        <w:t xml:space="preserve"> set of </w:t>
      </w:r>
      <w:r w:rsidR="0057593C" w:rsidRPr="000D3AA1">
        <w:rPr>
          <w:rFonts w:ascii="Arial" w:hAnsi="Arial" w:cs="Arial"/>
        </w:rPr>
        <w:t>scenario</w:t>
      </w:r>
      <w:r w:rsidR="00683A46" w:rsidRPr="000D3AA1">
        <w:rPr>
          <w:rFonts w:ascii="Arial" w:hAnsi="Arial" w:cs="Arial"/>
        </w:rPr>
        <w:t>s</w:t>
      </w:r>
      <w:r w:rsidR="002C6E79" w:rsidRPr="000D3AA1">
        <w:rPr>
          <w:rFonts w:ascii="Arial" w:hAnsi="Arial" w:cs="Arial"/>
        </w:rPr>
        <w:t xml:space="preserve"> to assess against t</w:t>
      </w:r>
      <w:r w:rsidR="000106EA" w:rsidRPr="000D3AA1">
        <w:rPr>
          <w:rFonts w:ascii="Arial" w:hAnsi="Arial" w:cs="Arial"/>
        </w:rPr>
        <w:t>w</w:t>
      </w:r>
      <w:r w:rsidR="002C6E79" w:rsidRPr="000D3AA1">
        <w:rPr>
          <w:rFonts w:ascii="Arial" w:hAnsi="Arial" w:cs="Arial"/>
        </w:rPr>
        <w:t xml:space="preserve">o tests of financial </w:t>
      </w:r>
      <w:r w:rsidR="00C177A6" w:rsidRPr="000D3AA1">
        <w:rPr>
          <w:rFonts w:ascii="Arial" w:hAnsi="Arial" w:cs="Arial"/>
        </w:rPr>
        <w:t>resilience</w:t>
      </w:r>
      <w:r w:rsidR="002C6E79" w:rsidRPr="000D3AA1">
        <w:rPr>
          <w:rFonts w:ascii="Arial" w:hAnsi="Arial" w:cs="Arial"/>
        </w:rPr>
        <w:t xml:space="preserve">.  </w:t>
      </w:r>
      <w:r w:rsidR="005474BE" w:rsidRPr="000D3AA1">
        <w:rPr>
          <w:rFonts w:ascii="Arial" w:hAnsi="Arial" w:cs="Arial"/>
        </w:rPr>
        <w:t>These financial resilience tests assess the impact of the “modelled risks” in two stages:</w:t>
      </w:r>
    </w:p>
    <w:p w14:paraId="3B296AEC" w14:textId="77777777" w:rsidR="008D31BE" w:rsidRPr="000D3AA1" w:rsidRDefault="008D31BE" w:rsidP="00DF295B">
      <w:pPr>
        <w:jc w:val="both"/>
        <w:rPr>
          <w:rFonts w:ascii="Arial" w:hAnsi="Arial" w:cs="Arial"/>
        </w:rPr>
      </w:pPr>
    </w:p>
    <w:p w14:paraId="61009D9E" w14:textId="57FA6F54" w:rsidR="00DF295B" w:rsidRPr="000D3AA1" w:rsidRDefault="00DF295B" w:rsidP="00CF25BB">
      <w:pPr>
        <w:pStyle w:val="ListParagraph"/>
        <w:numPr>
          <w:ilvl w:val="0"/>
          <w:numId w:val="41"/>
        </w:numPr>
        <w:spacing w:after="0" w:line="240" w:lineRule="auto"/>
        <w:jc w:val="both"/>
        <w:rPr>
          <w:rFonts w:ascii="Arial" w:hAnsi="Arial" w:cs="Arial"/>
          <w:sz w:val="24"/>
          <w:szCs w:val="24"/>
        </w:rPr>
      </w:pPr>
      <w:r w:rsidRPr="000D3AA1">
        <w:rPr>
          <w:rFonts w:ascii="Arial" w:hAnsi="Arial" w:cs="Arial"/>
          <w:sz w:val="24"/>
          <w:szCs w:val="24"/>
        </w:rPr>
        <w:t xml:space="preserve">Stage 1, the primary test of financial resilience, which compares the likelihood of risk against the General Fund </w:t>
      </w:r>
      <w:r w:rsidR="00E55A23" w:rsidRPr="000D3AA1">
        <w:rPr>
          <w:rFonts w:ascii="Arial" w:hAnsi="Arial" w:cs="Arial"/>
          <w:sz w:val="24"/>
          <w:szCs w:val="24"/>
        </w:rPr>
        <w:t>‘General Balance’</w:t>
      </w:r>
      <w:r w:rsidRPr="000D3AA1">
        <w:rPr>
          <w:rFonts w:ascii="Arial" w:hAnsi="Arial" w:cs="Arial"/>
          <w:sz w:val="24"/>
          <w:szCs w:val="24"/>
        </w:rPr>
        <w:t xml:space="preserve"> only.</w:t>
      </w:r>
    </w:p>
    <w:p w14:paraId="4174641E" w14:textId="22B2118F" w:rsidR="008D31BE" w:rsidRPr="000D3AA1" w:rsidRDefault="00DF295B" w:rsidP="00CF25BB">
      <w:pPr>
        <w:pStyle w:val="ListParagraph"/>
        <w:numPr>
          <w:ilvl w:val="0"/>
          <w:numId w:val="41"/>
        </w:numPr>
        <w:spacing w:after="0" w:line="240" w:lineRule="auto"/>
        <w:jc w:val="both"/>
        <w:rPr>
          <w:rFonts w:ascii="Arial" w:hAnsi="Arial" w:cs="Arial"/>
        </w:rPr>
      </w:pPr>
      <w:r w:rsidRPr="000D3AA1">
        <w:rPr>
          <w:rFonts w:ascii="Arial" w:hAnsi="Arial" w:cs="Arial"/>
          <w:sz w:val="24"/>
          <w:szCs w:val="24"/>
        </w:rPr>
        <w:t xml:space="preserve">Stage 2, the secondary test of financial resilience, which compares the likelihood of risk against the </w:t>
      </w:r>
      <w:r w:rsidR="00E55A23" w:rsidRPr="000D3AA1">
        <w:rPr>
          <w:rFonts w:ascii="Arial" w:hAnsi="Arial" w:cs="Arial"/>
          <w:sz w:val="24"/>
          <w:szCs w:val="24"/>
        </w:rPr>
        <w:t>General Balance</w:t>
      </w:r>
      <w:r w:rsidRPr="000D3AA1">
        <w:rPr>
          <w:rFonts w:ascii="Arial" w:hAnsi="Arial" w:cs="Arial"/>
          <w:sz w:val="24"/>
          <w:szCs w:val="24"/>
        </w:rPr>
        <w:t xml:space="preserve"> and some Earmarked Reserves</w:t>
      </w:r>
      <w:r w:rsidRPr="000D3AA1">
        <w:rPr>
          <w:rFonts w:ascii="Arial" w:hAnsi="Arial" w:cs="Arial"/>
        </w:rPr>
        <w:t>.</w:t>
      </w:r>
    </w:p>
    <w:p w14:paraId="1B6BD21D" w14:textId="77777777" w:rsidR="00C80131" w:rsidRPr="000D3AA1" w:rsidRDefault="00C80131" w:rsidP="0057593C">
      <w:pPr>
        <w:jc w:val="both"/>
        <w:rPr>
          <w:rFonts w:ascii="Arial" w:hAnsi="Arial" w:cs="Arial"/>
        </w:rPr>
      </w:pPr>
    </w:p>
    <w:p w14:paraId="5FD98B03" w14:textId="703735BB" w:rsidR="00C80131" w:rsidRPr="000D3AA1" w:rsidRDefault="00C80131" w:rsidP="00F76056">
      <w:pPr>
        <w:jc w:val="both"/>
        <w:rPr>
          <w:rFonts w:ascii="Arial" w:hAnsi="Arial" w:cs="Arial"/>
        </w:rPr>
      </w:pPr>
      <w:r w:rsidRPr="000D3AA1">
        <w:rPr>
          <w:rFonts w:ascii="Arial" w:hAnsi="Arial" w:cs="Arial"/>
        </w:rPr>
        <w:t>Stage 1 – The Primary Test of Financial Resilience</w:t>
      </w:r>
    </w:p>
    <w:p w14:paraId="626317B4" w14:textId="77777777" w:rsidR="00F76056" w:rsidRPr="00B91350" w:rsidRDefault="00F76056" w:rsidP="00F76056">
      <w:pPr>
        <w:jc w:val="both"/>
        <w:rPr>
          <w:rFonts w:ascii="Arial" w:hAnsi="Arial" w:cs="Arial"/>
          <w:highlight w:val="yellow"/>
        </w:rPr>
      </w:pPr>
    </w:p>
    <w:p w14:paraId="75E619BA" w14:textId="0DF50769" w:rsidR="00F76056" w:rsidRPr="00B91350" w:rsidRDefault="00E80958" w:rsidP="006D1D51">
      <w:pPr>
        <w:ind w:left="1418"/>
        <w:jc w:val="both"/>
        <w:rPr>
          <w:rFonts w:ascii="Arial" w:hAnsi="Arial" w:cs="Arial"/>
          <w:highlight w:val="yellow"/>
        </w:rPr>
      </w:pPr>
      <w:r>
        <w:rPr>
          <w:noProof/>
        </w:rPr>
        <w:drawing>
          <wp:inline distT="0" distB="0" distL="0" distR="0" wp14:anchorId="0C2A1021" wp14:editId="44B97251">
            <wp:extent cx="4555672" cy="2715986"/>
            <wp:effectExtent l="0" t="0" r="16510" b="8255"/>
            <wp:docPr id="885689945" name="Chart 1">
              <a:extLst xmlns:a="http://schemas.openxmlformats.org/drawingml/2006/main">
                <a:ext uri="{FF2B5EF4-FFF2-40B4-BE49-F238E27FC236}">
                  <a16:creationId xmlns:a16="http://schemas.microsoft.com/office/drawing/2014/main" id="{DC33417A-4078-3555-5D97-A61BD2468F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C720758" w14:textId="77777777" w:rsidR="00C80131" w:rsidRPr="00B91350" w:rsidRDefault="00C80131" w:rsidP="00F76056">
      <w:pPr>
        <w:jc w:val="both"/>
        <w:rPr>
          <w:rFonts w:ascii="Arial" w:hAnsi="Arial" w:cs="Arial"/>
          <w:highlight w:val="yellow"/>
        </w:rPr>
      </w:pPr>
    </w:p>
    <w:p w14:paraId="12821980" w14:textId="4E8ACF9B" w:rsidR="000538E1" w:rsidRPr="009F307E" w:rsidRDefault="00EA7BBA" w:rsidP="00CF25BB">
      <w:pPr>
        <w:pStyle w:val="ListParagraph"/>
        <w:numPr>
          <w:ilvl w:val="0"/>
          <w:numId w:val="42"/>
        </w:numPr>
        <w:spacing w:after="0" w:line="240" w:lineRule="auto"/>
        <w:jc w:val="both"/>
        <w:rPr>
          <w:rFonts w:ascii="Arial" w:hAnsi="Arial" w:cs="Arial"/>
          <w:sz w:val="24"/>
          <w:szCs w:val="24"/>
        </w:rPr>
      </w:pPr>
      <w:r w:rsidRPr="009F307E">
        <w:rPr>
          <w:rFonts w:ascii="Arial" w:hAnsi="Arial" w:cs="Arial"/>
          <w:sz w:val="24"/>
          <w:szCs w:val="24"/>
        </w:rPr>
        <w:t>W</w:t>
      </w:r>
      <w:r w:rsidR="00375BC1" w:rsidRPr="009F307E">
        <w:rPr>
          <w:rFonts w:ascii="Arial" w:hAnsi="Arial" w:cs="Arial"/>
          <w:sz w:val="24"/>
          <w:szCs w:val="24"/>
        </w:rPr>
        <w:t xml:space="preserve">hen only the General </w:t>
      </w:r>
      <w:r w:rsidR="002753DD" w:rsidRPr="009F307E">
        <w:rPr>
          <w:rFonts w:ascii="Arial" w:hAnsi="Arial" w:cs="Arial"/>
          <w:sz w:val="24"/>
          <w:szCs w:val="24"/>
        </w:rPr>
        <w:t>Balances</w:t>
      </w:r>
      <w:r w:rsidR="00375BC1" w:rsidRPr="009F307E">
        <w:rPr>
          <w:rFonts w:ascii="Arial" w:hAnsi="Arial" w:cs="Arial"/>
          <w:sz w:val="24"/>
          <w:szCs w:val="24"/>
        </w:rPr>
        <w:t xml:space="preserve"> are considered, the reserves are sufficient to meet the </w:t>
      </w:r>
      <w:r w:rsidR="000538E1" w:rsidRPr="009F307E">
        <w:rPr>
          <w:rFonts w:ascii="Arial" w:hAnsi="Arial" w:cs="Arial"/>
          <w:sz w:val="24"/>
          <w:szCs w:val="24"/>
        </w:rPr>
        <w:t>p</w:t>
      </w:r>
      <w:r w:rsidR="00375BC1" w:rsidRPr="009F307E">
        <w:rPr>
          <w:rFonts w:ascii="Arial" w:hAnsi="Arial" w:cs="Arial"/>
          <w:sz w:val="24"/>
          <w:szCs w:val="24"/>
        </w:rPr>
        <w:t>essimistic</w:t>
      </w:r>
      <w:r w:rsidR="000538E1" w:rsidRPr="009F307E">
        <w:rPr>
          <w:rFonts w:ascii="Arial" w:hAnsi="Arial" w:cs="Arial"/>
          <w:sz w:val="24"/>
          <w:szCs w:val="24"/>
        </w:rPr>
        <w:t>,</w:t>
      </w:r>
      <w:r w:rsidR="00375BC1" w:rsidRPr="009F307E">
        <w:rPr>
          <w:rFonts w:ascii="Arial" w:hAnsi="Arial" w:cs="Arial"/>
          <w:sz w:val="24"/>
          <w:szCs w:val="24"/>
        </w:rPr>
        <w:t xml:space="preserve"> </w:t>
      </w:r>
      <w:r w:rsidR="000538E1" w:rsidRPr="009F307E">
        <w:rPr>
          <w:rFonts w:ascii="Arial" w:hAnsi="Arial" w:cs="Arial"/>
          <w:sz w:val="24"/>
          <w:szCs w:val="24"/>
        </w:rPr>
        <w:t>l</w:t>
      </w:r>
      <w:r w:rsidR="009E3EF8" w:rsidRPr="009F307E">
        <w:rPr>
          <w:rFonts w:ascii="Arial" w:hAnsi="Arial" w:cs="Arial"/>
          <w:sz w:val="24"/>
          <w:szCs w:val="24"/>
        </w:rPr>
        <w:t>ikely</w:t>
      </w:r>
      <w:r w:rsidR="00375BC1" w:rsidRPr="009F307E">
        <w:rPr>
          <w:rFonts w:ascii="Arial" w:hAnsi="Arial" w:cs="Arial"/>
          <w:sz w:val="24"/>
          <w:szCs w:val="24"/>
        </w:rPr>
        <w:t xml:space="preserve"> and </w:t>
      </w:r>
      <w:r w:rsidR="000538E1" w:rsidRPr="009F307E">
        <w:rPr>
          <w:rFonts w:ascii="Arial" w:hAnsi="Arial" w:cs="Arial"/>
          <w:sz w:val="24"/>
          <w:szCs w:val="24"/>
        </w:rPr>
        <w:t>o</w:t>
      </w:r>
      <w:r w:rsidR="00375BC1" w:rsidRPr="009F307E">
        <w:rPr>
          <w:rFonts w:ascii="Arial" w:hAnsi="Arial" w:cs="Arial"/>
          <w:sz w:val="24"/>
          <w:szCs w:val="24"/>
        </w:rPr>
        <w:t xml:space="preserve">ptimistic </w:t>
      </w:r>
      <w:r w:rsidR="002F35C8" w:rsidRPr="009F307E">
        <w:rPr>
          <w:rFonts w:ascii="Arial" w:hAnsi="Arial" w:cs="Arial"/>
          <w:sz w:val="24"/>
          <w:szCs w:val="24"/>
        </w:rPr>
        <w:t>scenarios</w:t>
      </w:r>
      <w:r w:rsidR="00375BC1" w:rsidRPr="009F307E">
        <w:rPr>
          <w:rFonts w:ascii="Arial" w:hAnsi="Arial" w:cs="Arial"/>
          <w:sz w:val="24"/>
          <w:szCs w:val="24"/>
        </w:rPr>
        <w:t xml:space="preserve"> for 202</w:t>
      </w:r>
      <w:r w:rsidR="009F307E" w:rsidRPr="009F307E">
        <w:rPr>
          <w:rFonts w:ascii="Arial" w:hAnsi="Arial" w:cs="Arial"/>
          <w:sz w:val="24"/>
          <w:szCs w:val="24"/>
        </w:rPr>
        <w:t>6</w:t>
      </w:r>
      <w:r w:rsidR="00375BC1" w:rsidRPr="009F307E">
        <w:rPr>
          <w:rFonts w:ascii="Arial" w:hAnsi="Arial" w:cs="Arial"/>
          <w:sz w:val="24"/>
          <w:szCs w:val="24"/>
        </w:rPr>
        <w:t>/2</w:t>
      </w:r>
      <w:r w:rsidR="009F307E" w:rsidRPr="009F307E">
        <w:rPr>
          <w:rFonts w:ascii="Arial" w:hAnsi="Arial" w:cs="Arial"/>
          <w:sz w:val="24"/>
          <w:szCs w:val="24"/>
        </w:rPr>
        <w:t>7</w:t>
      </w:r>
      <w:r w:rsidR="000538E1" w:rsidRPr="009F307E">
        <w:rPr>
          <w:rFonts w:ascii="Arial" w:hAnsi="Arial" w:cs="Arial"/>
          <w:sz w:val="24"/>
          <w:szCs w:val="24"/>
        </w:rPr>
        <w:t xml:space="preserve">, </w:t>
      </w:r>
      <w:r w:rsidR="00375BC1" w:rsidRPr="009F307E">
        <w:rPr>
          <w:rFonts w:ascii="Arial" w:hAnsi="Arial" w:cs="Arial"/>
          <w:sz w:val="24"/>
          <w:szCs w:val="24"/>
        </w:rPr>
        <w:t xml:space="preserve">which means that Council can be assured that it has sufficient revenue contingency. </w:t>
      </w:r>
    </w:p>
    <w:p w14:paraId="68EE086C" w14:textId="0E2FABB2" w:rsidR="002604A1" w:rsidRPr="009F307E" w:rsidRDefault="000538E1" w:rsidP="00CF25BB">
      <w:pPr>
        <w:pStyle w:val="ListParagraph"/>
        <w:numPr>
          <w:ilvl w:val="0"/>
          <w:numId w:val="42"/>
        </w:numPr>
        <w:spacing w:after="0" w:line="240" w:lineRule="auto"/>
        <w:jc w:val="both"/>
        <w:rPr>
          <w:rFonts w:ascii="Arial" w:hAnsi="Arial" w:cs="Arial"/>
          <w:sz w:val="24"/>
          <w:szCs w:val="24"/>
        </w:rPr>
      </w:pPr>
      <w:r w:rsidRPr="009F307E">
        <w:rPr>
          <w:rFonts w:ascii="Arial" w:hAnsi="Arial" w:cs="Arial"/>
          <w:sz w:val="24"/>
          <w:szCs w:val="24"/>
        </w:rPr>
        <w:t>From 202</w:t>
      </w:r>
      <w:r w:rsidR="009F307E" w:rsidRPr="009F307E">
        <w:rPr>
          <w:rFonts w:ascii="Arial" w:hAnsi="Arial" w:cs="Arial"/>
          <w:sz w:val="24"/>
          <w:szCs w:val="24"/>
        </w:rPr>
        <w:t>7</w:t>
      </w:r>
      <w:r w:rsidRPr="009F307E">
        <w:rPr>
          <w:rFonts w:ascii="Arial" w:hAnsi="Arial" w:cs="Arial"/>
          <w:sz w:val="24"/>
          <w:szCs w:val="24"/>
        </w:rPr>
        <w:t>/2</w:t>
      </w:r>
      <w:r w:rsidR="009F307E" w:rsidRPr="009F307E">
        <w:rPr>
          <w:rFonts w:ascii="Arial" w:hAnsi="Arial" w:cs="Arial"/>
          <w:sz w:val="24"/>
          <w:szCs w:val="24"/>
        </w:rPr>
        <w:t>8</w:t>
      </w:r>
      <w:r w:rsidRPr="009F307E">
        <w:rPr>
          <w:rFonts w:ascii="Arial" w:hAnsi="Arial" w:cs="Arial"/>
          <w:sz w:val="24"/>
          <w:szCs w:val="24"/>
        </w:rPr>
        <w:t xml:space="preserve"> onwards</w:t>
      </w:r>
      <w:r w:rsidR="00375BC1" w:rsidRPr="009F307E">
        <w:rPr>
          <w:rFonts w:ascii="Arial" w:hAnsi="Arial" w:cs="Arial"/>
          <w:sz w:val="24"/>
          <w:szCs w:val="24"/>
        </w:rPr>
        <w:t xml:space="preserve"> only the </w:t>
      </w:r>
      <w:r w:rsidR="00774DD8" w:rsidRPr="009F307E">
        <w:rPr>
          <w:rFonts w:ascii="Arial" w:hAnsi="Arial" w:cs="Arial"/>
          <w:sz w:val="24"/>
          <w:szCs w:val="24"/>
        </w:rPr>
        <w:t>o</w:t>
      </w:r>
      <w:r w:rsidR="00375BC1" w:rsidRPr="009F307E">
        <w:rPr>
          <w:rFonts w:ascii="Arial" w:hAnsi="Arial" w:cs="Arial"/>
          <w:sz w:val="24"/>
          <w:szCs w:val="24"/>
        </w:rPr>
        <w:t>ptimistic</w:t>
      </w:r>
      <w:r w:rsidR="00774DD8" w:rsidRPr="009F307E">
        <w:rPr>
          <w:rFonts w:ascii="Arial" w:hAnsi="Arial" w:cs="Arial"/>
          <w:sz w:val="24"/>
          <w:szCs w:val="24"/>
        </w:rPr>
        <w:t xml:space="preserve"> and lik</w:t>
      </w:r>
      <w:r w:rsidR="002F35C8" w:rsidRPr="009F307E">
        <w:rPr>
          <w:rFonts w:ascii="Arial" w:hAnsi="Arial" w:cs="Arial"/>
          <w:sz w:val="24"/>
          <w:szCs w:val="24"/>
        </w:rPr>
        <w:t>ely</w:t>
      </w:r>
      <w:r w:rsidR="00375BC1" w:rsidRPr="009F307E">
        <w:rPr>
          <w:rFonts w:ascii="Arial" w:hAnsi="Arial" w:cs="Arial"/>
          <w:sz w:val="24"/>
          <w:szCs w:val="24"/>
        </w:rPr>
        <w:t xml:space="preserve"> option</w:t>
      </w:r>
      <w:r w:rsidR="002F35C8" w:rsidRPr="009F307E">
        <w:rPr>
          <w:rFonts w:ascii="Arial" w:hAnsi="Arial" w:cs="Arial"/>
          <w:sz w:val="24"/>
          <w:szCs w:val="24"/>
        </w:rPr>
        <w:t>s</w:t>
      </w:r>
      <w:r w:rsidR="00375BC1" w:rsidRPr="009F307E">
        <w:rPr>
          <w:rFonts w:ascii="Arial" w:hAnsi="Arial" w:cs="Arial"/>
          <w:sz w:val="24"/>
          <w:szCs w:val="24"/>
        </w:rPr>
        <w:t xml:space="preserve"> </w:t>
      </w:r>
      <w:r w:rsidR="002358D2" w:rsidRPr="009F307E">
        <w:rPr>
          <w:rFonts w:ascii="Arial" w:hAnsi="Arial" w:cs="Arial"/>
          <w:sz w:val="24"/>
          <w:szCs w:val="24"/>
        </w:rPr>
        <w:t>can be resourced from General Balances.</w:t>
      </w:r>
      <w:r w:rsidR="00375BC1" w:rsidRPr="009F307E">
        <w:rPr>
          <w:rFonts w:ascii="Arial" w:hAnsi="Arial" w:cs="Arial"/>
          <w:sz w:val="24"/>
          <w:szCs w:val="24"/>
        </w:rPr>
        <w:t xml:space="preserve"> </w:t>
      </w:r>
    </w:p>
    <w:p w14:paraId="193266DF" w14:textId="77777777" w:rsidR="00F76056" w:rsidRPr="00B91350" w:rsidRDefault="00F76056" w:rsidP="00F76056">
      <w:pPr>
        <w:pStyle w:val="ListParagraph"/>
        <w:spacing w:after="0" w:line="240" w:lineRule="auto"/>
        <w:jc w:val="both"/>
        <w:rPr>
          <w:rFonts w:ascii="Arial" w:hAnsi="Arial" w:cs="Arial"/>
          <w:sz w:val="24"/>
          <w:szCs w:val="24"/>
          <w:highlight w:val="yellow"/>
        </w:rPr>
      </w:pPr>
    </w:p>
    <w:p w14:paraId="4AA75F8A" w14:textId="1CC9A0A0" w:rsidR="005C053B" w:rsidRPr="000D3AA1" w:rsidRDefault="005C053B" w:rsidP="00F76056">
      <w:pPr>
        <w:jc w:val="both"/>
        <w:rPr>
          <w:rFonts w:ascii="Arial" w:hAnsi="Arial" w:cs="Arial"/>
        </w:rPr>
      </w:pPr>
      <w:r w:rsidRPr="000D3AA1">
        <w:rPr>
          <w:rFonts w:ascii="Arial" w:hAnsi="Arial" w:cs="Arial"/>
        </w:rPr>
        <w:t>Stage 2 – The Secondary Test of Financial Resilience</w:t>
      </w:r>
    </w:p>
    <w:p w14:paraId="30D36DE0" w14:textId="77777777" w:rsidR="005C053B" w:rsidRPr="000D3AA1" w:rsidRDefault="005C053B" w:rsidP="00F76056">
      <w:pPr>
        <w:jc w:val="both"/>
        <w:rPr>
          <w:rFonts w:ascii="Arial" w:hAnsi="Arial" w:cs="Arial"/>
        </w:rPr>
      </w:pPr>
    </w:p>
    <w:p w14:paraId="1D348366" w14:textId="77777777" w:rsidR="004C726A" w:rsidRPr="000D3AA1" w:rsidRDefault="005C053B" w:rsidP="00F76056">
      <w:pPr>
        <w:jc w:val="both"/>
        <w:rPr>
          <w:rFonts w:ascii="Arial" w:hAnsi="Arial" w:cs="Arial"/>
        </w:rPr>
      </w:pPr>
      <w:r w:rsidRPr="000D3AA1">
        <w:rPr>
          <w:rFonts w:ascii="Arial" w:hAnsi="Arial" w:cs="Arial"/>
        </w:rPr>
        <w:t xml:space="preserve">The Stage 2 assessment is a ‘complete’ test, in that it also brings into the assessment the use of the Council’s Earmarked Reserves to supplement General Balances (except </w:t>
      </w:r>
      <w:r w:rsidR="00227FBE" w:rsidRPr="000D3AA1">
        <w:rPr>
          <w:rFonts w:ascii="Arial" w:hAnsi="Arial" w:cs="Arial"/>
        </w:rPr>
        <w:t>specific reserves that are set aside in relation to c</w:t>
      </w:r>
      <w:r w:rsidRPr="000D3AA1">
        <w:rPr>
          <w:rFonts w:ascii="Arial" w:hAnsi="Arial" w:cs="Arial"/>
        </w:rPr>
        <w:t>apital</w:t>
      </w:r>
      <w:r w:rsidR="00227FBE" w:rsidRPr="000D3AA1">
        <w:rPr>
          <w:rFonts w:ascii="Arial" w:hAnsi="Arial" w:cs="Arial"/>
        </w:rPr>
        <w:t>, c</w:t>
      </w:r>
      <w:r w:rsidRPr="000D3AA1">
        <w:rPr>
          <w:rFonts w:ascii="Arial" w:hAnsi="Arial" w:cs="Arial"/>
        </w:rPr>
        <w:t>ontracts</w:t>
      </w:r>
      <w:r w:rsidR="00227FBE" w:rsidRPr="000D3AA1">
        <w:rPr>
          <w:rFonts w:ascii="Arial" w:hAnsi="Arial" w:cs="Arial"/>
        </w:rPr>
        <w:t xml:space="preserve">, projects and third parties, as these reserves are in place to meet specific </w:t>
      </w:r>
      <w:r w:rsidR="004C726A" w:rsidRPr="000D3AA1">
        <w:rPr>
          <w:rFonts w:ascii="Arial" w:hAnsi="Arial" w:cs="Arial"/>
        </w:rPr>
        <w:t>commitments</w:t>
      </w:r>
      <w:r w:rsidRPr="000D3AA1">
        <w:rPr>
          <w:rFonts w:ascii="Arial" w:hAnsi="Arial" w:cs="Arial"/>
        </w:rPr>
        <w:t xml:space="preserve">). </w:t>
      </w:r>
    </w:p>
    <w:p w14:paraId="0D0DD977" w14:textId="77777777" w:rsidR="00FA6532" w:rsidRPr="00B91350" w:rsidRDefault="00FA6532" w:rsidP="00F76056">
      <w:pPr>
        <w:jc w:val="both"/>
        <w:rPr>
          <w:rFonts w:ascii="Arial" w:hAnsi="Arial" w:cs="Arial"/>
          <w:highlight w:val="yellow"/>
        </w:rPr>
      </w:pPr>
    </w:p>
    <w:p w14:paraId="5D589C5D" w14:textId="3AC06583" w:rsidR="00FA6532" w:rsidRPr="00B91350" w:rsidRDefault="00924BDA" w:rsidP="00FA6532">
      <w:pPr>
        <w:ind w:left="1418"/>
        <w:jc w:val="both"/>
        <w:rPr>
          <w:rFonts w:ascii="Arial" w:hAnsi="Arial" w:cs="Arial"/>
          <w:highlight w:val="yellow"/>
        </w:rPr>
      </w:pPr>
      <w:r>
        <w:rPr>
          <w:noProof/>
        </w:rPr>
        <w:drawing>
          <wp:inline distT="0" distB="0" distL="0" distR="0" wp14:anchorId="02031881" wp14:editId="4BCFAC08">
            <wp:extent cx="4660900" cy="3168650"/>
            <wp:effectExtent l="0" t="0" r="6350" b="12700"/>
            <wp:docPr id="1744600796" name="Chart 1">
              <a:extLst xmlns:a="http://schemas.openxmlformats.org/drawingml/2006/main">
                <a:ext uri="{FF2B5EF4-FFF2-40B4-BE49-F238E27FC236}">
                  <a16:creationId xmlns:a16="http://schemas.microsoft.com/office/drawing/2014/main" id="{0445C0BA-94D3-8D34-A5B7-0827EE6BD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EDE94F7" w14:textId="77777777" w:rsidR="004C726A" w:rsidRPr="00411278" w:rsidRDefault="004C726A" w:rsidP="00F76056">
      <w:pPr>
        <w:jc w:val="both"/>
        <w:rPr>
          <w:rFonts w:ascii="Arial" w:hAnsi="Arial" w:cs="Arial"/>
        </w:rPr>
      </w:pPr>
    </w:p>
    <w:p w14:paraId="78EEBAB8" w14:textId="11E9095E" w:rsidR="00F76056" w:rsidRPr="00411278" w:rsidRDefault="004C726A" w:rsidP="00CF25BB">
      <w:pPr>
        <w:pStyle w:val="ListParagraph"/>
        <w:numPr>
          <w:ilvl w:val="0"/>
          <w:numId w:val="43"/>
        </w:numPr>
        <w:spacing w:after="0" w:line="240" w:lineRule="auto"/>
        <w:jc w:val="both"/>
        <w:rPr>
          <w:rFonts w:ascii="Arial" w:hAnsi="Arial" w:cs="Arial"/>
          <w:sz w:val="24"/>
          <w:szCs w:val="24"/>
        </w:rPr>
      </w:pPr>
      <w:r w:rsidRPr="00411278">
        <w:rPr>
          <w:rFonts w:ascii="Arial" w:hAnsi="Arial" w:cs="Arial"/>
          <w:sz w:val="24"/>
          <w:szCs w:val="24"/>
        </w:rPr>
        <w:t>T</w:t>
      </w:r>
      <w:r w:rsidR="005C053B" w:rsidRPr="00411278">
        <w:rPr>
          <w:rFonts w:ascii="Arial" w:hAnsi="Arial" w:cs="Arial"/>
          <w:sz w:val="24"/>
          <w:szCs w:val="24"/>
        </w:rPr>
        <w:t xml:space="preserve">his </w:t>
      </w:r>
      <w:r w:rsidRPr="00411278">
        <w:rPr>
          <w:rFonts w:ascii="Arial" w:hAnsi="Arial" w:cs="Arial"/>
          <w:sz w:val="24"/>
          <w:szCs w:val="24"/>
        </w:rPr>
        <w:t xml:space="preserve">test </w:t>
      </w:r>
      <w:r w:rsidR="005C053B" w:rsidRPr="00411278">
        <w:rPr>
          <w:rFonts w:ascii="Arial" w:hAnsi="Arial" w:cs="Arial"/>
          <w:sz w:val="24"/>
          <w:szCs w:val="24"/>
        </w:rPr>
        <w:t>shows that the Council would have sufficient reserves to meet all modelled risks through to 20</w:t>
      </w:r>
      <w:r w:rsidR="00765655" w:rsidRPr="00411278">
        <w:rPr>
          <w:rFonts w:ascii="Arial" w:hAnsi="Arial" w:cs="Arial"/>
          <w:sz w:val="24"/>
          <w:szCs w:val="24"/>
        </w:rPr>
        <w:t>30/31.</w:t>
      </w:r>
    </w:p>
    <w:p w14:paraId="32C570BC" w14:textId="77777777" w:rsidR="00F76056" w:rsidRPr="00411278" w:rsidRDefault="00F76056" w:rsidP="00F76056">
      <w:pPr>
        <w:pStyle w:val="ListParagraph"/>
        <w:spacing w:after="0" w:line="240" w:lineRule="auto"/>
        <w:jc w:val="both"/>
        <w:rPr>
          <w:rFonts w:ascii="Arial" w:hAnsi="Arial" w:cs="Arial"/>
          <w:sz w:val="24"/>
          <w:szCs w:val="24"/>
        </w:rPr>
      </w:pPr>
    </w:p>
    <w:p w14:paraId="48AE5234" w14:textId="4B72D57E" w:rsidR="00897150" w:rsidRPr="00411278" w:rsidRDefault="00897150" w:rsidP="0057593C">
      <w:pPr>
        <w:jc w:val="both"/>
        <w:rPr>
          <w:rFonts w:ascii="Arial" w:hAnsi="Arial" w:cs="Arial"/>
        </w:rPr>
      </w:pPr>
      <w:r w:rsidRPr="00411278">
        <w:rPr>
          <w:rFonts w:ascii="Arial" w:hAnsi="Arial" w:cs="Arial"/>
        </w:rPr>
        <w:t>It should be noted however that it is unlikely that all these risks</w:t>
      </w:r>
      <w:r w:rsidR="00C02736" w:rsidRPr="00411278">
        <w:rPr>
          <w:rFonts w:ascii="Arial" w:hAnsi="Arial" w:cs="Arial"/>
        </w:rPr>
        <w:t xml:space="preserve"> modelled</w:t>
      </w:r>
      <w:r w:rsidRPr="00411278">
        <w:rPr>
          <w:rFonts w:ascii="Arial" w:hAnsi="Arial" w:cs="Arial"/>
        </w:rPr>
        <w:t xml:space="preserve"> would occur at the same time and that some of them may only incur in one financial year rather than being annual impacts. </w:t>
      </w:r>
    </w:p>
    <w:p w14:paraId="03B2DEBF" w14:textId="77777777" w:rsidR="00A02744" w:rsidRPr="00411278" w:rsidRDefault="00A02744" w:rsidP="0057593C">
      <w:pPr>
        <w:jc w:val="both"/>
        <w:rPr>
          <w:rFonts w:ascii="Arial" w:hAnsi="Arial" w:cs="Arial"/>
        </w:rPr>
      </w:pPr>
    </w:p>
    <w:p w14:paraId="308E00A9" w14:textId="2B31DF1C" w:rsidR="00A02744" w:rsidRPr="00411278" w:rsidRDefault="00A02744" w:rsidP="0057593C">
      <w:pPr>
        <w:jc w:val="both"/>
        <w:rPr>
          <w:rFonts w:ascii="Arial" w:hAnsi="Arial" w:cs="Arial"/>
        </w:rPr>
      </w:pPr>
      <w:r w:rsidRPr="00411278">
        <w:rPr>
          <w:rFonts w:ascii="Arial" w:hAnsi="Arial" w:cs="Arial"/>
        </w:rPr>
        <w:t>It is fair to say that in considering the sensitivity analysis and scenario planning, with the use of General Balances and some of the Earmarked Reserves the Council should be able to absorb considerable additional financial risk.</w:t>
      </w:r>
    </w:p>
    <w:p w14:paraId="73C7C056" w14:textId="77777777" w:rsidR="00897150" w:rsidRPr="00411278" w:rsidRDefault="00897150" w:rsidP="0057593C">
      <w:pPr>
        <w:jc w:val="both"/>
        <w:rPr>
          <w:rFonts w:ascii="Arial" w:hAnsi="Arial" w:cs="Arial"/>
        </w:rPr>
      </w:pPr>
    </w:p>
    <w:p w14:paraId="78873527" w14:textId="63A11551" w:rsidR="0089359A" w:rsidRPr="00411278" w:rsidRDefault="0089359A" w:rsidP="0057593C">
      <w:pPr>
        <w:jc w:val="both"/>
        <w:rPr>
          <w:rFonts w:ascii="Arial" w:hAnsi="Arial" w:cs="Arial"/>
        </w:rPr>
      </w:pPr>
      <w:r w:rsidRPr="00411278">
        <w:rPr>
          <w:rFonts w:ascii="Arial" w:hAnsi="Arial" w:cs="Arial"/>
        </w:rPr>
        <w:t xml:space="preserve">The Council should though, when drawing </w:t>
      </w:r>
      <w:r w:rsidR="003D4A9B" w:rsidRPr="00411278">
        <w:rPr>
          <w:rFonts w:ascii="Arial" w:hAnsi="Arial" w:cs="Arial"/>
        </w:rPr>
        <w:t xml:space="preserve">down from </w:t>
      </w:r>
      <w:r w:rsidR="00411278" w:rsidRPr="00411278">
        <w:rPr>
          <w:rFonts w:ascii="Arial" w:hAnsi="Arial" w:cs="Arial"/>
        </w:rPr>
        <w:t>earmarked</w:t>
      </w:r>
      <w:r w:rsidR="003D4A9B" w:rsidRPr="00411278">
        <w:rPr>
          <w:rFonts w:ascii="Arial" w:hAnsi="Arial" w:cs="Arial"/>
        </w:rPr>
        <w:t xml:space="preserve"> reserves in future years be cognisant that this will reduce the available funds to meet potential financial stresses</w:t>
      </w:r>
      <w:r w:rsidR="00704785">
        <w:rPr>
          <w:rFonts w:ascii="Arial" w:hAnsi="Arial" w:cs="Arial"/>
        </w:rPr>
        <w:t xml:space="preserve"> and remove flexibility for a</w:t>
      </w:r>
      <w:r w:rsidR="00AA479A">
        <w:rPr>
          <w:rFonts w:ascii="Arial" w:hAnsi="Arial" w:cs="Arial"/>
        </w:rPr>
        <w:t xml:space="preserve"> new unitary authority</w:t>
      </w:r>
      <w:r w:rsidR="00E70D1F">
        <w:rPr>
          <w:rFonts w:ascii="Arial" w:hAnsi="Arial" w:cs="Arial"/>
        </w:rPr>
        <w:t>.</w:t>
      </w:r>
    </w:p>
    <w:p w14:paraId="57B0FE02" w14:textId="77777777" w:rsidR="0064071A" w:rsidRPr="00B91350" w:rsidRDefault="0064071A" w:rsidP="0057593C">
      <w:pPr>
        <w:jc w:val="both"/>
        <w:rPr>
          <w:rFonts w:ascii="Arial" w:hAnsi="Arial" w:cs="Arial"/>
          <w:highlight w:val="yellow"/>
        </w:rPr>
      </w:pPr>
    </w:p>
    <w:p w14:paraId="0F29A6D3" w14:textId="77777777" w:rsidR="0064071A" w:rsidRPr="00B91350" w:rsidRDefault="0064071A" w:rsidP="0064071A">
      <w:pPr>
        <w:jc w:val="both"/>
        <w:rPr>
          <w:rFonts w:ascii="Arial" w:hAnsi="Arial" w:cs="Arial"/>
          <w:b/>
          <w:highlight w:val="yellow"/>
        </w:rPr>
      </w:pPr>
      <w:r w:rsidRPr="00C96DF5">
        <w:rPr>
          <w:rFonts w:ascii="Arial" w:hAnsi="Arial" w:cs="Arial"/>
          <w:b/>
        </w:rPr>
        <w:t>Planned Use and Contribution to Reserves</w:t>
      </w:r>
    </w:p>
    <w:p w14:paraId="4BF19A6F" w14:textId="77777777" w:rsidR="0064071A" w:rsidRPr="00B91350" w:rsidRDefault="0064071A" w:rsidP="0064071A">
      <w:pPr>
        <w:jc w:val="both"/>
        <w:rPr>
          <w:rFonts w:ascii="Arial" w:hAnsi="Arial" w:cs="Arial"/>
          <w:highlight w:val="yellow"/>
        </w:rPr>
      </w:pPr>
    </w:p>
    <w:p w14:paraId="0EBE6D7E" w14:textId="5A850EB1" w:rsidR="0064071A" w:rsidRPr="00C20431" w:rsidRDefault="007C278C" w:rsidP="0064071A">
      <w:pPr>
        <w:jc w:val="both"/>
        <w:rPr>
          <w:rFonts w:ascii="Arial" w:hAnsi="Arial" w:cs="Arial"/>
        </w:rPr>
      </w:pPr>
      <w:r w:rsidRPr="00C20431">
        <w:rPr>
          <w:rFonts w:ascii="Arial" w:hAnsi="Arial" w:cs="Arial"/>
        </w:rPr>
        <w:t xml:space="preserve">Over the period of the MTFS, the </w:t>
      </w:r>
      <w:r w:rsidR="0064071A" w:rsidRPr="00C20431">
        <w:rPr>
          <w:rFonts w:ascii="Arial" w:hAnsi="Arial" w:cs="Arial"/>
        </w:rPr>
        <w:t xml:space="preserve">overall level of balances will be maintained </w:t>
      </w:r>
      <w:r w:rsidRPr="00C20431">
        <w:rPr>
          <w:rFonts w:ascii="Arial" w:hAnsi="Arial" w:cs="Arial"/>
        </w:rPr>
        <w:t xml:space="preserve">above </w:t>
      </w:r>
      <w:r w:rsidR="0064071A" w:rsidRPr="00C20431">
        <w:rPr>
          <w:rFonts w:ascii="Arial" w:hAnsi="Arial" w:cs="Arial"/>
        </w:rPr>
        <w:t xml:space="preserve">the prudent minimum, </w:t>
      </w:r>
      <w:r w:rsidRPr="00C20431">
        <w:rPr>
          <w:rFonts w:ascii="Arial" w:hAnsi="Arial" w:cs="Arial"/>
        </w:rPr>
        <w:t>with contributions to balances</w:t>
      </w:r>
      <w:r w:rsidR="0064071A" w:rsidRPr="00C20431">
        <w:rPr>
          <w:rFonts w:ascii="Arial" w:hAnsi="Arial" w:cs="Arial"/>
        </w:rPr>
        <w:t xml:space="preserve"> in the General Fund </w:t>
      </w:r>
      <w:r w:rsidR="00054FBA" w:rsidRPr="00C20431">
        <w:rPr>
          <w:rFonts w:ascii="Arial" w:hAnsi="Arial" w:cs="Arial"/>
        </w:rPr>
        <w:t xml:space="preserve">of balances </w:t>
      </w:r>
      <w:r w:rsidRPr="00C20431">
        <w:rPr>
          <w:rFonts w:ascii="Arial" w:hAnsi="Arial" w:cs="Arial"/>
        </w:rPr>
        <w:t>in each of the financial years.  By March 2031, estimates General Fund balances are significantly excess of the prudent minimum, this is largely as a result of not allocating surpluses resources beyond 2027/2</w:t>
      </w:r>
      <w:r w:rsidR="00C23B2F">
        <w:rPr>
          <w:rFonts w:ascii="Arial" w:hAnsi="Arial" w:cs="Arial"/>
        </w:rPr>
        <w:t>8</w:t>
      </w:r>
      <w:r w:rsidRPr="00C20431">
        <w:rPr>
          <w:rFonts w:ascii="Arial" w:hAnsi="Arial" w:cs="Arial"/>
        </w:rPr>
        <w:t xml:space="preserve"> in light of LGR.</w:t>
      </w:r>
      <w:r w:rsidR="0064071A" w:rsidRPr="00C20431">
        <w:rPr>
          <w:rFonts w:ascii="Arial" w:hAnsi="Arial" w:cs="Arial"/>
        </w:rPr>
        <w:t xml:space="preserve">  </w:t>
      </w:r>
    </w:p>
    <w:p w14:paraId="78BAB73A" w14:textId="77777777" w:rsidR="0064071A" w:rsidRPr="00C20431" w:rsidRDefault="0064071A" w:rsidP="0064071A">
      <w:pPr>
        <w:jc w:val="both"/>
        <w:rPr>
          <w:rFonts w:ascii="Arial" w:hAnsi="Arial" w:cs="Arial"/>
        </w:rPr>
      </w:pPr>
    </w:p>
    <w:p w14:paraId="0CE56099" w14:textId="3D9178EA" w:rsidR="0064071A" w:rsidRPr="00C20431" w:rsidRDefault="007C278C" w:rsidP="0064071A">
      <w:pPr>
        <w:jc w:val="both"/>
        <w:rPr>
          <w:rFonts w:ascii="Arial" w:hAnsi="Arial" w:cs="Arial"/>
        </w:rPr>
      </w:pPr>
      <w:r w:rsidRPr="00C20431">
        <w:rPr>
          <w:rFonts w:ascii="Arial" w:hAnsi="Arial" w:cs="Arial"/>
        </w:rPr>
        <w:t>A new unitary authority will inherit the financial position of the City of Lincoln Council, this MTFS shows that the Council would be in a financially sustainable position at the end of 2027/28, with positive contributions to general balances and with balances maintained above the prudent assessed minimum level</w:t>
      </w:r>
      <w:r w:rsidR="00C23B2F">
        <w:rPr>
          <w:rFonts w:ascii="Arial" w:hAnsi="Arial" w:cs="Arial"/>
        </w:rPr>
        <w:t>.</w:t>
      </w:r>
    </w:p>
    <w:p w14:paraId="39BC08A0" w14:textId="77777777" w:rsidR="007C278C" w:rsidRPr="00C20431" w:rsidRDefault="007C278C" w:rsidP="0064071A">
      <w:pPr>
        <w:jc w:val="both"/>
        <w:rPr>
          <w:rFonts w:ascii="Arial" w:hAnsi="Arial" w:cs="Arial"/>
        </w:rPr>
      </w:pPr>
    </w:p>
    <w:p w14:paraId="4CAC77FF" w14:textId="69F5D86C" w:rsidR="005D7E0A" w:rsidRPr="00D12CF5" w:rsidRDefault="00A02744" w:rsidP="00587FC3">
      <w:pPr>
        <w:pStyle w:val="Default"/>
        <w:spacing w:after="220"/>
        <w:jc w:val="both"/>
        <w:rPr>
          <w:rFonts w:ascii="Arial" w:hAnsi="Arial" w:cs="Arial"/>
          <w:color w:val="auto"/>
        </w:rPr>
      </w:pPr>
      <w:r w:rsidRPr="00C20431">
        <w:rPr>
          <w:rFonts w:ascii="Arial" w:hAnsi="Arial" w:cs="Arial"/>
        </w:rPr>
        <w:t>In conclusion, t</w:t>
      </w:r>
      <w:r w:rsidR="00F27252" w:rsidRPr="00C20431">
        <w:rPr>
          <w:rFonts w:ascii="Arial" w:hAnsi="Arial" w:cs="Arial"/>
        </w:rPr>
        <w:t xml:space="preserve">he levels of reserves and balances recommended within this strategy are believed to be </w:t>
      </w:r>
      <w:r w:rsidR="00255163" w:rsidRPr="00C20431">
        <w:rPr>
          <w:rFonts w:ascii="Arial" w:hAnsi="Arial" w:cs="Arial"/>
        </w:rPr>
        <w:t xml:space="preserve">adequate </w:t>
      </w:r>
      <w:r w:rsidR="00F27252" w:rsidRPr="00C20431">
        <w:rPr>
          <w:rFonts w:ascii="Arial" w:hAnsi="Arial" w:cs="Arial"/>
        </w:rPr>
        <w:t>to meet the Council’s obligations</w:t>
      </w:r>
      <w:r w:rsidR="007C278C" w:rsidRPr="00C20431">
        <w:rPr>
          <w:rFonts w:ascii="Arial" w:hAnsi="Arial" w:cs="Arial"/>
        </w:rPr>
        <w:t>, both in light of LGR and on a going concern basis</w:t>
      </w:r>
      <w:r w:rsidR="00C20431" w:rsidRPr="00C20431">
        <w:rPr>
          <w:rFonts w:ascii="Arial" w:hAnsi="Arial" w:cs="Arial"/>
        </w:rPr>
        <w:t>,</w:t>
      </w:r>
      <w:r w:rsidR="00F27252" w:rsidRPr="00C20431">
        <w:rPr>
          <w:rFonts w:ascii="Arial" w:hAnsi="Arial" w:cs="Arial"/>
        </w:rPr>
        <w:t xml:space="preserve"> and have been based on a </w:t>
      </w:r>
      <w:r w:rsidR="00F27252" w:rsidRPr="00C20431">
        <w:rPr>
          <w:rFonts w:ascii="Arial" w:hAnsi="Arial" w:cs="Arial"/>
          <w:color w:val="auto"/>
        </w:rPr>
        <w:t>detailed risk assessment.</w:t>
      </w:r>
    </w:p>
    <w:p w14:paraId="2D53DFFC" w14:textId="609CEB5D" w:rsidR="00696F54" w:rsidRPr="00C20431" w:rsidRDefault="00696F54" w:rsidP="0064071A">
      <w:pPr>
        <w:jc w:val="both"/>
        <w:rPr>
          <w:rFonts w:ascii="Arial" w:hAnsi="Arial" w:cs="Arial"/>
          <w:b/>
        </w:rPr>
      </w:pPr>
      <w:r w:rsidRPr="00C20431">
        <w:rPr>
          <w:rFonts w:ascii="Arial" w:hAnsi="Arial" w:cs="Arial"/>
          <w:b/>
        </w:rPr>
        <w:t>Housing Revenue Account</w:t>
      </w:r>
    </w:p>
    <w:p w14:paraId="5F0858A6" w14:textId="77777777" w:rsidR="00696F54" w:rsidRPr="00C20431" w:rsidRDefault="00696F54" w:rsidP="0064071A">
      <w:pPr>
        <w:jc w:val="both"/>
        <w:rPr>
          <w:rFonts w:ascii="Arial" w:hAnsi="Arial" w:cs="Arial"/>
        </w:rPr>
      </w:pPr>
    </w:p>
    <w:p w14:paraId="52D3AB33" w14:textId="2804E62D" w:rsidR="00696F54" w:rsidRPr="00C20431" w:rsidRDefault="00696F54" w:rsidP="00696F54">
      <w:pPr>
        <w:jc w:val="both"/>
        <w:rPr>
          <w:rFonts w:ascii="Arial" w:hAnsi="Arial" w:cs="Arial"/>
        </w:rPr>
      </w:pPr>
      <w:r w:rsidRPr="00C20431">
        <w:rPr>
          <w:rFonts w:ascii="Arial" w:hAnsi="Arial" w:cs="Arial"/>
        </w:rPr>
        <w:t xml:space="preserve">In relation to the HRA, the scenario planning is undertaken over the period of the full 30-year business plan.  This is based on variables to key assumptions, primarily the level of CPI which drives the rental income e.g. a 1% increase in the </w:t>
      </w:r>
      <w:r w:rsidRPr="00C20431">
        <w:rPr>
          <w:rFonts w:ascii="Arial" w:hAnsi="Arial" w:cs="Arial"/>
          <w:bCs/>
        </w:rPr>
        <w:t>202</w:t>
      </w:r>
      <w:r w:rsidR="00C96DF5">
        <w:rPr>
          <w:rFonts w:ascii="Arial" w:hAnsi="Arial" w:cs="Arial"/>
          <w:bCs/>
        </w:rPr>
        <w:t>7</w:t>
      </w:r>
      <w:r w:rsidRPr="00C20431">
        <w:rPr>
          <w:rFonts w:ascii="Arial" w:hAnsi="Arial" w:cs="Arial"/>
          <w:bCs/>
        </w:rPr>
        <w:t>/2</w:t>
      </w:r>
      <w:r w:rsidR="00C96DF5">
        <w:rPr>
          <w:rFonts w:ascii="Arial" w:hAnsi="Arial" w:cs="Arial"/>
          <w:bCs/>
        </w:rPr>
        <w:t>8</w:t>
      </w:r>
      <w:r w:rsidRPr="00C20431">
        <w:rPr>
          <w:rFonts w:ascii="Arial" w:hAnsi="Arial" w:cs="Arial"/>
        </w:rPr>
        <w:t xml:space="preserve"> assumption of CPI at 2% equates to increased resources in the HRA of </w:t>
      </w:r>
      <w:r w:rsidRPr="005B5DC7">
        <w:rPr>
          <w:rFonts w:ascii="Arial" w:hAnsi="Arial" w:cs="Arial"/>
        </w:rPr>
        <w:t>£1.</w:t>
      </w:r>
      <w:r w:rsidR="00B9237B" w:rsidRPr="005B5DC7">
        <w:rPr>
          <w:rFonts w:ascii="Arial" w:hAnsi="Arial" w:cs="Arial"/>
          <w:bCs/>
        </w:rPr>
        <w:t>6</w:t>
      </w:r>
      <w:r w:rsidRPr="005B5DC7">
        <w:rPr>
          <w:rFonts w:ascii="Arial" w:hAnsi="Arial" w:cs="Arial"/>
          <w:bCs/>
        </w:rPr>
        <w:t>m</w:t>
      </w:r>
      <w:r w:rsidRPr="005B5DC7">
        <w:rPr>
          <w:rFonts w:ascii="Arial" w:hAnsi="Arial" w:cs="Arial"/>
        </w:rPr>
        <w:t xml:space="preserve"> over the 5-year period and c£</w:t>
      </w:r>
      <w:r w:rsidRPr="005B5DC7">
        <w:rPr>
          <w:rFonts w:ascii="Arial" w:hAnsi="Arial" w:cs="Arial"/>
          <w:bCs/>
        </w:rPr>
        <w:t>16</w:t>
      </w:r>
      <w:r w:rsidR="008C4B8C" w:rsidRPr="005B5DC7">
        <w:rPr>
          <w:rFonts w:ascii="Arial" w:hAnsi="Arial" w:cs="Arial"/>
          <w:bCs/>
        </w:rPr>
        <w:t>.5</w:t>
      </w:r>
      <w:r w:rsidRPr="005B5DC7">
        <w:rPr>
          <w:rFonts w:ascii="Arial" w:hAnsi="Arial" w:cs="Arial"/>
          <w:bCs/>
        </w:rPr>
        <w:t>m</w:t>
      </w:r>
      <w:r w:rsidRPr="005B5DC7">
        <w:rPr>
          <w:rFonts w:ascii="Arial" w:hAnsi="Arial" w:cs="Arial"/>
        </w:rPr>
        <w:t xml:space="preserve"> over the 30-year period. </w:t>
      </w:r>
      <w:r w:rsidRPr="00C20431">
        <w:rPr>
          <w:rFonts w:ascii="Arial" w:hAnsi="Arial" w:cs="Arial"/>
        </w:rPr>
        <w:t>The Business Plan model is regularly used to model new developments and investments required in the existing housing stock.</w:t>
      </w:r>
    </w:p>
    <w:p w14:paraId="70698FF9" w14:textId="77777777" w:rsidR="00031484" w:rsidRPr="00C20431" w:rsidRDefault="00031484" w:rsidP="00AE2B82">
      <w:pPr>
        <w:jc w:val="both"/>
        <w:rPr>
          <w:rFonts w:ascii="Arial" w:hAnsi="Arial" w:cs="Arial"/>
        </w:rPr>
      </w:pPr>
    </w:p>
    <w:p w14:paraId="7A4CBAB3" w14:textId="77777777" w:rsidR="00664704" w:rsidRPr="00CE36B1" w:rsidRDefault="00664704" w:rsidP="00AE2B82">
      <w:pPr>
        <w:jc w:val="both"/>
        <w:rPr>
          <w:rFonts w:ascii="Arial" w:hAnsi="Arial" w:cs="Arial"/>
        </w:rPr>
      </w:pPr>
    </w:p>
    <w:p w14:paraId="53F89C37" w14:textId="77777777" w:rsidR="00AE2B82" w:rsidRPr="00CE36B1" w:rsidRDefault="00AE2B82" w:rsidP="00AE2B82">
      <w:pPr>
        <w:jc w:val="both"/>
        <w:rPr>
          <w:rFonts w:ascii="Arial" w:hAnsi="Arial" w:cs="Arial"/>
        </w:rPr>
      </w:pPr>
    </w:p>
    <w:p w14:paraId="6F874D81" w14:textId="77777777" w:rsidR="00384776" w:rsidRPr="005C6861" w:rsidRDefault="00384776">
      <w:pPr>
        <w:rPr>
          <w:rFonts w:ascii="Arial" w:hAnsi="Arial" w:cs="Arial"/>
          <w:b/>
          <w:bCs/>
          <w:color w:val="0000FF"/>
          <w:sz w:val="32"/>
        </w:rPr>
        <w:sectPr w:rsidR="00384776" w:rsidRPr="005C6861" w:rsidSect="00B6249C">
          <w:headerReference w:type="default" r:id="rId26"/>
          <w:footerReference w:type="default" r:id="rId27"/>
          <w:pgSz w:w="11906" w:h="16838"/>
          <w:pgMar w:top="1440" w:right="1440" w:bottom="1440" w:left="1440" w:header="708" w:footer="708" w:gutter="0"/>
          <w:pgBorders w:offsetFrom="page">
            <w:bottom w:val="single" w:sz="4" w:space="24" w:color="auto"/>
          </w:pgBorders>
          <w:pgNumType w:start="1"/>
          <w:cols w:space="708"/>
          <w:docGrid w:linePitch="360"/>
        </w:sectPr>
      </w:pPr>
    </w:p>
    <w:tbl>
      <w:tblPr>
        <w:tblW w:w="10766" w:type="dxa"/>
        <w:tblInd w:w="-244" w:type="dxa"/>
        <w:tblLook w:val="04A0" w:firstRow="1" w:lastRow="0" w:firstColumn="1" w:lastColumn="0" w:noHBand="0" w:noVBand="1"/>
      </w:tblPr>
      <w:tblGrid>
        <w:gridCol w:w="3663"/>
        <w:gridCol w:w="1509"/>
        <w:gridCol w:w="1417"/>
        <w:gridCol w:w="1342"/>
        <w:gridCol w:w="1418"/>
        <w:gridCol w:w="1417"/>
      </w:tblGrid>
      <w:tr w:rsidR="00F13EF1" w:rsidRPr="004B69EF" w14:paraId="3F651C7F" w14:textId="77777777" w:rsidTr="00E72656">
        <w:trPr>
          <w:trHeight w:val="284"/>
        </w:trPr>
        <w:tc>
          <w:tcPr>
            <w:tcW w:w="10766" w:type="dxa"/>
            <w:gridSpan w:val="6"/>
            <w:noWrap/>
            <w:vAlign w:val="bottom"/>
            <w:hideMark/>
          </w:tcPr>
          <w:p w14:paraId="34B5375D" w14:textId="5C63798E" w:rsidR="00E66D34" w:rsidRPr="006E1709" w:rsidRDefault="00E66D34" w:rsidP="00E66D34">
            <w:pPr>
              <w:jc w:val="center"/>
              <w:rPr>
                <w:rFonts w:ascii="Arial" w:hAnsi="Arial" w:cs="Arial"/>
                <w:b/>
                <w:sz w:val="20"/>
                <w:szCs w:val="20"/>
              </w:rPr>
            </w:pPr>
            <w:r w:rsidRPr="006E1709">
              <w:rPr>
                <w:rFonts w:ascii="Arial" w:hAnsi="Arial" w:cs="Arial"/>
                <w:b/>
                <w:sz w:val="20"/>
                <w:szCs w:val="20"/>
              </w:rPr>
              <w:t>GENERAL FUND BUDGET SUMMARY 20</w:t>
            </w:r>
            <w:r w:rsidR="003D5058" w:rsidRPr="006E1709">
              <w:rPr>
                <w:rFonts w:ascii="Arial" w:hAnsi="Arial" w:cs="Arial"/>
                <w:b/>
                <w:sz w:val="20"/>
                <w:szCs w:val="20"/>
              </w:rPr>
              <w:t>2</w:t>
            </w:r>
            <w:r w:rsidR="007703EB" w:rsidRPr="006E1709">
              <w:rPr>
                <w:rFonts w:ascii="Arial" w:hAnsi="Arial" w:cs="Arial"/>
                <w:b/>
                <w:sz w:val="20"/>
                <w:szCs w:val="20"/>
              </w:rPr>
              <w:t>6</w:t>
            </w:r>
            <w:r w:rsidR="0065190A" w:rsidRPr="006E1709">
              <w:rPr>
                <w:rFonts w:ascii="Arial" w:hAnsi="Arial" w:cs="Arial"/>
                <w:b/>
                <w:sz w:val="20"/>
                <w:szCs w:val="20"/>
              </w:rPr>
              <w:t>/2</w:t>
            </w:r>
            <w:r w:rsidR="007703EB" w:rsidRPr="006E1709">
              <w:rPr>
                <w:rFonts w:ascii="Arial" w:hAnsi="Arial" w:cs="Arial"/>
                <w:b/>
                <w:sz w:val="20"/>
                <w:szCs w:val="20"/>
              </w:rPr>
              <w:t>7</w:t>
            </w:r>
            <w:r w:rsidRPr="006E1709">
              <w:rPr>
                <w:rFonts w:ascii="Arial" w:hAnsi="Arial" w:cs="Arial"/>
                <w:b/>
                <w:sz w:val="20"/>
                <w:szCs w:val="20"/>
              </w:rPr>
              <w:t xml:space="preserve"> </w:t>
            </w:r>
            <w:r w:rsidR="00535C54" w:rsidRPr="006E1709">
              <w:rPr>
                <w:rFonts w:ascii="Arial" w:hAnsi="Arial" w:cs="Arial"/>
                <w:b/>
                <w:sz w:val="20"/>
                <w:szCs w:val="20"/>
              </w:rPr>
              <w:t>–</w:t>
            </w:r>
            <w:r w:rsidRPr="006E1709">
              <w:rPr>
                <w:rFonts w:ascii="Arial" w:hAnsi="Arial" w:cs="Arial"/>
                <w:b/>
                <w:sz w:val="20"/>
                <w:szCs w:val="20"/>
              </w:rPr>
              <w:t xml:space="preserve"> 20</w:t>
            </w:r>
            <w:r w:rsidR="007703EB" w:rsidRPr="006E1709">
              <w:rPr>
                <w:rFonts w:ascii="Arial" w:hAnsi="Arial" w:cs="Arial"/>
                <w:b/>
                <w:sz w:val="20"/>
                <w:szCs w:val="20"/>
              </w:rPr>
              <w:t>30</w:t>
            </w:r>
            <w:r w:rsidR="0065190A" w:rsidRPr="006E1709">
              <w:rPr>
                <w:rFonts w:ascii="Arial" w:hAnsi="Arial" w:cs="Arial"/>
                <w:b/>
                <w:sz w:val="20"/>
                <w:szCs w:val="20"/>
              </w:rPr>
              <w:t>/</w:t>
            </w:r>
            <w:r w:rsidR="002E580A" w:rsidRPr="006E1709">
              <w:rPr>
                <w:rFonts w:ascii="Arial" w:hAnsi="Arial" w:cs="Arial"/>
                <w:b/>
                <w:sz w:val="20"/>
                <w:szCs w:val="20"/>
              </w:rPr>
              <w:t>3</w:t>
            </w:r>
            <w:r w:rsidR="007703EB" w:rsidRPr="006E1709">
              <w:rPr>
                <w:rFonts w:ascii="Arial" w:hAnsi="Arial" w:cs="Arial"/>
                <w:b/>
                <w:sz w:val="20"/>
                <w:szCs w:val="20"/>
              </w:rPr>
              <w:t>1</w:t>
            </w:r>
          </w:p>
          <w:p w14:paraId="2719BB09" w14:textId="77777777" w:rsidR="00E41410" w:rsidRPr="006E1709" w:rsidRDefault="00E41410" w:rsidP="00E66D34">
            <w:pPr>
              <w:jc w:val="center"/>
              <w:rPr>
                <w:rFonts w:ascii="Arial" w:hAnsi="Arial" w:cs="Arial"/>
                <w:b/>
                <w:sz w:val="20"/>
                <w:szCs w:val="20"/>
              </w:rPr>
            </w:pPr>
          </w:p>
          <w:p w14:paraId="2129105A" w14:textId="77777777" w:rsidR="00E66D34" w:rsidRPr="006E1709" w:rsidRDefault="00E66D34" w:rsidP="00E66D34">
            <w:pPr>
              <w:jc w:val="center"/>
              <w:rPr>
                <w:rFonts w:ascii="Arial" w:hAnsi="Arial" w:cs="Arial"/>
                <w:b/>
                <w:sz w:val="20"/>
                <w:szCs w:val="20"/>
              </w:rPr>
            </w:pPr>
          </w:p>
        </w:tc>
      </w:tr>
      <w:tr w:rsidR="00664494" w:rsidRPr="004B69EF" w14:paraId="3604BA6E" w14:textId="77777777" w:rsidTr="00E72656">
        <w:trPr>
          <w:trHeight w:val="34"/>
        </w:trPr>
        <w:tc>
          <w:tcPr>
            <w:tcW w:w="3663" w:type="dxa"/>
            <w:noWrap/>
            <w:vAlign w:val="bottom"/>
          </w:tcPr>
          <w:p w14:paraId="2502F8C6" w14:textId="77777777" w:rsidR="002E580A" w:rsidRPr="006E1709" w:rsidRDefault="002E580A" w:rsidP="002E580A">
            <w:pPr>
              <w:jc w:val="center"/>
              <w:rPr>
                <w:rFonts w:ascii="Arial" w:hAnsi="Arial" w:cs="Arial"/>
                <w:b/>
                <w:sz w:val="20"/>
                <w:szCs w:val="20"/>
              </w:rPr>
            </w:pPr>
          </w:p>
        </w:tc>
        <w:tc>
          <w:tcPr>
            <w:tcW w:w="1509" w:type="dxa"/>
            <w:noWrap/>
            <w:vAlign w:val="bottom"/>
            <w:hideMark/>
          </w:tcPr>
          <w:p w14:paraId="7E0E8617" w14:textId="761DF0B8" w:rsidR="002E580A" w:rsidRPr="006E1709" w:rsidRDefault="007703EB" w:rsidP="002E580A">
            <w:pPr>
              <w:jc w:val="center"/>
              <w:rPr>
                <w:rFonts w:ascii="Arial" w:hAnsi="Arial" w:cs="Arial"/>
                <w:b/>
                <w:sz w:val="20"/>
                <w:szCs w:val="20"/>
              </w:rPr>
            </w:pPr>
            <w:r w:rsidRPr="006E1709">
              <w:rPr>
                <w:rFonts w:ascii="Arial" w:hAnsi="Arial" w:cs="Arial"/>
                <w:b/>
                <w:sz w:val="20"/>
                <w:szCs w:val="20"/>
              </w:rPr>
              <w:t>2026/27</w:t>
            </w:r>
          </w:p>
        </w:tc>
        <w:tc>
          <w:tcPr>
            <w:tcW w:w="1417" w:type="dxa"/>
            <w:noWrap/>
            <w:vAlign w:val="bottom"/>
            <w:hideMark/>
          </w:tcPr>
          <w:p w14:paraId="0E3B091C" w14:textId="42A05500" w:rsidR="002E580A" w:rsidRPr="006E1709" w:rsidRDefault="007703EB" w:rsidP="002E580A">
            <w:pPr>
              <w:jc w:val="center"/>
              <w:rPr>
                <w:rFonts w:ascii="Arial" w:hAnsi="Arial" w:cs="Arial"/>
                <w:b/>
                <w:sz w:val="20"/>
                <w:szCs w:val="20"/>
              </w:rPr>
            </w:pPr>
            <w:r w:rsidRPr="006E1709">
              <w:rPr>
                <w:rFonts w:ascii="Arial" w:hAnsi="Arial" w:cs="Arial"/>
                <w:b/>
                <w:sz w:val="20"/>
                <w:szCs w:val="20"/>
              </w:rPr>
              <w:t>2027/28</w:t>
            </w:r>
          </w:p>
        </w:tc>
        <w:tc>
          <w:tcPr>
            <w:tcW w:w="1342" w:type="dxa"/>
            <w:noWrap/>
            <w:vAlign w:val="bottom"/>
            <w:hideMark/>
          </w:tcPr>
          <w:p w14:paraId="09D92841" w14:textId="60933E5F" w:rsidR="002E580A" w:rsidRPr="006E1709" w:rsidRDefault="007703EB" w:rsidP="002E580A">
            <w:pPr>
              <w:jc w:val="center"/>
              <w:rPr>
                <w:rFonts w:ascii="Arial" w:hAnsi="Arial" w:cs="Arial"/>
                <w:b/>
                <w:sz w:val="20"/>
                <w:szCs w:val="20"/>
              </w:rPr>
            </w:pPr>
            <w:r w:rsidRPr="006E1709">
              <w:rPr>
                <w:rFonts w:ascii="Arial" w:hAnsi="Arial" w:cs="Arial"/>
                <w:b/>
                <w:sz w:val="20"/>
                <w:szCs w:val="20"/>
              </w:rPr>
              <w:t>2028/29</w:t>
            </w:r>
          </w:p>
        </w:tc>
        <w:tc>
          <w:tcPr>
            <w:tcW w:w="1418" w:type="dxa"/>
            <w:noWrap/>
            <w:vAlign w:val="bottom"/>
            <w:hideMark/>
          </w:tcPr>
          <w:p w14:paraId="6AE9F81D" w14:textId="703797C5" w:rsidR="002E580A" w:rsidRPr="006E1709" w:rsidRDefault="007703EB" w:rsidP="002E580A">
            <w:pPr>
              <w:jc w:val="center"/>
              <w:rPr>
                <w:rFonts w:ascii="Arial" w:hAnsi="Arial" w:cs="Arial"/>
                <w:b/>
                <w:sz w:val="20"/>
                <w:szCs w:val="20"/>
              </w:rPr>
            </w:pPr>
            <w:r w:rsidRPr="006E1709">
              <w:rPr>
                <w:rFonts w:ascii="Arial" w:hAnsi="Arial" w:cs="Arial"/>
                <w:b/>
                <w:sz w:val="20"/>
                <w:szCs w:val="20"/>
              </w:rPr>
              <w:t>2029/30</w:t>
            </w:r>
          </w:p>
        </w:tc>
        <w:tc>
          <w:tcPr>
            <w:tcW w:w="1417" w:type="dxa"/>
            <w:noWrap/>
            <w:vAlign w:val="bottom"/>
            <w:hideMark/>
          </w:tcPr>
          <w:p w14:paraId="2CE05AB6" w14:textId="7CA4C373" w:rsidR="002E580A" w:rsidRPr="006E1709" w:rsidRDefault="002E580A" w:rsidP="002E580A">
            <w:pPr>
              <w:jc w:val="center"/>
              <w:rPr>
                <w:rFonts w:ascii="Arial" w:hAnsi="Arial" w:cs="Arial"/>
                <w:b/>
                <w:sz w:val="20"/>
                <w:szCs w:val="20"/>
              </w:rPr>
            </w:pPr>
            <w:r w:rsidRPr="006E1709">
              <w:rPr>
                <w:rFonts w:ascii="Arial" w:hAnsi="Arial" w:cs="Arial"/>
                <w:b/>
                <w:sz w:val="20"/>
                <w:szCs w:val="20"/>
              </w:rPr>
              <w:t>20</w:t>
            </w:r>
            <w:r w:rsidR="007703EB" w:rsidRPr="006E1709">
              <w:rPr>
                <w:rFonts w:ascii="Arial" w:hAnsi="Arial" w:cs="Arial"/>
                <w:b/>
                <w:sz w:val="20"/>
                <w:szCs w:val="20"/>
              </w:rPr>
              <w:t>30</w:t>
            </w:r>
            <w:r w:rsidRPr="006E1709">
              <w:rPr>
                <w:rFonts w:ascii="Arial" w:hAnsi="Arial" w:cs="Arial"/>
                <w:b/>
                <w:sz w:val="20"/>
                <w:szCs w:val="20"/>
              </w:rPr>
              <w:t>/3</w:t>
            </w:r>
            <w:r w:rsidR="007703EB" w:rsidRPr="006E1709">
              <w:rPr>
                <w:rFonts w:ascii="Arial" w:hAnsi="Arial" w:cs="Arial"/>
                <w:b/>
                <w:sz w:val="20"/>
                <w:szCs w:val="20"/>
              </w:rPr>
              <w:t>1</w:t>
            </w:r>
          </w:p>
        </w:tc>
      </w:tr>
      <w:tr w:rsidR="00664494" w:rsidRPr="004B69EF" w14:paraId="75530F4B" w14:textId="77777777" w:rsidTr="00E72656">
        <w:trPr>
          <w:trHeight w:val="25"/>
        </w:trPr>
        <w:tc>
          <w:tcPr>
            <w:tcW w:w="3663" w:type="dxa"/>
            <w:noWrap/>
            <w:vAlign w:val="bottom"/>
            <w:hideMark/>
          </w:tcPr>
          <w:p w14:paraId="6E70DE48" w14:textId="77777777" w:rsidR="002E580A" w:rsidRPr="006E1709" w:rsidRDefault="002E580A" w:rsidP="002E580A">
            <w:pPr>
              <w:rPr>
                <w:rFonts w:ascii="Arial" w:hAnsi="Arial" w:cs="Arial"/>
                <w:sz w:val="20"/>
                <w:szCs w:val="20"/>
              </w:rPr>
            </w:pPr>
            <w:r w:rsidRPr="006E1709">
              <w:rPr>
                <w:rFonts w:ascii="Arial" w:hAnsi="Arial" w:cs="Arial"/>
                <w:sz w:val="20"/>
                <w:szCs w:val="20"/>
              </w:rPr>
              <w:t> </w:t>
            </w:r>
          </w:p>
        </w:tc>
        <w:tc>
          <w:tcPr>
            <w:tcW w:w="1509" w:type="dxa"/>
            <w:noWrap/>
            <w:vAlign w:val="bottom"/>
            <w:hideMark/>
          </w:tcPr>
          <w:p w14:paraId="7B0C6591" w14:textId="3FFB348B" w:rsidR="002E580A" w:rsidRPr="006E1709" w:rsidRDefault="002E580A" w:rsidP="002E580A">
            <w:pPr>
              <w:jc w:val="center"/>
              <w:rPr>
                <w:rFonts w:ascii="Arial" w:hAnsi="Arial" w:cs="Arial"/>
                <w:b/>
                <w:sz w:val="20"/>
                <w:szCs w:val="20"/>
              </w:rPr>
            </w:pPr>
            <w:r w:rsidRPr="006E1709">
              <w:rPr>
                <w:rFonts w:ascii="Arial" w:hAnsi="Arial" w:cs="Arial"/>
                <w:b/>
                <w:sz w:val="20"/>
                <w:szCs w:val="20"/>
              </w:rPr>
              <w:t>Estimate</w:t>
            </w:r>
          </w:p>
        </w:tc>
        <w:tc>
          <w:tcPr>
            <w:tcW w:w="1417" w:type="dxa"/>
            <w:noWrap/>
            <w:vAlign w:val="bottom"/>
            <w:hideMark/>
          </w:tcPr>
          <w:p w14:paraId="25A15DCB" w14:textId="72EC68DF" w:rsidR="002E580A" w:rsidRPr="006E1709" w:rsidRDefault="002E580A" w:rsidP="002E580A">
            <w:pPr>
              <w:jc w:val="center"/>
              <w:rPr>
                <w:rFonts w:ascii="Arial" w:hAnsi="Arial" w:cs="Arial"/>
                <w:b/>
                <w:sz w:val="20"/>
                <w:szCs w:val="20"/>
              </w:rPr>
            </w:pPr>
            <w:r w:rsidRPr="006E1709">
              <w:rPr>
                <w:rFonts w:ascii="Arial" w:hAnsi="Arial" w:cs="Arial"/>
                <w:b/>
                <w:sz w:val="20"/>
                <w:szCs w:val="20"/>
              </w:rPr>
              <w:t>Estimate</w:t>
            </w:r>
          </w:p>
        </w:tc>
        <w:tc>
          <w:tcPr>
            <w:tcW w:w="1342" w:type="dxa"/>
            <w:noWrap/>
            <w:vAlign w:val="bottom"/>
            <w:hideMark/>
          </w:tcPr>
          <w:p w14:paraId="3A9800CD" w14:textId="36F827AB" w:rsidR="002E580A" w:rsidRPr="006E1709" w:rsidRDefault="002E580A" w:rsidP="002E580A">
            <w:pPr>
              <w:jc w:val="center"/>
              <w:rPr>
                <w:rFonts w:ascii="Arial" w:hAnsi="Arial" w:cs="Arial"/>
                <w:b/>
                <w:sz w:val="20"/>
                <w:szCs w:val="20"/>
              </w:rPr>
            </w:pPr>
            <w:r w:rsidRPr="006E1709">
              <w:rPr>
                <w:rFonts w:ascii="Arial" w:hAnsi="Arial" w:cs="Arial"/>
                <w:b/>
                <w:sz w:val="20"/>
                <w:szCs w:val="20"/>
              </w:rPr>
              <w:t>Estimate</w:t>
            </w:r>
          </w:p>
        </w:tc>
        <w:tc>
          <w:tcPr>
            <w:tcW w:w="1418" w:type="dxa"/>
            <w:noWrap/>
            <w:vAlign w:val="bottom"/>
            <w:hideMark/>
          </w:tcPr>
          <w:p w14:paraId="746379F5" w14:textId="230E56B3" w:rsidR="002E580A" w:rsidRPr="006E1709" w:rsidRDefault="002E580A" w:rsidP="002E580A">
            <w:pPr>
              <w:jc w:val="center"/>
              <w:rPr>
                <w:rFonts w:ascii="Arial" w:hAnsi="Arial" w:cs="Arial"/>
                <w:b/>
                <w:sz w:val="20"/>
                <w:szCs w:val="20"/>
              </w:rPr>
            </w:pPr>
            <w:r w:rsidRPr="006E1709">
              <w:rPr>
                <w:rFonts w:ascii="Arial" w:hAnsi="Arial" w:cs="Arial"/>
                <w:b/>
                <w:sz w:val="20"/>
                <w:szCs w:val="20"/>
              </w:rPr>
              <w:t>Estimate</w:t>
            </w:r>
          </w:p>
        </w:tc>
        <w:tc>
          <w:tcPr>
            <w:tcW w:w="1417" w:type="dxa"/>
            <w:noWrap/>
            <w:vAlign w:val="bottom"/>
            <w:hideMark/>
          </w:tcPr>
          <w:p w14:paraId="274AA2C4" w14:textId="77777777" w:rsidR="002E580A" w:rsidRPr="006E1709" w:rsidRDefault="002E580A" w:rsidP="002E580A">
            <w:pPr>
              <w:jc w:val="center"/>
              <w:rPr>
                <w:rFonts w:ascii="Arial" w:hAnsi="Arial" w:cs="Arial"/>
                <w:b/>
                <w:sz w:val="20"/>
                <w:szCs w:val="20"/>
              </w:rPr>
            </w:pPr>
            <w:r w:rsidRPr="006E1709">
              <w:rPr>
                <w:rFonts w:ascii="Arial" w:hAnsi="Arial" w:cs="Arial"/>
                <w:b/>
                <w:sz w:val="20"/>
                <w:szCs w:val="20"/>
              </w:rPr>
              <w:t>Estimate</w:t>
            </w:r>
          </w:p>
        </w:tc>
      </w:tr>
      <w:tr w:rsidR="00664494" w:rsidRPr="004B69EF" w14:paraId="3C115C27" w14:textId="77777777" w:rsidTr="00E72656">
        <w:trPr>
          <w:trHeight w:val="25"/>
        </w:trPr>
        <w:tc>
          <w:tcPr>
            <w:tcW w:w="3663" w:type="dxa"/>
            <w:noWrap/>
            <w:vAlign w:val="bottom"/>
            <w:hideMark/>
          </w:tcPr>
          <w:p w14:paraId="0E7EA523" w14:textId="77777777" w:rsidR="002E580A" w:rsidRPr="006E1709" w:rsidRDefault="002E580A" w:rsidP="002E580A">
            <w:pPr>
              <w:rPr>
                <w:rFonts w:ascii="Arial" w:hAnsi="Arial" w:cs="Arial"/>
                <w:b/>
                <w:sz w:val="20"/>
                <w:szCs w:val="20"/>
              </w:rPr>
            </w:pPr>
            <w:r w:rsidRPr="006E1709">
              <w:rPr>
                <w:rFonts w:ascii="Arial" w:hAnsi="Arial" w:cs="Arial"/>
                <w:b/>
                <w:sz w:val="20"/>
                <w:szCs w:val="20"/>
              </w:rPr>
              <w:t> </w:t>
            </w:r>
          </w:p>
        </w:tc>
        <w:tc>
          <w:tcPr>
            <w:tcW w:w="1509" w:type="dxa"/>
            <w:noWrap/>
            <w:vAlign w:val="bottom"/>
            <w:hideMark/>
          </w:tcPr>
          <w:p w14:paraId="2B91F0FB" w14:textId="77777777" w:rsidR="002E580A" w:rsidRPr="006E1709" w:rsidRDefault="002E580A" w:rsidP="002E580A">
            <w:pPr>
              <w:jc w:val="center"/>
              <w:rPr>
                <w:rFonts w:ascii="Arial" w:hAnsi="Arial" w:cs="Arial"/>
                <w:b/>
                <w:sz w:val="20"/>
                <w:szCs w:val="20"/>
              </w:rPr>
            </w:pPr>
            <w:r w:rsidRPr="006E1709">
              <w:rPr>
                <w:rFonts w:ascii="Arial" w:hAnsi="Arial" w:cs="Arial"/>
                <w:b/>
                <w:sz w:val="20"/>
                <w:szCs w:val="20"/>
              </w:rPr>
              <w:t>£</w:t>
            </w:r>
          </w:p>
        </w:tc>
        <w:tc>
          <w:tcPr>
            <w:tcW w:w="1417" w:type="dxa"/>
            <w:noWrap/>
            <w:vAlign w:val="bottom"/>
            <w:hideMark/>
          </w:tcPr>
          <w:p w14:paraId="18D688AE" w14:textId="77777777" w:rsidR="002E580A" w:rsidRPr="006E1709" w:rsidRDefault="002E580A" w:rsidP="002E580A">
            <w:pPr>
              <w:jc w:val="center"/>
              <w:rPr>
                <w:rFonts w:ascii="Arial" w:hAnsi="Arial" w:cs="Arial"/>
                <w:b/>
                <w:sz w:val="20"/>
                <w:szCs w:val="20"/>
              </w:rPr>
            </w:pPr>
            <w:r w:rsidRPr="006E1709">
              <w:rPr>
                <w:rFonts w:ascii="Arial" w:hAnsi="Arial" w:cs="Arial"/>
                <w:b/>
                <w:sz w:val="20"/>
                <w:szCs w:val="20"/>
              </w:rPr>
              <w:t>£</w:t>
            </w:r>
          </w:p>
        </w:tc>
        <w:tc>
          <w:tcPr>
            <w:tcW w:w="1342" w:type="dxa"/>
            <w:noWrap/>
            <w:vAlign w:val="bottom"/>
            <w:hideMark/>
          </w:tcPr>
          <w:p w14:paraId="7946373A" w14:textId="77777777" w:rsidR="002E580A" w:rsidRPr="006E1709" w:rsidRDefault="002E580A" w:rsidP="002E580A">
            <w:pPr>
              <w:jc w:val="center"/>
              <w:rPr>
                <w:rFonts w:ascii="Arial" w:hAnsi="Arial" w:cs="Arial"/>
                <w:b/>
                <w:sz w:val="20"/>
                <w:szCs w:val="20"/>
              </w:rPr>
            </w:pPr>
            <w:r w:rsidRPr="006E1709">
              <w:rPr>
                <w:rFonts w:ascii="Arial" w:hAnsi="Arial" w:cs="Arial"/>
                <w:b/>
                <w:sz w:val="20"/>
                <w:szCs w:val="20"/>
              </w:rPr>
              <w:t>£</w:t>
            </w:r>
          </w:p>
        </w:tc>
        <w:tc>
          <w:tcPr>
            <w:tcW w:w="1418" w:type="dxa"/>
            <w:noWrap/>
            <w:vAlign w:val="bottom"/>
            <w:hideMark/>
          </w:tcPr>
          <w:p w14:paraId="15C198DE" w14:textId="77777777" w:rsidR="002E580A" w:rsidRPr="006E1709" w:rsidRDefault="002E580A" w:rsidP="002E580A">
            <w:pPr>
              <w:jc w:val="center"/>
              <w:rPr>
                <w:rFonts w:ascii="Arial" w:hAnsi="Arial" w:cs="Arial"/>
                <w:b/>
                <w:sz w:val="20"/>
                <w:szCs w:val="20"/>
              </w:rPr>
            </w:pPr>
            <w:r w:rsidRPr="006E1709">
              <w:rPr>
                <w:rFonts w:ascii="Arial" w:hAnsi="Arial" w:cs="Arial"/>
                <w:b/>
                <w:sz w:val="20"/>
                <w:szCs w:val="20"/>
              </w:rPr>
              <w:t>£</w:t>
            </w:r>
          </w:p>
        </w:tc>
        <w:tc>
          <w:tcPr>
            <w:tcW w:w="1417" w:type="dxa"/>
            <w:noWrap/>
            <w:vAlign w:val="bottom"/>
            <w:hideMark/>
          </w:tcPr>
          <w:p w14:paraId="3F124C99" w14:textId="77777777" w:rsidR="002E580A" w:rsidRPr="006E1709" w:rsidRDefault="002E580A" w:rsidP="002E580A">
            <w:pPr>
              <w:jc w:val="center"/>
              <w:rPr>
                <w:rFonts w:ascii="Arial" w:hAnsi="Arial" w:cs="Arial"/>
                <w:b/>
                <w:sz w:val="20"/>
                <w:szCs w:val="20"/>
              </w:rPr>
            </w:pPr>
            <w:r w:rsidRPr="006E1709">
              <w:rPr>
                <w:rFonts w:ascii="Arial" w:hAnsi="Arial" w:cs="Arial"/>
                <w:b/>
                <w:sz w:val="20"/>
                <w:szCs w:val="20"/>
              </w:rPr>
              <w:t>£</w:t>
            </w:r>
          </w:p>
        </w:tc>
      </w:tr>
      <w:tr w:rsidR="00664494" w:rsidRPr="004B69EF" w14:paraId="2EB712C0" w14:textId="77777777" w:rsidTr="00E72656">
        <w:trPr>
          <w:trHeight w:val="25"/>
        </w:trPr>
        <w:tc>
          <w:tcPr>
            <w:tcW w:w="3663" w:type="dxa"/>
            <w:noWrap/>
            <w:vAlign w:val="bottom"/>
            <w:hideMark/>
          </w:tcPr>
          <w:p w14:paraId="01092474" w14:textId="77777777" w:rsidR="002E580A" w:rsidRPr="006E1709" w:rsidRDefault="002E580A" w:rsidP="002E580A">
            <w:pPr>
              <w:rPr>
                <w:rFonts w:ascii="Arial" w:hAnsi="Arial" w:cs="Arial"/>
                <w:b/>
                <w:sz w:val="20"/>
                <w:szCs w:val="20"/>
              </w:rPr>
            </w:pPr>
            <w:r w:rsidRPr="006E1709">
              <w:rPr>
                <w:rFonts w:ascii="Arial" w:hAnsi="Arial" w:cs="Arial"/>
                <w:sz w:val="20"/>
                <w:szCs w:val="20"/>
              </w:rPr>
              <w:t> </w:t>
            </w:r>
          </w:p>
        </w:tc>
        <w:tc>
          <w:tcPr>
            <w:tcW w:w="1509" w:type="dxa"/>
            <w:noWrap/>
            <w:vAlign w:val="bottom"/>
            <w:hideMark/>
          </w:tcPr>
          <w:p w14:paraId="56C83946" w14:textId="77777777" w:rsidR="002E580A" w:rsidRPr="006E1709" w:rsidRDefault="002E580A" w:rsidP="002E580A">
            <w:pPr>
              <w:jc w:val="center"/>
              <w:rPr>
                <w:rFonts w:ascii="Arial" w:hAnsi="Arial" w:cs="Arial"/>
                <w:b/>
                <w:sz w:val="20"/>
                <w:szCs w:val="20"/>
              </w:rPr>
            </w:pPr>
            <w:r w:rsidRPr="006E1709">
              <w:rPr>
                <w:rFonts w:ascii="Arial" w:hAnsi="Arial" w:cs="Arial"/>
                <w:b/>
                <w:sz w:val="20"/>
                <w:szCs w:val="20"/>
              </w:rPr>
              <w:t> </w:t>
            </w:r>
          </w:p>
        </w:tc>
        <w:tc>
          <w:tcPr>
            <w:tcW w:w="1417" w:type="dxa"/>
            <w:noWrap/>
            <w:vAlign w:val="bottom"/>
            <w:hideMark/>
          </w:tcPr>
          <w:p w14:paraId="5A4A290B" w14:textId="77777777" w:rsidR="002E580A" w:rsidRPr="006E1709" w:rsidRDefault="002E580A" w:rsidP="002E580A">
            <w:pPr>
              <w:jc w:val="center"/>
              <w:rPr>
                <w:rFonts w:ascii="Arial" w:hAnsi="Arial" w:cs="Arial"/>
                <w:b/>
                <w:sz w:val="20"/>
                <w:szCs w:val="20"/>
              </w:rPr>
            </w:pPr>
            <w:r w:rsidRPr="006E1709">
              <w:rPr>
                <w:rFonts w:ascii="Arial" w:hAnsi="Arial" w:cs="Arial"/>
                <w:b/>
                <w:sz w:val="20"/>
                <w:szCs w:val="20"/>
              </w:rPr>
              <w:t> </w:t>
            </w:r>
          </w:p>
        </w:tc>
        <w:tc>
          <w:tcPr>
            <w:tcW w:w="1342" w:type="dxa"/>
            <w:noWrap/>
            <w:vAlign w:val="bottom"/>
            <w:hideMark/>
          </w:tcPr>
          <w:p w14:paraId="6A155E8A" w14:textId="77777777" w:rsidR="002E580A" w:rsidRPr="006E1709" w:rsidRDefault="002E580A" w:rsidP="002E580A">
            <w:pPr>
              <w:jc w:val="center"/>
              <w:rPr>
                <w:rFonts w:ascii="Arial" w:hAnsi="Arial" w:cs="Arial"/>
                <w:b/>
                <w:sz w:val="20"/>
                <w:szCs w:val="20"/>
              </w:rPr>
            </w:pPr>
            <w:r w:rsidRPr="006E1709">
              <w:rPr>
                <w:rFonts w:ascii="Arial" w:hAnsi="Arial" w:cs="Arial"/>
                <w:b/>
                <w:sz w:val="20"/>
                <w:szCs w:val="20"/>
              </w:rPr>
              <w:t> </w:t>
            </w:r>
          </w:p>
        </w:tc>
        <w:tc>
          <w:tcPr>
            <w:tcW w:w="1418" w:type="dxa"/>
            <w:noWrap/>
            <w:vAlign w:val="bottom"/>
            <w:hideMark/>
          </w:tcPr>
          <w:p w14:paraId="50D8C247" w14:textId="77777777" w:rsidR="002E580A" w:rsidRPr="006E1709" w:rsidRDefault="002E580A" w:rsidP="002E580A">
            <w:pPr>
              <w:jc w:val="center"/>
              <w:rPr>
                <w:rFonts w:ascii="Arial" w:hAnsi="Arial" w:cs="Arial"/>
                <w:b/>
                <w:sz w:val="20"/>
                <w:szCs w:val="20"/>
              </w:rPr>
            </w:pPr>
            <w:r w:rsidRPr="006E1709">
              <w:rPr>
                <w:rFonts w:ascii="Arial" w:hAnsi="Arial" w:cs="Arial"/>
                <w:b/>
                <w:sz w:val="20"/>
                <w:szCs w:val="20"/>
              </w:rPr>
              <w:t> </w:t>
            </w:r>
          </w:p>
        </w:tc>
        <w:tc>
          <w:tcPr>
            <w:tcW w:w="1417" w:type="dxa"/>
            <w:noWrap/>
            <w:vAlign w:val="bottom"/>
            <w:hideMark/>
          </w:tcPr>
          <w:p w14:paraId="26A1F815" w14:textId="77777777" w:rsidR="002E580A" w:rsidRPr="006E1709" w:rsidRDefault="002E580A" w:rsidP="002E580A">
            <w:pPr>
              <w:jc w:val="center"/>
              <w:rPr>
                <w:rFonts w:ascii="Arial" w:hAnsi="Arial" w:cs="Arial"/>
                <w:b/>
                <w:sz w:val="20"/>
                <w:szCs w:val="20"/>
              </w:rPr>
            </w:pPr>
            <w:r w:rsidRPr="006E1709">
              <w:rPr>
                <w:rFonts w:ascii="Arial" w:hAnsi="Arial" w:cs="Arial"/>
                <w:b/>
                <w:sz w:val="20"/>
                <w:szCs w:val="20"/>
              </w:rPr>
              <w:t> </w:t>
            </w:r>
          </w:p>
        </w:tc>
      </w:tr>
      <w:tr w:rsidR="00664494" w:rsidRPr="004B69EF" w14:paraId="2A579419" w14:textId="77777777">
        <w:trPr>
          <w:trHeight w:val="25"/>
        </w:trPr>
        <w:tc>
          <w:tcPr>
            <w:tcW w:w="3663" w:type="dxa"/>
            <w:tcBorders>
              <w:top w:val="nil"/>
              <w:left w:val="nil"/>
              <w:bottom w:val="nil"/>
              <w:right w:val="nil"/>
            </w:tcBorders>
            <w:noWrap/>
            <w:vAlign w:val="center"/>
            <w:hideMark/>
          </w:tcPr>
          <w:p w14:paraId="4057106A" w14:textId="77777777" w:rsidR="002E580A" w:rsidRPr="006E1709" w:rsidRDefault="002E580A" w:rsidP="002E580A">
            <w:pPr>
              <w:rPr>
                <w:rFonts w:ascii="Arial" w:hAnsi="Arial" w:cs="Arial"/>
                <w:sz w:val="20"/>
                <w:szCs w:val="20"/>
                <w:lang w:eastAsia="en-GB"/>
              </w:rPr>
            </w:pPr>
            <w:r w:rsidRPr="006E1709">
              <w:rPr>
                <w:rFonts w:ascii="Arial" w:hAnsi="Arial" w:cs="Arial"/>
                <w:sz w:val="20"/>
                <w:szCs w:val="20"/>
              </w:rPr>
              <w:t>Chief Executive &amp; Town Clerk</w:t>
            </w:r>
          </w:p>
        </w:tc>
        <w:tc>
          <w:tcPr>
            <w:tcW w:w="1509" w:type="dxa"/>
            <w:tcBorders>
              <w:top w:val="nil"/>
              <w:left w:val="nil"/>
              <w:bottom w:val="nil"/>
              <w:right w:val="nil"/>
            </w:tcBorders>
            <w:noWrap/>
            <w:hideMark/>
          </w:tcPr>
          <w:p w14:paraId="671D82FB" w14:textId="219A47BF" w:rsidR="002E580A" w:rsidRPr="006E1709" w:rsidRDefault="00073050" w:rsidP="002E580A">
            <w:pPr>
              <w:jc w:val="right"/>
              <w:rPr>
                <w:rFonts w:ascii="Arial" w:hAnsi="Arial" w:cs="Arial"/>
                <w:sz w:val="20"/>
                <w:szCs w:val="20"/>
                <w:lang w:eastAsia="en-GB"/>
              </w:rPr>
            </w:pPr>
            <w:r w:rsidRPr="006E1709">
              <w:rPr>
                <w:rFonts w:ascii="Arial" w:hAnsi="Arial" w:cs="Arial"/>
                <w:sz w:val="20"/>
                <w:szCs w:val="20"/>
                <w:lang w:eastAsia="en-GB"/>
              </w:rPr>
              <w:t>5,9</w:t>
            </w:r>
            <w:r w:rsidR="00CA18E1">
              <w:rPr>
                <w:rFonts w:ascii="Arial" w:hAnsi="Arial" w:cs="Arial"/>
                <w:sz w:val="20"/>
                <w:szCs w:val="20"/>
                <w:lang w:eastAsia="en-GB"/>
              </w:rPr>
              <w:t>16,420</w:t>
            </w:r>
          </w:p>
        </w:tc>
        <w:tc>
          <w:tcPr>
            <w:tcW w:w="1417" w:type="dxa"/>
            <w:tcBorders>
              <w:top w:val="nil"/>
              <w:left w:val="nil"/>
              <w:bottom w:val="nil"/>
              <w:right w:val="nil"/>
            </w:tcBorders>
            <w:noWrap/>
            <w:hideMark/>
          </w:tcPr>
          <w:p w14:paraId="7236B42B" w14:textId="5073B7F6" w:rsidR="002E580A" w:rsidRPr="006E1709" w:rsidRDefault="00073050" w:rsidP="002E580A">
            <w:pPr>
              <w:jc w:val="right"/>
              <w:rPr>
                <w:rFonts w:ascii="Arial" w:hAnsi="Arial" w:cs="Arial"/>
                <w:sz w:val="20"/>
                <w:szCs w:val="20"/>
                <w:lang w:eastAsia="en-GB"/>
              </w:rPr>
            </w:pPr>
            <w:r w:rsidRPr="006E1709">
              <w:rPr>
                <w:rFonts w:ascii="Arial" w:hAnsi="Arial" w:cs="Arial"/>
                <w:sz w:val="20"/>
                <w:szCs w:val="20"/>
                <w:lang w:eastAsia="en-GB"/>
              </w:rPr>
              <w:t>6,1</w:t>
            </w:r>
            <w:r w:rsidR="00CA18E1">
              <w:rPr>
                <w:rFonts w:ascii="Arial" w:hAnsi="Arial" w:cs="Arial"/>
                <w:sz w:val="20"/>
                <w:szCs w:val="20"/>
                <w:lang w:eastAsia="en-GB"/>
              </w:rPr>
              <w:t>54,480</w:t>
            </w:r>
          </w:p>
        </w:tc>
        <w:tc>
          <w:tcPr>
            <w:tcW w:w="1342" w:type="dxa"/>
            <w:tcBorders>
              <w:top w:val="nil"/>
              <w:left w:val="nil"/>
              <w:bottom w:val="nil"/>
              <w:right w:val="nil"/>
            </w:tcBorders>
            <w:noWrap/>
            <w:hideMark/>
          </w:tcPr>
          <w:p w14:paraId="37AABF6C" w14:textId="588BDD0A" w:rsidR="002E580A" w:rsidRPr="006E1709" w:rsidRDefault="00073050" w:rsidP="002E580A">
            <w:pPr>
              <w:jc w:val="right"/>
              <w:rPr>
                <w:rFonts w:ascii="Arial" w:hAnsi="Arial" w:cs="Arial"/>
                <w:sz w:val="20"/>
                <w:szCs w:val="20"/>
                <w:lang w:eastAsia="en-GB"/>
              </w:rPr>
            </w:pPr>
            <w:r w:rsidRPr="006E1709">
              <w:rPr>
                <w:rFonts w:ascii="Arial" w:hAnsi="Arial" w:cs="Arial"/>
                <w:sz w:val="20"/>
                <w:szCs w:val="20"/>
                <w:lang w:eastAsia="en-GB"/>
              </w:rPr>
              <w:t>6,1</w:t>
            </w:r>
            <w:r w:rsidR="00CA18E1">
              <w:rPr>
                <w:rFonts w:ascii="Arial" w:hAnsi="Arial" w:cs="Arial"/>
                <w:sz w:val="20"/>
                <w:szCs w:val="20"/>
                <w:lang w:eastAsia="en-GB"/>
              </w:rPr>
              <w:t>14,670</w:t>
            </w:r>
          </w:p>
        </w:tc>
        <w:tc>
          <w:tcPr>
            <w:tcW w:w="1418" w:type="dxa"/>
            <w:tcBorders>
              <w:top w:val="nil"/>
              <w:left w:val="nil"/>
              <w:bottom w:val="nil"/>
              <w:right w:val="nil"/>
            </w:tcBorders>
            <w:noWrap/>
            <w:hideMark/>
          </w:tcPr>
          <w:p w14:paraId="2C7E57FE" w14:textId="67265D30" w:rsidR="002E580A" w:rsidRPr="006E1709" w:rsidRDefault="00073050" w:rsidP="002E580A">
            <w:pPr>
              <w:jc w:val="right"/>
              <w:rPr>
                <w:rFonts w:ascii="Arial" w:hAnsi="Arial" w:cs="Arial"/>
                <w:sz w:val="20"/>
                <w:szCs w:val="20"/>
                <w:lang w:eastAsia="en-GB"/>
              </w:rPr>
            </w:pPr>
            <w:r w:rsidRPr="006E1709">
              <w:rPr>
                <w:rFonts w:ascii="Arial" w:hAnsi="Arial" w:cs="Arial"/>
                <w:sz w:val="20"/>
                <w:szCs w:val="20"/>
                <w:lang w:eastAsia="en-GB"/>
              </w:rPr>
              <w:t>6,1</w:t>
            </w:r>
            <w:r w:rsidR="00CA18E1">
              <w:rPr>
                <w:rFonts w:ascii="Arial" w:hAnsi="Arial" w:cs="Arial"/>
                <w:sz w:val="20"/>
                <w:szCs w:val="20"/>
                <w:lang w:eastAsia="en-GB"/>
              </w:rPr>
              <w:t>25,140</w:t>
            </w:r>
          </w:p>
        </w:tc>
        <w:tc>
          <w:tcPr>
            <w:tcW w:w="1417" w:type="dxa"/>
            <w:tcBorders>
              <w:top w:val="nil"/>
              <w:left w:val="nil"/>
              <w:bottom w:val="nil"/>
              <w:right w:val="nil"/>
            </w:tcBorders>
            <w:noWrap/>
            <w:hideMark/>
          </w:tcPr>
          <w:p w14:paraId="0602893D" w14:textId="3C23E665" w:rsidR="002E580A" w:rsidRPr="006E1709" w:rsidRDefault="00073050" w:rsidP="002E580A">
            <w:pPr>
              <w:jc w:val="right"/>
              <w:rPr>
                <w:rFonts w:ascii="Arial" w:hAnsi="Arial" w:cs="Arial"/>
                <w:sz w:val="20"/>
                <w:szCs w:val="20"/>
                <w:lang w:eastAsia="en-GB"/>
              </w:rPr>
            </w:pPr>
            <w:r w:rsidRPr="006E1709">
              <w:rPr>
                <w:rFonts w:ascii="Arial" w:hAnsi="Arial" w:cs="Arial"/>
                <w:sz w:val="20"/>
                <w:szCs w:val="20"/>
                <w:lang w:eastAsia="en-GB"/>
              </w:rPr>
              <w:t>6,</w:t>
            </w:r>
            <w:r w:rsidR="00CA18E1">
              <w:rPr>
                <w:rFonts w:ascii="Arial" w:hAnsi="Arial" w:cs="Arial"/>
                <w:sz w:val="20"/>
                <w:szCs w:val="20"/>
                <w:lang w:eastAsia="en-GB"/>
              </w:rPr>
              <w:t>236,380</w:t>
            </w:r>
          </w:p>
        </w:tc>
      </w:tr>
      <w:tr w:rsidR="00CA78ED" w:rsidRPr="004B69EF" w14:paraId="1C00BCF8" w14:textId="77777777" w:rsidTr="00F353DB">
        <w:trPr>
          <w:trHeight w:val="275"/>
        </w:trPr>
        <w:tc>
          <w:tcPr>
            <w:tcW w:w="3663" w:type="dxa"/>
            <w:tcBorders>
              <w:top w:val="nil"/>
              <w:left w:val="nil"/>
              <w:bottom w:val="nil"/>
              <w:right w:val="nil"/>
            </w:tcBorders>
            <w:noWrap/>
            <w:vAlign w:val="center"/>
            <w:hideMark/>
          </w:tcPr>
          <w:p w14:paraId="7CD939A0" w14:textId="77777777" w:rsidR="002E580A" w:rsidRPr="006E1709" w:rsidRDefault="002E580A" w:rsidP="002E580A">
            <w:pPr>
              <w:rPr>
                <w:rFonts w:ascii="Arial" w:hAnsi="Arial" w:cs="Arial"/>
                <w:sz w:val="20"/>
                <w:szCs w:val="20"/>
              </w:rPr>
            </w:pPr>
            <w:r w:rsidRPr="006E1709">
              <w:rPr>
                <w:rFonts w:ascii="Arial" w:hAnsi="Arial" w:cs="Arial"/>
                <w:sz w:val="20"/>
                <w:szCs w:val="20"/>
              </w:rPr>
              <w:t xml:space="preserve">Communities &amp; </w:t>
            </w:r>
          </w:p>
          <w:p w14:paraId="3484B852" w14:textId="77777777" w:rsidR="002E580A" w:rsidRPr="006E1709" w:rsidRDefault="002E580A" w:rsidP="002E580A">
            <w:pPr>
              <w:rPr>
                <w:rFonts w:ascii="Arial" w:hAnsi="Arial" w:cs="Arial"/>
                <w:sz w:val="20"/>
                <w:szCs w:val="20"/>
              </w:rPr>
            </w:pPr>
            <w:r w:rsidRPr="006E1709">
              <w:rPr>
                <w:rFonts w:ascii="Arial" w:hAnsi="Arial" w:cs="Arial"/>
                <w:sz w:val="20"/>
                <w:szCs w:val="20"/>
              </w:rPr>
              <w:t>Environmental Services</w:t>
            </w:r>
          </w:p>
        </w:tc>
        <w:tc>
          <w:tcPr>
            <w:tcW w:w="1509" w:type="dxa"/>
            <w:tcBorders>
              <w:top w:val="nil"/>
              <w:left w:val="nil"/>
              <w:bottom w:val="nil"/>
              <w:right w:val="nil"/>
            </w:tcBorders>
            <w:noWrap/>
            <w:vAlign w:val="bottom"/>
          </w:tcPr>
          <w:p w14:paraId="629FEBBE" w14:textId="750328E4" w:rsidR="002E580A" w:rsidRPr="006E1709" w:rsidRDefault="00053EF2" w:rsidP="002E580A">
            <w:pPr>
              <w:jc w:val="right"/>
              <w:rPr>
                <w:rFonts w:ascii="Arial" w:hAnsi="Arial" w:cs="Arial"/>
                <w:sz w:val="20"/>
                <w:szCs w:val="20"/>
                <w:lang w:eastAsia="en-GB"/>
              </w:rPr>
            </w:pPr>
            <w:r w:rsidRPr="006E1709">
              <w:rPr>
                <w:rFonts w:ascii="Arial" w:hAnsi="Arial" w:cs="Arial"/>
                <w:sz w:val="20"/>
                <w:szCs w:val="20"/>
                <w:lang w:eastAsia="en-GB"/>
              </w:rPr>
              <w:t>3,</w:t>
            </w:r>
            <w:r w:rsidR="00CA18E1">
              <w:rPr>
                <w:rFonts w:ascii="Arial" w:hAnsi="Arial" w:cs="Arial"/>
                <w:sz w:val="20"/>
                <w:szCs w:val="20"/>
                <w:lang w:eastAsia="en-GB"/>
              </w:rPr>
              <w:t>914,750</w:t>
            </w:r>
          </w:p>
        </w:tc>
        <w:tc>
          <w:tcPr>
            <w:tcW w:w="1417" w:type="dxa"/>
            <w:tcBorders>
              <w:top w:val="nil"/>
              <w:left w:val="nil"/>
              <w:bottom w:val="nil"/>
              <w:right w:val="nil"/>
            </w:tcBorders>
            <w:noWrap/>
            <w:vAlign w:val="bottom"/>
          </w:tcPr>
          <w:p w14:paraId="2C23BC94" w14:textId="28E0478E" w:rsidR="002E580A" w:rsidRPr="006E1709" w:rsidRDefault="00053EF2" w:rsidP="002E580A">
            <w:pPr>
              <w:jc w:val="right"/>
              <w:rPr>
                <w:rFonts w:ascii="Arial" w:hAnsi="Arial" w:cs="Arial"/>
                <w:sz w:val="20"/>
                <w:szCs w:val="20"/>
              </w:rPr>
            </w:pPr>
            <w:r w:rsidRPr="006E1709">
              <w:rPr>
                <w:rFonts w:ascii="Arial" w:hAnsi="Arial" w:cs="Arial"/>
                <w:sz w:val="20"/>
                <w:szCs w:val="20"/>
              </w:rPr>
              <w:t>4,9</w:t>
            </w:r>
            <w:r w:rsidR="00CA18E1">
              <w:rPr>
                <w:rFonts w:ascii="Arial" w:hAnsi="Arial" w:cs="Arial"/>
                <w:sz w:val="20"/>
                <w:szCs w:val="20"/>
              </w:rPr>
              <w:t>83,990</w:t>
            </w:r>
          </w:p>
        </w:tc>
        <w:tc>
          <w:tcPr>
            <w:tcW w:w="1342" w:type="dxa"/>
            <w:tcBorders>
              <w:top w:val="nil"/>
              <w:left w:val="nil"/>
              <w:bottom w:val="nil"/>
              <w:right w:val="nil"/>
            </w:tcBorders>
            <w:noWrap/>
            <w:vAlign w:val="bottom"/>
          </w:tcPr>
          <w:p w14:paraId="72064A76" w14:textId="6C7C07DE" w:rsidR="002E580A" w:rsidRPr="006E1709" w:rsidRDefault="004065EE" w:rsidP="002E580A">
            <w:pPr>
              <w:jc w:val="right"/>
              <w:rPr>
                <w:rFonts w:ascii="Arial" w:hAnsi="Arial" w:cs="Arial"/>
                <w:sz w:val="20"/>
                <w:szCs w:val="20"/>
              </w:rPr>
            </w:pPr>
            <w:r w:rsidRPr="006E1709">
              <w:rPr>
                <w:rFonts w:ascii="Arial" w:hAnsi="Arial" w:cs="Arial"/>
                <w:sz w:val="20"/>
                <w:szCs w:val="20"/>
              </w:rPr>
              <w:t>5,</w:t>
            </w:r>
            <w:r w:rsidR="00CA18E1">
              <w:rPr>
                <w:rFonts w:ascii="Arial" w:hAnsi="Arial" w:cs="Arial"/>
                <w:sz w:val="20"/>
                <w:szCs w:val="20"/>
              </w:rPr>
              <w:t>114,470</w:t>
            </w:r>
          </w:p>
        </w:tc>
        <w:tc>
          <w:tcPr>
            <w:tcW w:w="1418" w:type="dxa"/>
            <w:tcBorders>
              <w:top w:val="nil"/>
              <w:left w:val="nil"/>
              <w:bottom w:val="nil"/>
              <w:right w:val="nil"/>
            </w:tcBorders>
            <w:noWrap/>
            <w:vAlign w:val="bottom"/>
          </w:tcPr>
          <w:p w14:paraId="766382C1" w14:textId="056D6499" w:rsidR="002E580A" w:rsidRPr="006E1709" w:rsidRDefault="008F53A5" w:rsidP="002E580A">
            <w:pPr>
              <w:jc w:val="right"/>
              <w:rPr>
                <w:rFonts w:ascii="Arial" w:hAnsi="Arial" w:cs="Arial"/>
                <w:sz w:val="20"/>
                <w:szCs w:val="20"/>
              </w:rPr>
            </w:pPr>
            <w:r w:rsidRPr="006E1709">
              <w:rPr>
                <w:rFonts w:ascii="Arial" w:hAnsi="Arial" w:cs="Arial"/>
                <w:sz w:val="20"/>
                <w:szCs w:val="20"/>
              </w:rPr>
              <w:t>5,</w:t>
            </w:r>
            <w:r w:rsidR="004065EE" w:rsidRPr="006E1709">
              <w:rPr>
                <w:rFonts w:ascii="Arial" w:hAnsi="Arial" w:cs="Arial"/>
                <w:sz w:val="20"/>
                <w:szCs w:val="20"/>
              </w:rPr>
              <w:t>3</w:t>
            </w:r>
            <w:r w:rsidR="00CA18E1">
              <w:rPr>
                <w:rFonts w:ascii="Arial" w:hAnsi="Arial" w:cs="Arial"/>
                <w:sz w:val="20"/>
                <w:szCs w:val="20"/>
              </w:rPr>
              <w:t>56,320</w:t>
            </w:r>
          </w:p>
        </w:tc>
        <w:tc>
          <w:tcPr>
            <w:tcW w:w="1417" w:type="dxa"/>
            <w:tcBorders>
              <w:top w:val="nil"/>
              <w:left w:val="nil"/>
              <w:right w:val="nil"/>
            </w:tcBorders>
            <w:noWrap/>
            <w:vAlign w:val="bottom"/>
          </w:tcPr>
          <w:p w14:paraId="629C29E9" w14:textId="569603D5" w:rsidR="002E580A" w:rsidRPr="006E1709" w:rsidRDefault="008F53A5" w:rsidP="002E580A">
            <w:pPr>
              <w:jc w:val="right"/>
              <w:rPr>
                <w:rFonts w:ascii="Arial" w:hAnsi="Arial" w:cs="Arial"/>
                <w:sz w:val="20"/>
                <w:szCs w:val="20"/>
              </w:rPr>
            </w:pPr>
            <w:r w:rsidRPr="006E1709">
              <w:rPr>
                <w:rFonts w:ascii="Arial" w:hAnsi="Arial" w:cs="Arial"/>
                <w:sz w:val="20"/>
                <w:szCs w:val="20"/>
              </w:rPr>
              <w:t>5,</w:t>
            </w:r>
            <w:r w:rsidR="00CA18E1">
              <w:rPr>
                <w:rFonts w:ascii="Arial" w:hAnsi="Arial" w:cs="Arial"/>
                <w:sz w:val="20"/>
                <w:szCs w:val="20"/>
              </w:rPr>
              <w:t>620</w:t>
            </w:r>
            <w:r w:rsidR="008F6EAC">
              <w:rPr>
                <w:rFonts w:ascii="Arial" w:hAnsi="Arial" w:cs="Arial"/>
                <w:sz w:val="20"/>
                <w:szCs w:val="20"/>
              </w:rPr>
              <w:t>,680</w:t>
            </w:r>
          </w:p>
        </w:tc>
      </w:tr>
      <w:tr w:rsidR="002E2A51" w:rsidRPr="004B69EF" w14:paraId="3036F8A9" w14:textId="77777777" w:rsidTr="007C0E45">
        <w:trPr>
          <w:trHeight w:val="304"/>
        </w:trPr>
        <w:tc>
          <w:tcPr>
            <w:tcW w:w="3663" w:type="dxa"/>
            <w:tcBorders>
              <w:top w:val="nil"/>
              <w:left w:val="nil"/>
              <w:bottom w:val="nil"/>
              <w:right w:val="nil"/>
            </w:tcBorders>
            <w:noWrap/>
            <w:vAlign w:val="center"/>
            <w:hideMark/>
          </w:tcPr>
          <w:p w14:paraId="635E2A18" w14:textId="77777777" w:rsidR="002E580A" w:rsidRPr="006E1709" w:rsidRDefault="002E580A" w:rsidP="002E580A">
            <w:pPr>
              <w:rPr>
                <w:rFonts w:ascii="Arial" w:hAnsi="Arial" w:cs="Arial"/>
                <w:sz w:val="20"/>
                <w:szCs w:val="20"/>
              </w:rPr>
            </w:pPr>
            <w:r w:rsidRPr="006E1709">
              <w:rPr>
                <w:rFonts w:ascii="Arial" w:hAnsi="Arial" w:cs="Arial"/>
                <w:sz w:val="20"/>
                <w:szCs w:val="20"/>
              </w:rPr>
              <w:t>Major Developments</w:t>
            </w:r>
          </w:p>
        </w:tc>
        <w:tc>
          <w:tcPr>
            <w:tcW w:w="1509" w:type="dxa"/>
            <w:tcBorders>
              <w:top w:val="nil"/>
              <w:left w:val="nil"/>
              <w:right w:val="nil"/>
            </w:tcBorders>
            <w:shd w:val="clear" w:color="000000" w:fill="FFFFFF"/>
            <w:noWrap/>
            <w:vAlign w:val="center"/>
            <w:hideMark/>
          </w:tcPr>
          <w:p w14:paraId="2E81B6CF" w14:textId="6AE8ACA4" w:rsidR="002E580A" w:rsidRPr="006E1709" w:rsidRDefault="008F6EAC" w:rsidP="002E580A">
            <w:pPr>
              <w:jc w:val="right"/>
              <w:rPr>
                <w:rFonts w:ascii="Arial" w:hAnsi="Arial" w:cs="Arial"/>
                <w:sz w:val="20"/>
                <w:szCs w:val="20"/>
                <w:lang w:eastAsia="en-GB"/>
              </w:rPr>
            </w:pPr>
            <w:r>
              <w:rPr>
                <w:rFonts w:ascii="Arial" w:hAnsi="Arial" w:cs="Arial"/>
                <w:sz w:val="20"/>
                <w:szCs w:val="20"/>
                <w:lang w:eastAsia="en-GB"/>
              </w:rPr>
              <w:t>673</w:t>
            </w:r>
            <w:r w:rsidR="00F353DB">
              <w:rPr>
                <w:rFonts w:ascii="Arial" w:hAnsi="Arial" w:cs="Arial"/>
                <w:sz w:val="20"/>
                <w:szCs w:val="20"/>
                <w:lang w:eastAsia="en-GB"/>
              </w:rPr>
              <w:t>,920</w:t>
            </w:r>
          </w:p>
        </w:tc>
        <w:tc>
          <w:tcPr>
            <w:tcW w:w="1417" w:type="dxa"/>
            <w:tcBorders>
              <w:top w:val="nil"/>
              <w:left w:val="nil"/>
              <w:right w:val="nil"/>
            </w:tcBorders>
            <w:shd w:val="clear" w:color="000000" w:fill="FFFFFF"/>
            <w:noWrap/>
            <w:vAlign w:val="center"/>
            <w:hideMark/>
          </w:tcPr>
          <w:p w14:paraId="414EDFBE" w14:textId="05F46039" w:rsidR="002E580A" w:rsidRPr="006E1709" w:rsidRDefault="00F353DB" w:rsidP="002E580A">
            <w:pPr>
              <w:jc w:val="right"/>
              <w:rPr>
                <w:rFonts w:ascii="Arial" w:hAnsi="Arial" w:cs="Arial"/>
                <w:sz w:val="20"/>
                <w:szCs w:val="20"/>
                <w:lang w:eastAsia="en-GB"/>
              </w:rPr>
            </w:pPr>
            <w:r>
              <w:rPr>
                <w:rFonts w:ascii="Arial" w:hAnsi="Arial" w:cs="Arial"/>
                <w:sz w:val="20"/>
                <w:szCs w:val="20"/>
                <w:lang w:eastAsia="en-GB"/>
              </w:rPr>
              <w:t>695,160</w:t>
            </w:r>
          </w:p>
        </w:tc>
        <w:tc>
          <w:tcPr>
            <w:tcW w:w="1342" w:type="dxa"/>
            <w:tcBorders>
              <w:top w:val="nil"/>
              <w:left w:val="nil"/>
              <w:right w:val="nil"/>
            </w:tcBorders>
            <w:shd w:val="clear" w:color="000000" w:fill="FFFFFF"/>
            <w:noWrap/>
            <w:vAlign w:val="center"/>
            <w:hideMark/>
          </w:tcPr>
          <w:p w14:paraId="09EA4CE0" w14:textId="7666F253" w:rsidR="002E580A" w:rsidRPr="006E1709" w:rsidRDefault="00F353DB" w:rsidP="002E580A">
            <w:pPr>
              <w:jc w:val="right"/>
              <w:rPr>
                <w:rFonts w:ascii="Arial" w:hAnsi="Arial" w:cs="Arial"/>
                <w:sz w:val="20"/>
                <w:szCs w:val="20"/>
                <w:lang w:eastAsia="en-GB"/>
              </w:rPr>
            </w:pPr>
            <w:r w:rsidRPr="006E1709">
              <w:rPr>
                <w:rFonts w:ascii="Arial" w:hAnsi="Arial" w:cs="Arial"/>
                <w:sz w:val="20"/>
                <w:szCs w:val="20"/>
                <w:lang w:eastAsia="en-GB"/>
              </w:rPr>
              <w:t>700</w:t>
            </w:r>
            <w:r w:rsidR="008F53A5" w:rsidRPr="006E1709">
              <w:rPr>
                <w:rFonts w:ascii="Arial" w:hAnsi="Arial" w:cs="Arial"/>
                <w:sz w:val="20"/>
                <w:szCs w:val="20"/>
                <w:lang w:eastAsia="en-GB"/>
              </w:rPr>
              <w:t>,710</w:t>
            </w:r>
          </w:p>
        </w:tc>
        <w:tc>
          <w:tcPr>
            <w:tcW w:w="1418" w:type="dxa"/>
            <w:tcBorders>
              <w:top w:val="nil"/>
              <w:left w:val="nil"/>
              <w:right w:val="nil"/>
            </w:tcBorders>
            <w:shd w:val="clear" w:color="000000" w:fill="FFFFFF"/>
            <w:noWrap/>
            <w:vAlign w:val="center"/>
            <w:hideMark/>
          </w:tcPr>
          <w:p w14:paraId="7C93E079" w14:textId="3BE12FFC" w:rsidR="002E580A" w:rsidRPr="006E1709" w:rsidRDefault="00F353DB" w:rsidP="002E580A">
            <w:pPr>
              <w:jc w:val="right"/>
              <w:rPr>
                <w:rFonts w:ascii="Arial" w:hAnsi="Arial" w:cs="Arial"/>
                <w:sz w:val="20"/>
                <w:szCs w:val="20"/>
                <w:lang w:eastAsia="en-GB"/>
              </w:rPr>
            </w:pPr>
            <w:r w:rsidRPr="006E1709">
              <w:rPr>
                <w:rFonts w:ascii="Arial" w:hAnsi="Arial" w:cs="Arial"/>
                <w:sz w:val="20"/>
                <w:szCs w:val="20"/>
                <w:lang w:eastAsia="en-GB"/>
              </w:rPr>
              <w:t>705,560</w:t>
            </w:r>
          </w:p>
        </w:tc>
        <w:tc>
          <w:tcPr>
            <w:tcW w:w="1417" w:type="dxa"/>
            <w:tcBorders>
              <w:top w:val="nil"/>
              <w:left w:val="nil"/>
            </w:tcBorders>
            <w:shd w:val="clear" w:color="000000" w:fill="FFFFFF"/>
            <w:noWrap/>
            <w:vAlign w:val="center"/>
            <w:hideMark/>
          </w:tcPr>
          <w:p w14:paraId="50177D83" w14:textId="55C626B2" w:rsidR="002E580A" w:rsidRPr="006E1709" w:rsidRDefault="00F353DB" w:rsidP="002E580A">
            <w:pPr>
              <w:jc w:val="right"/>
              <w:rPr>
                <w:rFonts w:ascii="Arial" w:hAnsi="Arial" w:cs="Arial"/>
                <w:sz w:val="20"/>
                <w:szCs w:val="20"/>
                <w:lang w:eastAsia="en-GB"/>
              </w:rPr>
            </w:pPr>
            <w:r w:rsidRPr="006E1709">
              <w:rPr>
                <w:rFonts w:ascii="Arial" w:hAnsi="Arial" w:cs="Arial"/>
                <w:sz w:val="20"/>
                <w:szCs w:val="20"/>
                <w:lang w:eastAsia="en-GB"/>
              </w:rPr>
              <w:t>699,500</w:t>
            </w:r>
          </w:p>
        </w:tc>
      </w:tr>
      <w:tr w:rsidR="002E2A51" w:rsidRPr="004B69EF" w14:paraId="3E773DAB" w14:textId="77777777" w:rsidTr="007C0E45">
        <w:trPr>
          <w:trHeight w:val="29"/>
        </w:trPr>
        <w:tc>
          <w:tcPr>
            <w:tcW w:w="3663" w:type="dxa"/>
            <w:tcBorders>
              <w:top w:val="nil"/>
              <w:left w:val="nil"/>
              <w:bottom w:val="nil"/>
              <w:right w:val="nil"/>
            </w:tcBorders>
            <w:noWrap/>
            <w:vAlign w:val="center"/>
            <w:hideMark/>
          </w:tcPr>
          <w:p w14:paraId="47EE3EB7" w14:textId="771B336C" w:rsidR="002E580A" w:rsidRPr="006E1709" w:rsidRDefault="002E580A" w:rsidP="002E580A">
            <w:pPr>
              <w:rPr>
                <w:rFonts w:ascii="Arial" w:hAnsi="Arial" w:cs="Arial"/>
                <w:sz w:val="20"/>
                <w:szCs w:val="20"/>
              </w:rPr>
            </w:pPr>
            <w:r w:rsidRPr="006E1709">
              <w:rPr>
                <w:rFonts w:ascii="Arial" w:hAnsi="Arial" w:cs="Arial"/>
                <w:sz w:val="20"/>
                <w:szCs w:val="20"/>
              </w:rPr>
              <w:t>Housing &amp; Investment</w:t>
            </w:r>
          </w:p>
        </w:tc>
        <w:tc>
          <w:tcPr>
            <w:tcW w:w="1509" w:type="dxa"/>
            <w:tcBorders>
              <w:top w:val="nil"/>
              <w:left w:val="nil"/>
              <w:bottom w:val="nil"/>
              <w:right w:val="nil"/>
            </w:tcBorders>
            <w:shd w:val="clear" w:color="000000" w:fill="FFFFFF"/>
            <w:noWrap/>
            <w:vAlign w:val="center"/>
            <w:hideMark/>
          </w:tcPr>
          <w:p w14:paraId="19E8CBB9" w14:textId="7BACFFED" w:rsidR="002E580A" w:rsidRPr="006E1709" w:rsidRDefault="007C0E45" w:rsidP="002E580A">
            <w:pPr>
              <w:jc w:val="right"/>
              <w:rPr>
                <w:rFonts w:ascii="Arial" w:hAnsi="Arial" w:cs="Arial"/>
                <w:sz w:val="20"/>
                <w:szCs w:val="20"/>
                <w:lang w:eastAsia="en-GB"/>
              </w:rPr>
            </w:pPr>
            <w:r w:rsidRPr="006E1709">
              <w:rPr>
                <w:rFonts w:ascii="Arial" w:hAnsi="Arial" w:cs="Arial"/>
                <w:sz w:val="20"/>
                <w:szCs w:val="20"/>
                <w:lang w:eastAsia="en-GB"/>
              </w:rPr>
              <w:t>1,460,360</w:t>
            </w:r>
          </w:p>
        </w:tc>
        <w:tc>
          <w:tcPr>
            <w:tcW w:w="1417" w:type="dxa"/>
            <w:tcBorders>
              <w:top w:val="nil"/>
              <w:left w:val="nil"/>
              <w:bottom w:val="nil"/>
              <w:right w:val="nil"/>
            </w:tcBorders>
            <w:shd w:val="clear" w:color="000000" w:fill="FFFFFF"/>
            <w:noWrap/>
            <w:vAlign w:val="center"/>
            <w:hideMark/>
          </w:tcPr>
          <w:p w14:paraId="12DC3880" w14:textId="41006265" w:rsidR="002E580A" w:rsidRPr="006E1709" w:rsidRDefault="007C0E45" w:rsidP="002E580A">
            <w:pPr>
              <w:jc w:val="right"/>
              <w:rPr>
                <w:rFonts w:ascii="Arial" w:hAnsi="Arial" w:cs="Arial"/>
                <w:sz w:val="20"/>
                <w:szCs w:val="20"/>
                <w:lang w:eastAsia="en-GB"/>
              </w:rPr>
            </w:pPr>
            <w:r w:rsidRPr="006E1709">
              <w:rPr>
                <w:rFonts w:ascii="Arial" w:hAnsi="Arial" w:cs="Arial"/>
                <w:sz w:val="20"/>
                <w:szCs w:val="20"/>
                <w:lang w:eastAsia="en-GB"/>
              </w:rPr>
              <w:t>1,484,050</w:t>
            </w:r>
          </w:p>
        </w:tc>
        <w:tc>
          <w:tcPr>
            <w:tcW w:w="1342" w:type="dxa"/>
            <w:tcBorders>
              <w:top w:val="nil"/>
              <w:left w:val="nil"/>
              <w:bottom w:val="nil"/>
              <w:right w:val="nil"/>
            </w:tcBorders>
            <w:shd w:val="clear" w:color="000000" w:fill="FFFFFF"/>
            <w:noWrap/>
            <w:vAlign w:val="center"/>
            <w:hideMark/>
          </w:tcPr>
          <w:p w14:paraId="25703422" w14:textId="0C43869B" w:rsidR="002E580A" w:rsidRPr="006E1709" w:rsidRDefault="007C0E45" w:rsidP="002E580A">
            <w:pPr>
              <w:jc w:val="right"/>
              <w:rPr>
                <w:rFonts w:ascii="Arial" w:hAnsi="Arial" w:cs="Arial"/>
                <w:sz w:val="20"/>
                <w:szCs w:val="20"/>
                <w:lang w:eastAsia="en-GB"/>
              </w:rPr>
            </w:pPr>
            <w:r w:rsidRPr="006E1709">
              <w:rPr>
                <w:rFonts w:ascii="Arial" w:hAnsi="Arial" w:cs="Arial"/>
                <w:sz w:val="20"/>
                <w:szCs w:val="20"/>
                <w:lang w:eastAsia="en-GB"/>
              </w:rPr>
              <w:t>1,487,420</w:t>
            </w:r>
          </w:p>
        </w:tc>
        <w:tc>
          <w:tcPr>
            <w:tcW w:w="1418" w:type="dxa"/>
            <w:tcBorders>
              <w:top w:val="nil"/>
              <w:left w:val="nil"/>
              <w:bottom w:val="nil"/>
              <w:right w:val="nil"/>
            </w:tcBorders>
            <w:shd w:val="clear" w:color="000000" w:fill="FFFFFF"/>
            <w:noWrap/>
            <w:vAlign w:val="center"/>
            <w:hideMark/>
          </w:tcPr>
          <w:p w14:paraId="5C8CC794" w14:textId="42FECCAE" w:rsidR="002E580A" w:rsidRPr="006E1709" w:rsidRDefault="007C0E45" w:rsidP="002E580A">
            <w:pPr>
              <w:jc w:val="right"/>
              <w:rPr>
                <w:rFonts w:ascii="Arial" w:hAnsi="Arial" w:cs="Arial"/>
                <w:sz w:val="20"/>
                <w:szCs w:val="20"/>
                <w:lang w:eastAsia="en-GB"/>
              </w:rPr>
            </w:pPr>
            <w:r w:rsidRPr="006E1709">
              <w:rPr>
                <w:rFonts w:ascii="Arial" w:hAnsi="Arial" w:cs="Arial"/>
                <w:sz w:val="20"/>
                <w:szCs w:val="20"/>
                <w:lang w:eastAsia="en-GB"/>
              </w:rPr>
              <w:t>1,486,820</w:t>
            </w:r>
          </w:p>
        </w:tc>
        <w:tc>
          <w:tcPr>
            <w:tcW w:w="1417" w:type="dxa"/>
            <w:tcBorders>
              <w:top w:val="nil"/>
              <w:left w:val="nil"/>
              <w:bottom w:val="nil"/>
            </w:tcBorders>
            <w:shd w:val="clear" w:color="000000" w:fill="FFFFFF"/>
            <w:noWrap/>
            <w:vAlign w:val="center"/>
            <w:hideMark/>
          </w:tcPr>
          <w:p w14:paraId="1FD160B2" w14:textId="2B2D5C56" w:rsidR="002E580A" w:rsidRPr="006E1709" w:rsidRDefault="007C0E45" w:rsidP="002E580A">
            <w:pPr>
              <w:jc w:val="right"/>
              <w:rPr>
                <w:rFonts w:ascii="Arial" w:hAnsi="Arial" w:cs="Arial"/>
                <w:sz w:val="20"/>
                <w:szCs w:val="20"/>
                <w:lang w:eastAsia="en-GB"/>
              </w:rPr>
            </w:pPr>
            <w:r w:rsidRPr="006E1709">
              <w:rPr>
                <w:rFonts w:ascii="Arial" w:hAnsi="Arial" w:cs="Arial"/>
                <w:sz w:val="20"/>
                <w:szCs w:val="20"/>
                <w:lang w:eastAsia="en-GB"/>
              </w:rPr>
              <w:t>1,508,050</w:t>
            </w:r>
          </w:p>
        </w:tc>
      </w:tr>
      <w:tr w:rsidR="002E2A51" w:rsidRPr="004B69EF" w14:paraId="6F7E41E5" w14:textId="77777777" w:rsidTr="00E72656">
        <w:trPr>
          <w:trHeight w:val="29"/>
        </w:trPr>
        <w:tc>
          <w:tcPr>
            <w:tcW w:w="3663" w:type="dxa"/>
            <w:tcBorders>
              <w:top w:val="nil"/>
              <w:left w:val="nil"/>
              <w:bottom w:val="nil"/>
              <w:right w:val="nil"/>
            </w:tcBorders>
            <w:noWrap/>
            <w:vAlign w:val="center"/>
            <w:hideMark/>
          </w:tcPr>
          <w:p w14:paraId="7F859B04" w14:textId="77777777" w:rsidR="002E580A" w:rsidRPr="006E1709" w:rsidRDefault="002E580A" w:rsidP="002E580A">
            <w:pPr>
              <w:rPr>
                <w:rFonts w:ascii="Arial" w:hAnsi="Arial" w:cs="Arial"/>
                <w:sz w:val="20"/>
                <w:szCs w:val="20"/>
              </w:rPr>
            </w:pPr>
            <w:r w:rsidRPr="006E1709">
              <w:rPr>
                <w:rFonts w:ascii="Arial" w:hAnsi="Arial" w:cs="Arial"/>
                <w:sz w:val="20"/>
                <w:szCs w:val="20"/>
              </w:rPr>
              <w:t>Corporate</w:t>
            </w:r>
          </w:p>
        </w:tc>
        <w:tc>
          <w:tcPr>
            <w:tcW w:w="1509" w:type="dxa"/>
            <w:tcBorders>
              <w:top w:val="nil"/>
              <w:left w:val="nil"/>
              <w:bottom w:val="single" w:sz="4" w:space="0" w:color="auto"/>
              <w:right w:val="nil"/>
            </w:tcBorders>
            <w:noWrap/>
            <w:vAlign w:val="bottom"/>
            <w:hideMark/>
          </w:tcPr>
          <w:p w14:paraId="4398D6BF" w14:textId="17FD2698" w:rsidR="002E580A" w:rsidRPr="006E1709" w:rsidRDefault="007C0E45" w:rsidP="002E580A">
            <w:pPr>
              <w:jc w:val="right"/>
              <w:rPr>
                <w:rFonts w:ascii="Arial" w:hAnsi="Arial" w:cs="Arial"/>
                <w:sz w:val="20"/>
                <w:szCs w:val="20"/>
                <w:lang w:eastAsia="en-GB"/>
              </w:rPr>
            </w:pPr>
            <w:r w:rsidRPr="006E1709">
              <w:rPr>
                <w:rFonts w:ascii="Arial" w:hAnsi="Arial" w:cs="Arial"/>
                <w:sz w:val="20"/>
                <w:szCs w:val="20"/>
                <w:lang w:eastAsia="en-GB"/>
              </w:rPr>
              <w:t>2,5</w:t>
            </w:r>
            <w:r w:rsidR="008F6EAC">
              <w:rPr>
                <w:rFonts w:ascii="Arial" w:hAnsi="Arial" w:cs="Arial"/>
                <w:sz w:val="20"/>
                <w:szCs w:val="20"/>
                <w:lang w:eastAsia="en-GB"/>
              </w:rPr>
              <w:t>65</w:t>
            </w:r>
            <w:r w:rsidR="00CA4003">
              <w:rPr>
                <w:rFonts w:ascii="Arial" w:hAnsi="Arial" w:cs="Arial"/>
                <w:sz w:val="20"/>
                <w:szCs w:val="20"/>
                <w:lang w:eastAsia="en-GB"/>
              </w:rPr>
              <w:t>,710</w:t>
            </w:r>
          </w:p>
        </w:tc>
        <w:tc>
          <w:tcPr>
            <w:tcW w:w="1417" w:type="dxa"/>
            <w:tcBorders>
              <w:top w:val="nil"/>
              <w:left w:val="nil"/>
              <w:bottom w:val="single" w:sz="4" w:space="0" w:color="auto"/>
              <w:right w:val="nil"/>
            </w:tcBorders>
            <w:noWrap/>
            <w:vAlign w:val="bottom"/>
            <w:hideMark/>
          </w:tcPr>
          <w:p w14:paraId="5973459C" w14:textId="3DB39FE1" w:rsidR="002E580A" w:rsidRPr="006E1709" w:rsidRDefault="007C0E45" w:rsidP="002E580A">
            <w:pPr>
              <w:jc w:val="right"/>
              <w:rPr>
                <w:rFonts w:ascii="Arial" w:hAnsi="Arial" w:cs="Arial"/>
                <w:sz w:val="20"/>
                <w:szCs w:val="20"/>
              </w:rPr>
            </w:pPr>
            <w:r w:rsidRPr="006E1709">
              <w:rPr>
                <w:rFonts w:ascii="Arial" w:hAnsi="Arial" w:cs="Arial"/>
                <w:sz w:val="20"/>
                <w:szCs w:val="20"/>
              </w:rPr>
              <w:t>2,5</w:t>
            </w:r>
            <w:r w:rsidR="00CA4003">
              <w:rPr>
                <w:rFonts w:ascii="Arial" w:hAnsi="Arial" w:cs="Arial"/>
                <w:sz w:val="20"/>
                <w:szCs w:val="20"/>
              </w:rPr>
              <w:t>62,180</w:t>
            </w:r>
          </w:p>
        </w:tc>
        <w:tc>
          <w:tcPr>
            <w:tcW w:w="1342" w:type="dxa"/>
            <w:tcBorders>
              <w:top w:val="nil"/>
              <w:left w:val="nil"/>
              <w:bottom w:val="single" w:sz="4" w:space="0" w:color="auto"/>
              <w:right w:val="nil"/>
            </w:tcBorders>
            <w:noWrap/>
            <w:vAlign w:val="bottom"/>
            <w:hideMark/>
          </w:tcPr>
          <w:p w14:paraId="364264EA" w14:textId="03C6777C" w:rsidR="002E580A" w:rsidRPr="006E1709" w:rsidRDefault="007C0E45" w:rsidP="002E580A">
            <w:pPr>
              <w:jc w:val="right"/>
              <w:rPr>
                <w:rFonts w:ascii="Arial" w:hAnsi="Arial" w:cs="Arial"/>
                <w:sz w:val="20"/>
                <w:szCs w:val="20"/>
              </w:rPr>
            </w:pPr>
            <w:r w:rsidRPr="006E1709">
              <w:rPr>
                <w:rFonts w:ascii="Arial" w:hAnsi="Arial" w:cs="Arial"/>
                <w:sz w:val="20"/>
                <w:szCs w:val="20"/>
              </w:rPr>
              <w:t>2,5</w:t>
            </w:r>
            <w:r w:rsidR="00CA4003">
              <w:rPr>
                <w:rFonts w:ascii="Arial" w:hAnsi="Arial" w:cs="Arial"/>
                <w:sz w:val="20"/>
                <w:szCs w:val="20"/>
              </w:rPr>
              <w:t>83,140</w:t>
            </w:r>
          </w:p>
        </w:tc>
        <w:tc>
          <w:tcPr>
            <w:tcW w:w="1418" w:type="dxa"/>
            <w:tcBorders>
              <w:top w:val="nil"/>
              <w:left w:val="nil"/>
              <w:bottom w:val="single" w:sz="4" w:space="0" w:color="auto"/>
              <w:right w:val="nil"/>
            </w:tcBorders>
            <w:noWrap/>
            <w:vAlign w:val="bottom"/>
            <w:hideMark/>
          </w:tcPr>
          <w:p w14:paraId="2C26266C" w14:textId="2E3E5071" w:rsidR="002E580A" w:rsidRPr="006E1709" w:rsidRDefault="007C0E45" w:rsidP="002E580A">
            <w:pPr>
              <w:jc w:val="right"/>
              <w:rPr>
                <w:rFonts w:ascii="Arial" w:hAnsi="Arial" w:cs="Arial"/>
                <w:sz w:val="20"/>
                <w:szCs w:val="20"/>
              </w:rPr>
            </w:pPr>
            <w:r w:rsidRPr="006E1709">
              <w:rPr>
                <w:rFonts w:ascii="Arial" w:hAnsi="Arial" w:cs="Arial"/>
                <w:sz w:val="20"/>
                <w:szCs w:val="20"/>
              </w:rPr>
              <w:t>2,5</w:t>
            </w:r>
            <w:r w:rsidR="00CA4003">
              <w:rPr>
                <w:rFonts w:ascii="Arial" w:hAnsi="Arial" w:cs="Arial"/>
                <w:sz w:val="20"/>
                <w:szCs w:val="20"/>
              </w:rPr>
              <w:t>88,320</w:t>
            </w:r>
          </w:p>
        </w:tc>
        <w:tc>
          <w:tcPr>
            <w:tcW w:w="1417" w:type="dxa"/>
            <w:tcBorders>
              <w:top w:val="nil"/>
              <w:left w:val="nil"/>
              <w:bottom w:val="single" w:sz="4" w:space="0" w:color="auto"/>
              <w:right w:val="nil"/>
            </w:tcBorders>
            <w:noWrap/>
            <w:vAlign w:val="bottom"/>
            <w:hideMark/>
          </w:tcPr>
          <w:p w14:paraId="4E9CC6AA" w14:textId="18FE6E7B" w:rsidR="002E580A" w:rsidRPr="006E1709" w:rsidRDefault="007C0E45" w:rsidP="002E580A">
            <w:pPr>
              <w:jc w:val="right"/>
              <w:rPr>
                <w:rFonts w:ascii="Arial" w:hAnsi="Arial" w:cs="Arial"/>
                <w:sz w:val="20"/>
                <w:szCs w:val="20"/>
              </w:rPr>
            </w:pPr>
            <w:r w:rsidRPr="006E1709">
              <w:rPr>
                <w:rFonts w:ascii="Arial" w:hAnsi="Arial" w:cs="Arial"/>
                <w:sz w:val="20"/>
                <w:szCs w:val="20"/>
              </w:rPr>
              <w:t>2,5</w:t>
            </w:r>
            <w:r w:rsidR="00CA4003">
              <w:rPr>
                <w:rFonts w:ascii="Arial" w:hAnsi="Arial" w:cs="Arial"/>
                <w:sz w:val="20"/>
                <w:szCs w:val="20"/>
              </w:rPr>
              <w:t>93,940</w:t>
            </w:r>
          </w:p>
        </w:tc>
      </w:tr>
      <w:tr w:rsidR="00664494" w:rsidRPr="004B69EF" w14:paraId="6E5B695A" w14:textId="77777777" w:rsidTr="00E72656">
        <w:trPr>
          <w:trHeight w:val="5"/>
        </w:trPr>
        <w:tc>
          <w:tcPr>
            <w:tcW w:w="3663" w:type="dxa"/>
            <w:noWrap/>
            <w:vAlign w:val="bottom"/>
            <w:hideMark/>
          </w:tcPr>
          <w:p w14:paraId="59B2DBBC" w14:textId="77777777" w:rsidR="002E580A" w:rsidRPr="006E1709" w:rsidRDefault="002E580A" w:rsidP="002E580A">
            <w:pPr>
              <w:rPr>
                <w:rFonts w:ascii="Arial" w:hAnsi="Arial" w:cs="Arial"/>
                <w:sz w:val="20"/>
                <w:szCs w:val="20"/>
              </w:rPr>
            </w:pPr>
            <w:r w:rsidRPr="006E1709">
              <w:rPr>
                <w:rFonts w:ascii="Arial" w:hAnsi="Arial" w:cs="Arial"/>
                <w:sz w:val="20"/>
                <w:szCs w:val="20"/>
              </w:rPr>
              <w:t> </w:t>
            </w:r>
          </w:p>
        </w:tc>
        <w:tc>
          <w:tcPr>
            <w:tcW w:w="1509" w:type="dxa"/>
            <w:tcBorders>
              <w:top w:val="nil"/>
              <w:left w:val="nil"/>
              <w:bottom w:val="nil"/>
              <w:right w:val="nil"/>
            </w:tcBorders>
            <w:noWrap/>
            <w:vAlign w:val="bottom"/>
            <w:hideMark/>
          </w:tcPr>
          <w:p w14:paraId="3DA4AAB7" w14:textId="7752C157" w:rsidR="002E580A" w:rsidRPr="006E1709" w:rsidRDefault="007C0E45" w:rsidP="002E580A">
            <w:pPr>
              <w:jc w:val="right"/>
              <w:rPr>
                <w:rFonts w:ascii="Arial" w:hAnsi="Arial" w:cs="Arial"/>
                <w:b/>
                <w:sz w:val="20"/>
                <w:szCs w:val="20"/>
                <w:lang w:eastAsia="en-GB"/>
              </w:rPr>
            </w:pPr>
            <w:r w:rsidRPr="006E1709">
              <w:rPr>
                <w:rFonts w:ascii="Arial" w:hAnsi="Arial" w:cs="Arial"/>
                <w:b/>
                <w:sz w:val="20"/>
                <w:szCs w:val="20"/>
                <w:lang w:eastAsia="en-GB"/>
              </w:rPr>
              <w:t>14,5</w:t>
            </w:r>
            <w:r w:rsidR="00CA4003">
              <w:rPr>
                <w:rFonts w:ascii="Arial" w:hAnsi="Arial" w:cs="Arial"/>
                <w:b/>
                <w:sz w:val="20"/>
                <w:szCs w:val="20"/>
                <w:lang w:eastAsia="en-GB"/>
              </w:rPr>
              <w:t>31,160</w:t>
            </w:r>
          </w:p>
        </w:tc>
        <w:tc>
          <w:tcPr>
            <w:tcW w:w="1417" w:type="dxa"/>
            <w:tcBorders>
              <w:top w:val="nil"/>
              <w:left w:val="nil"/>
              <w:bottom w:val="nil"/>
              <w:right w:val="nil"/>
            </w:tcBorders>
            <w:noWrap/>
            <w:vAlign w:val="bottom"/>
            <w:hideMark/>
          </w:tcPr>
          <w:p w14:paraId="71360C23" w14:textId="3FB1D016" w:rsidR="002E580A" w:rsidRPr="006E1709" w:rsidRDefault="00226C7E" w:rsidP="002E580A">
            <w:pPr>
              <w:jc w:val="right"/>
              <w:rPr>
                <w:rFonts w:ascii="Arial" w:hAnsi="Arial" w:cs="Arial"/>
                <w:b/>
                <w:sz w:val="20"/>
                <w:szCs w:val="20"/>
              </w:rPr>
            </w:pPr>
            <w:r w:rsidRPr="006E1709">
              <w:rPr>
                <w:rFonts w:ascii="Arial" w:hAnsi="Arial" w:cs="Arial"/>
                <w:b/>
                <w:sz w:val="20"/>
                <w:szCs w:val="20"/>
              </w:rPr>
              <w:t>1</w:t>
            </w:r>
            <w:r w:rsidR="00247344" w:rsidRPr="006E1709">
              <w:rPr>
                <w:rFonts w:ascii="Arial" w:hAnsi="Arial" w:cs="Arial"/>
                <w:b/>
                <w:sz w:val="20"/>
                <w:szCs w:val="20"/>
              </w:rPr>
              <w:t>5</w:t>
            </w:r>
            <w:r w:rsidR="00682787" w:rsidRPr="006E1709">
              <w:rPr>
                <w:rFonts w:ascii="Arial" w:hAnsi="Arial" w:cs="Arial"/>
                <w:b/>
                <w:sz w:val="20"/>
                <w:szCs w:val="20"/>
              </w:rPr>
              <w:t>,879,</w:t>
            </w:r>
            <w:r w:rsidR="00CA4003">
              <w:rPr>
                <w:rFonts w:ascii="Arial" w:hAnsi="Arial" w:cs="Arial"/>
                <w:b/>
                <w:sz w:val="20"/>
                <w:szCs w:val="20"/>
              </w:rPr>
              <w:t>860</w:t>
            </w:r>
          </w:p>
        </w:tc>
        <w:tc>
          <w:tcPr>
            <w:tcW w:w="1342" w:type="dxa"/>
            <w:tcBorders>
              <w:top w:val="nil"/>
              <w:left w:val="nil"/>
              <w:bottom w:val="nil"/>
              <w:right w:val="nil"/>
            </w:tcBorders>
            <w:noWrap/>
            <w:vAlign w:val="bottom"/>
            <w:hideMark/>
          </w:tcPr>
          <w:p w14:paraId="417C9CDE" w14:textId="674E06C9" w:rsidR="002E580A" w:rsidRPr="006E1709" w:rsidRDefault="00682787" w:rsidP="002E580A">
            <w:pPr>
              <w:jc w:val="right"/>
              <w:rPr>
                <w:rFonts w:ascii="Arial" w:hAnsi="Arial" w:cs="Arial"/>
                <w:b/>
                <w:sz w:val="20"/>
                <w:szCs w:val="20"/>
              </w:rPr>
            </w:pPr>
            <w:r w:rsidRPr="006E1709">
              <w:rPr>
                <w:rFonts w:ascii="Arial" w:hAnsi="Arial" w:cs="Arial"/>
                <w:b/>
                <w:sz w:val="20"/>
                <w:szCs w:val="20"/>
              </w:rPr>
              <w:t>16,0</w:t>
            </w:r>
            <w:r w:rsidR="000D65FA">
              <w:rPr>
                <w:rFonts w:ascii="Arial" w:hAnsi="Arial" w:cs="Arial"/>
                <w:b/>
                <w:sz w:val="20"/>
                <w:szCs w:val="20"/>
              </w:rPr>
              <w:t>00,410</w:t>
            </w:r>
          </w:p>
        </w:tc>
        <w:tc>
          <w:tcPr>
            <w:tcW w:w="1418" w:type="dxa"/>
            <w:tcBorders>
              <w:top w:val="nil"/>
              <w:left w:val="nil"/>
              <w:bottom w:val="nil"/>
              <w:right w:val="nil"/>
            </w:tcBorders>
            <w:noWrap/>
            <w:vAlign w:val="bottom"/>
            <w:hideMark/>
          </w:tcPr>
          <w:p w14:paraId="649AB7C1" w14:textId="66EAE40C" w:rsidR="002E580A" w:rsidRPr="006E1709" w:rsidRDefault="00682787" w:rsidP="002E580A">
            <w:pPr>
              <w:jc w:val="right"/>
              <w:rPr>
                <w:rFonts w:ascii="Arial" w:hAnsi="Arial" w:cs="Arial"/>
                <w:b/>
                <w:sz w:val="20"/>
                <w:szCs w:val="20"/>
              </w:rPr>
            </w:pPr>
            <w:r w:rsidRPr="006E1709">
              <w:rPr>
                <w:rFonts w:ascii="Arial" w:hAnsi="Arial" w:cs="Arial"/>
                <w:b/>
                <w:sz w:val="20"/>
                <w:szCs w:val="20"/>
              </w:rPr>
              <w:t>16,2</w:t>
            </w:r>
            <w:r w:rsidR="000D65FA">
              <w:rPr>
                <w:rFonts w:ascii="Arial" w:hAnsi="Arial" w:cs="Arial"/>
                <w:b/>
                <w:sz w:val="20"/>
                <w:szCs w:val="20"/>
              </w:rPr>
              <w:t>62,160</w:t>
            </w:r>
          </w:p>
        </w:tc>
        <w:tc>
          <w:tcPr>
            <w:tcW w:w="1417" w:type="dxa"/>
            <w:tcBorders>
              <w:top w:val="nil"/>
              <w:left w:val="nil"/>
              <w:bottom w:val="nil"/>
              <w:right w:val="nil"/>
            </w:tcBorders>
            <w:noWrap/>
            <w:vAlign w:val="bottom"/>
            <w:hideMark/>
          </w:tcPr>
          <w:p w14:paraId="1E884F6A" w14:textId="4AE5965B" w:rsidR="002E580A" w:rsidRPr="006E1709" w:rsidRDefault="00682787" w:rsidP="002E580A">
            <w:pPr>
              <w:jc w:val="right"/>
              <w:rPr>
                <w:rFonts w:ascii="Arial" w:hAnsi="Arial" w:cs="Arial"/>
                <w:b/>
                <w:sz w:val="20"/>
                <w:szCs w:val="20"/>
              </w:rPr>
            </w:pPr>
            <w:r w:rsidRPr="006E1709">
              <w:rPr>
                <w:rFonts w:ascii="Arial" w:hAnsi="Arial" w:cs="Arial"/>
                <w:b/>
                <w:sz w:val="20"/>
                <w:szCs w:val="20"/>
              </w:rPr>
              <w:t>16,6</w:t>
            </w:r>
            <w:r w:rsidR="000D65FA">
              <w:rPr>
                <w:rFonts w:ascii="Arial" w:hAnsi="Arial" w:cs="Arial"/>
                <w:b/>
                <w:sz w:val="20"/>
                <w:szCs w:val="20"/>
              </w:rPr>
              <w:t>58,550</w:t>
            </w:r>
          </w:p>
        </w:tc>
      </w:tr>
      <w:tr w:rsidR="00664494" w:rsidRPr="004B69EF" w14:paraId="283342AC" w14:textId="77777777" w:rsidTr="00E72656">
        <w:trPr>
          <w:trHeight w:val="29"/>
        </w:trPr>
        <w:tc>
          <w:tcPr>
            <w:tcW w:w="3663" w:type="dxa"/>
            <w:noWrap/>
            <w:vAlign w:val="bottom"/>
            <w:hideMark/>
          </w:tcPr>
          <w:p w14:paraId="43E5855A" w14:textId="77777777" w:rsidR="002E580A" w:rsidRPr="006E1709" w:rsidRDefault="002E580A" w:rsidP="002E580A">
            <w:pPr>
              <w:rPr>
                <w:rFonts w:ascii="Arial" w:hAnsi="Arial" w:cs="Arial"/>
                <w:sz w:val="20"/>
                <w:szCs w:val="20"/>
              </w:rPr>
            </w:pPr>
            <w:r w:rsidRPr="006E1709">
              <w:rPr>
                <w:rFonts w:ascii="Arial" w:hAnsi="Arial" w:cs="Arial"/>
                <w:sz w:val="20"/>
                <w:szCs w:val="20"/>
              </w:rPr>
              <w:t> </w:t>
            </w:r>
          </w:p>
        </w:tc>
        <w:tc>
          <w:tcPr>
            <w:tcW w:w="1509" w:type="dxa"/>
            <w:noWrap/>
            <w:vAlign w:val="bottom"/>
            <w:hideMark/>
          </w:tcPr>
          <w:p w14:paraId="573997A6"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7" w:type="dxa"/>
            <w:noWrap/>
            <w:vAlign w:val="bottom"/>
            <w:hideMark/>
          </w:tcPr>
          <w:p w14:paraId="577B9FDB"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342" w:type="dxa"/>
            <w:noWrap/>
            <w:vAlign w:val="bottom"/>
            <w:hideMark/>
          </w:tcPr>
          <w:p w14:paraId="3CB08B9F"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8" w:type="dxa"/>
            <w:noWrap/>
            <w:vAlign w:val="bottom"/>
            <w:hideMark/>
          </w:tcPr>
          <w:p w14:paraId="5BE91E4A"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7" w:type="dxa"/>
            <w:noWrap/>
            <w:vAlign w:val="bottom"/>
            <w:hideMark/>
          </w:tcPr>
          <w:p w14:paraId="193BDA52"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r>
      <w:tr w:rsidR="002E2A51" w:rsidRPr="004B69EF" w14:paraId="6894FD11" w14:textId="77777777" w:rsidTr="00D2667F">
        <w:trPr>
          <w:trHeight w:val="17"/>
        </w:trPr>
        <w:tc>
          <w:tcPr>
            <w:tcW w:w="3663" w:type="dxa"/>
            <w:noWrap/>
            <w:vAlign w:val="bottom"/>
            <w:hideMark/>
          </w:tcPr>
          <w:p w14:paraId="519193E1" w14:textId="77777777" w:rsidR="002E580A" w:rsidRPr="006E1709" w:rsidRDefault="002E580A" w:rsidP="002E580A">
            <w:pPr>
              <w:rPr>
                <w:rFonts w:ascii="Arial" w:hAnsi="Arial" w:cs="Arial"/>
                <w:sz w:val="20"/>
                <w:szCs w:val="20"/>
              </w:rPr>
            </w:pPr>
            <w:r w:rsidRPr="006E1709">
              <w:rPr>
                <w:rFonts w:ascii="Arial" w:hAnsi="Arial" w:cs="Arial"/>
                <w:sz w:val="20"/>
                <w:szCs w:val="20"/>
              </w:rPr>
              <w:t>Capital Accounting Adjustment</w:t>
            </w:r>
          </w:p>
        </w:tc>
        <w:tc>
          <w:tcPr>
            <w:tcW w:w="1509" w:type="dxa"/>
            <w:tcBorders>
              <w:top w:val="nil"/>
              <w:left w:val="nil"/>
              <w:right w:val="nil"/>
            </w:tcBorders>
            <w:shd w:val="clear" w:color="000000" w:fill="FFFFFF"/>
            <w:noWrap/>
            <w:vAlign w:val="bottom"/>
            <w:hideMark/>
          </w:tcPr>
          <w:p w14:paraId="58E2FEF2" w14:textId="1412E413" w:rsidR="002E580A" w:rsidRPr="006E1709" w:rsidRDefault="00D2667F" w:rsidP="002E580A">
            <w:pPr>
              <w:jc w:val="right"/>
              <w:rPr>
                <w:rFonts w:ascii="Arial" w:hAnsi="Arial" w:cs="Arial"/>
                <w:sz w:val="20"/>
                <w:szCs w:val="20"/>
                <w:lang w:eastAsia="en-GB"/>
              </w:rPr>
            </w:pPr>
            <w:r w:rsidRPr="006E1709">
              <w:rPr>
                <w:rFonts w:ascii="Arial" w:hAnsi="Arial" w:cs="Arial"/>
                <w:sz w:val="20"/>
                <w:szCs w:val="20"/>
                <w:lang w:eastAsia="en-GB"/>
              </w:rPr>
              <w:t>3,1</w:t>
            </w:r>
            <w:r w:rsidR="000D65FA">
              <w:rPr>
                <w:rFonts w:ascii="Arial" w:hAnsi="Arial" w:cs="Arial"/>
                <w:sz w:val="20"/>
                <w:szCs w:val="20"/>
                <w:lang w:eastAsia="en-GB"/>
              </w:rPr>
              <w:t>76</w:t>
            </w:r>
            <w:r>
              <w:rPr>
                <w:rFonts w:ascii="Arial" w:hAnsi="Arial" w:cs="Arial"/>
                <w:sz w:val="20"/>
                <w:szCs w:val="20"/>
                <w:lang w:eastAsia="en-GB"/>
              </w:rPr>
              <w:t>,220</w:t>
            </w:r>
          </w:p>
        </w:tc>
        <w:tc>
          <w:tcPr>
            <w:tcW w:w="1417" w:type="dxa"/>
            <w:tcBorders>
              <w:top w:val="nil"/>
              <w:left w:val="nil"/>
              <w:right w:val="nil"/>
            </w:tcBorders>
            <w:shd w:val="clear" w:color="000000" w:fill="FFFFFF"/>
            <w:noWrap/>
            <w:vAlign w:val="bottom"/>
            <w:hideMark/>
          </w:tcPr>
          <w:p w14:paraId="175B6C73" w14:textId="7CF87D4F" w:rsidR="002E580A" w:rsidRPr="006E1709" w:rsidRDefault="00D2667F" w:rsidP="002E580A">
            <w:pPr>
              <w:jc w:val="right"/>
              <w:rPr>
                <w:rFonts w:ascii="Arial" w:hAnsi="Arial" w:cs="Arial"/>
                <w:sz w:val="20"/>
                <w:szCs w:val="20"/>
                <w:lang w:eastAsia="en-GB"/>
              </w:rPr>
            </w:pPr>
            <w:r w:rsidRPr="006E1709">
              <w:rPr>
                <w:rFonts w:ascii="Arial" w:hAnsi="Arial" w:cs="Arial"/>
                <w:sz w:val="20"/>
                <w:szCs w:val="20"/>
                <w:lang w:eastAsia="en-GB"/>
              </w:rPr>
              <w:t>2,</w:t>
            </w:r>
            <w:r w:rsidR="000D65FA">
              <w:rPr>
                <w:rFonts w:ascii="Arial" w:hAnsi="Arial" w:cs="Arial"/>
                <w:sz w:val="20"/>
                <w:szCs w:val="20"/>
                <w:lang w:eastAsia="en-GB"/>
              </w:rPr>
              <w:t>200</w:t>
            </w:r>
            <w:r>
              <w:rPr>
                <w:rFonts w:ascii="Arial" w:hAnsi="Arial" w:cs="Arial"/>
                <w:sz w:val="20"/>
                <w:szCs w:val="20"/>
                <w:lang w:eastAsia="en-GB"/>
              </w:rPr>
              <w:t>,180</w:t>
            </w:r>
          </w:p>
        </w:tc>
        <w:tc>
          <w:tcPr>
            <w:tcW w:w="1342" w:type="dxa"/>
            <w:tcBorders>
              <w:top w:val="nil"/>
              <w:left w:val="nil"/>
              <w:right w:val="nil"/>
            </w:tcBorders>
            <w:shd w:val="clear" w:color="000000" w:fill="FFFFFF"/>
            <w:noWrap/>
            <w:vAlign w:val="bottom"/>
            <w:hideMark/>
          </w:tcPr>
          <w:p w14:paraId="295C25C9" w14:textId="794D6AB7" w:rsidR="002E580A" w:rsidRPr="006E1709" w:rsidRDefault="00D2667F" w:rsidP="002E580A">
            <w:pPr>
              <w:jc w:val="right"/>
              <w:rPr>
                <w:rFonts w:ascii="Arial" w:hAnsi="Arial" w:cs="Arial"/>
                <w:sz w:val="20"/>
                <w:szCs w:val="20"/>
                <w:lang w:eastAsia="en-GB"/>
              </w:rPr>
            </w:pPr>
            <w:r w:rsidRPr="006E1709">
              <w:rPr>
                <w:rFonts w:ascii="Arial" w:hAnsi="Arial" w:cs="Arial"/>
                <w:sz w:val="20"/>
                <w:szCs w:val="20"/>
                <w:lang w:eastAsia="en-GB"/>
              </w:rPr>
              <w:t>2,</w:t>
            </w:r>
            <w:r w:rsidR="000D65FA">
              <w:rPr>
                <w:rFonts w:ascii="Arial" w:hAnsi="Arial" w:cs="Arial"/>
                <w:sz w:val="20"/>
                <w:szCs w:val="20"/>
                <w:lang w:eastAsia="en-GB"/>
              </w:rPr>
              <w:t>230</w:t>
            </w:r>
            <w:r>
              <w:rPr>
                <w:rFonts w:ascii="Arial" w:hAnsi="Arial" w:cs="Arial"/>
                <w:sz w:val="20"/>
                <w:szCs w:val="20"/>
                <w:lang w:eastAsia="en-GB"/>
              </w:rPr>
              <w:t>,180</w:t>
            </w:r>
          </w:p>
        </w:tc>
        <w:tc>
          <w:tcPr>
            <w:tcW w:w="1418" w:type="dxa"/>
            <w:tcBorders>
              <w:top w:val="nil"/>
              <w:left w:val="nil"/>
              <w:right w:val="nil"/>
            </w:tcBorders>
            <w:shd w:val="clear" w:color="000000" w:fill="FFFFFF"/>
            <w:noWrap/>
            <w:vAlign w:val="bottom"/>
            <w:hideMark/>
          </w:tcPr>
          <w:p w14:paraId="4F2257BA" w14:textId="1FD0E256" w:rsidR="002E580A" w:rsidRPr="006E1709" w:rsidRDefault="00D2667F" w:rsidP="002E580A">
            <w:pPr>
              <w:jc w:val="right"/>
              <w:rPr>
                <w:rFonts w:ascii="Arial" w:hAnsi="Arial" w:cs="Arial"/>
                <w:sz w:val="20"/>
                <w:szCs w:val="20"/>
                <w:lang w:eastAsia="en-GB"/>
              </w:rPr>
            </w:pPr>
            <w:r w:rsidRPr="006E1709">
              <w:rPr>
                <w:rFonts w:ascii="Arial" w:hAnsi="Arial" w:cs="Arial"/>
                <w:sz w:val="20"/>
                <w:szCs w:val="20"/>
                <w:lang w:eastAsia="en-GB"/>
              </w:rPr>
              <w:t>2,2</w:t>
            </w:r>
            <w:r w:rsidR="000D65FA">
              <w:rPr>
                <w:rFonts w:ascii="Arial" w:hAnsi="Arial" w:cs="Arial"/>
                <w:sz w:val="20"/>
                <w:szCs w:val="20"/>
                <w:lang w:eastAsia="en-GB"/>
              </w:rPr>
              <w:t>71</w:t>
            </w:r>
            <w:r>
              <w:rPr>
                <w:rFonts w:ascii="Arial" w:hAnsi="Arial" w:cs="Arial"/>
                <w:sz w:val="20"/>
                <w:szCs w:val="20"/>
                <w:lang w:eastAsia="en-GB"/>
              </w:rPr>
              <w:t>,180</w:t>
            </w:r>
          </w:p>
        </w:tc>
        <w:tc>
          <w:tcPr>
            <w:tcW w:w="1417" w:type="dxa"/>
            <w:tcBorders>
              <w:top w:val="nil"/>
              <w:left w:val="nil"/>
            </w:tcBorders>
            <w:shd w:val="clear" w:color="000000" w:fill="FFFFFF"/>
            <w:noWrap/>
            <w:vAlign w:val="bottom"/>
            <w:hideMark/>
          </w:tcPr>
          <w:p w14:paraId="738C4DE3" w14:textId="0ADF2348" w:rsidR="002E580A" w:rsidRPr="006E1709" w:rsidRDefault="00D2667F" w:rsidP="002E580A">
            <w:pPr>
              <w:jc w:val="right"/>
              <w:rPr>
                <w:rFonts w:ascii="Arial" w:hAnsi="Arial" w:cs="Arial"/>
                <w:sz w:val="20"/>
                <w:szCs w:val="20"/>
                <w:lang w:eastAsia="en-GB"/>
              </w:rPr>
            </w:pPr>
            <w:r w:rsidRPr="006E1709">
              <w:rPr>
                <w:rFonts w:ascii="Arial" w:hAnsi="Arial" w:cs="Arial"/>
                <w:sz w:val="20"/>
                <w:szCs w:val="20"/>
                <w:lang w:eastAsia="en-GB"/>
              </w:rPr>
              <w:t>2,</w:t>
            </w:r>
            <w:r w:rsidR="000D65FA">
              <w:rPr>
                <w:rFonts w:ascii="Arial" w:hAnsi="Arial" w:cs="Arial"/>
                <w:sz w:val="20"/>
                <w:szCs w:val="20"/>
                <w:lang w:eastAsia="en-GB"/>
              </w:rPr>
              <w:t>309,380</w:t>
            </w:r>
          </w:p>
        </w:tc>
      </w:tr>
      <w:tr w:rsidR="00664494" w:rsidRPr="004B69EF" w14:paraId="43881A34" w14:textId="77777777" w:rsidTr="00E72656">
        <w:trPr>
          <w:trHeight w:val="29"/>
        </w:trPr>
        <w:tc>
          <w:tcPr>
            <w:tcW w:w="3663" w:type="dxa"/>
            <w:noWrap/>
            <w:vAlign w:val="bottom"/>
            <w:hideMark/>
          </w:tcPr>
          <w:p w14:paraId="36BD5BE7" w14:textId="77777777" w:rsidR="002E580A" w:rsidRPr="006E1709" w:rsidRDefault="002E580A" w:rsidP="002E580A">
            <w:pPr>
              <w:rPr>
                <w:rFonts w:ascii="Arial" w:hAnsi="Arial" w:cs="Arial"/>
                <w:sz w:val="20"/>
                <w:szCs w:val="20"/>
              </w:rPr>
            </w:pPr>
            <w:r w:rsidRPr="006E1709">
              <w:rPr>
                <w:rFonts w:ascii="Arial" w:hAnsi="Arial" w:cs="Arial"/>
                <w:sz w:val="20"/>
                <w:szCs w:val="20"/>
              </w:rPr>
              <w:t> </w:t>
            </w:r>
          </w:p>
        </w:tc>
        <w:tc>
          <w:tcPr>
            <w:tcW w:w="1509" w:type="dxa"/>
            <w:tcBorders>
              <w:bottom w:val="single" w:sz="4" w:space="0" w:color="auto"/>
            </w:tcBorders>
            <w:noWrap/>
            <w:vAlign w:val="bottom"/>
            <w:hideMark/>
          </w:tcPr>
          <w:p w14:paraId="197B87E2"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7" w:type="dxa"/>
            <w:tcBorders>
              <w:bottom w:val="single" w:sz="4" w:space="0" w:color="auto"/>
            </w:tcBorders>
            <w:noWrap/>
            <w:vAlign w:val="bottom"/>
            <w:hideMark/>
          </w:tcPr>
          <w:p w14:paraId="3318B036"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342" w:type="dxa"/>
            <w:tcBorders>
              <w:bottom w:val="single" w:sz="4" w:space="0" w:color="auto"/>
            </w:tcBorders>
            <w:noWrap/>
            <w:vAlign w:val="bottom"/>
            <w:hideMark/>
          </w:tcPr>
          <w:p w14:paraId="552CC98E"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8" w:type="dxa"/>
            <w:tcBorders>
              <w:bottom w:val="single" w:sz="4" w:space="0" w:color="auto"/>
            </w:tcBorders>
            <w:noWrap/>
            <w:vAlign w:val="bottom"/>
            <w:hideMark/>
          </w:tcPr>
          <w:p w14:paraId="323D206F"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7" w:type="dxa"/>
            <w:tcBorders>
              <w:bottom w:val="single" w:sz="4" w:space="0" w:color="auto"/>
            </w:tcBorders>
            <w:noWrap/>
            <w:vAlign w:val="bottom"/>
            <w:hideMark/>
          </w:tcPr>
          <w:p w14:paraId="6E11FF9D"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r>
      <w:tr w:rsidR="00CA78ED" w:rsidRPr="004B69EF" w14:paraId="089EAA06" w14:textId="77777777">
        <w:trPr>
          <w:trHeight w:val="29"/>
        </w:trPr>
        <w:tc>
          <w:tcPr>
            <w:tcW w:w="3663" w:type="dxa"/>
            <w:noWrap/>
            <w:vAlign w:val="bottom"/>
            <w:hideMark/>
          </w:tcPr>
          <w:p w14:paraId="57621395" w14:textId="77777777" w:rsidR="002E580A" w:rsidRPr="006E1709" w:rsidRDefault="002E580A" w:rsidP="002E580A">
            <w:pPr>
              <w:rPr>
                <w:rFonts w:ascii="Arial" w:hAnsi="Arial" w:cs="Arial"/>
                <w:sz w:val="20"/>
                <w:szCs w:val="20"/>
              </w:rPr>
            </w:pPr>
            <w:r w:rsidRPr="006E1709">
              <w:rPr>
                <w:rFonts w:ascii="Arial" w:hAnsi="Arial" w:cs="Arial"/>
                <w:b/>
                <w:sz w:val="20"/>
                <w:szCs w:val="20"/>
              </w:rPr>
              <w:t>Base Requirement</w:t>
            </w:r>
          </w:p>
        </w:tc>
        <w:tc>
          <w:tcPr>
            <w:tcW w:w="1509" w:type="dxa"/>
            <w:tcBorders>
              <w:top w:val="nil"/>
              <w:left w:val="nil"/>
              <w:bottom w:val="nil"/>
              <w:right w:val="nil"/>
            </w:tcBorders>
            <w:shd w:val="clear" w:color="000000" w:fill="FFFFFF"/>
            <w:noWrap/>
            <w:vAlign w:val="bottom"/>
            <w:hideMark/>
          </w:tcPr>
          <w:p w14:paraId="68961B09" w14:textId="07BA66EA" w:rsidR="002E580A" w:rsidRPr="006E1709" w:rsidRDefault="00740F4C" w:rsidP="002E580A">
            <w:pPr>
              <w:jc w:val="right"/>
              <w:rPr>
                <w:rFonts w:ascii="Arial" w:hAnsi="Arial" w:cs="Arial"/>
                <w:b/>
                <w:sz w:val="20"/>
                <w:szCs w:val="20"/>
              </w:rPr>
            </w:pPr>
            <w:r w:rsidRPr="006E1709">
              <w:rPr>
                <w:rFonts w:ascii="Arial" w:hAnsi="Arial" w:cs="Arial"/>
                <w:b/>
                <w:sz w:val="20"/>
                <w:szCs w:val="20"/>
              </w:rPr>
              <w:t>17,</w:t>
            </w:r>
            <w:r w:rsidR="000D65FA">
              <w:rPr>
                <w:rFonts w:ascii="Arial" w:hAnsi="Arial" w:cs="Arial"/>
                <w:b/>
                <w:sz w:val="20"/>
                <w:szCs w:val="20"/>
              </w:rPr>
              <w:t>707</w:t>
            </w:r>
            <w:r w:rsidR="00D63B4D">
              <w:rPr>
                <w:rFonts w:ascii="Arial" w:hAnsi="Arial" w:cs="Arial"/>
                <w:b/>
                <w:sz w:val="20"/>
                <w:szCs w:val="20"/>
              </w:rPr>
              <w:t>,380</w:t>
            </w:r>
          </w:p>
        </w:tc>
        <w:tc>
          <w:tcPr>
            <w:tcW w:w="1417" w:type="dxa"/>
            <w:tcBorders>
              <w:top w:val="nil"/>
              <w:left w:val="nil"/>
              <w:bottom w:val="nil"/>
              <w:right w:val="nil"/>
            </w:tcBorders>
            <w:shd w:val="clear" w:color="000000" w:fill="FFFFFF"/>
            <w:noWrap/>
            <w:vAlign w:val="bottom"/>
            <w:hideMark/>
          </w:tcPr>
          <w:p w14:paraId="6198154A" w14:textId="071F1757" w:rsidR="002E580A" w:rsidRPr="006E1709" w:rsidRDefault="00740F4C" w:rsidP="002E580A">
            <w:pPr>
              <w:jc w:val="right"/>
              <w:rPr>
                <w:rFonts w:ascii="Arial" w:hAnsi="Arial" w:cs="Arial"/>
                <w:b/>
                <w:sz w:val="20"/>
                <w:szCs w:val="20"/>
              </w:rPr>
            </w:pPr>
            <w:r w:rsidRPr="006E1709">
              <w:rPr>
                <w:rFonts w:ascii="Arial" w:hAnsi="Arial" w:cs="Arial"/>
                <w:b/>
                <w:sz w:val="20"/>
                <w:szCs w:val="20"/>
              </w:rPr>
              <w:t>18,0</w:t>
            </w:r>
            <w:r w:rsidR="00D63B4D">
              <w:rPr>
                <w:rFonts w:ascii="Arial" w:hAnsi="Arial" w:cs="Arial"/>
                <w:b/>
                <w:sz w:val="20"/>
                <w:szCs w:val="20"/>
              </w:rPr>
              <w:t>80,040</w:t>
            </w:r>
          </w:p>
        </w:tc>
        <w:tc>
          <w:tcPr>
            <w:tcW w:w="1342" w:type="dxa"/>
            <w:tcBorders>
              <w:top w:val="nil"/>
              <w:left w:val="nil"/>
              <w:bottom w:val="nil"/>
              <w:right w:val="nil"/>
            </w:tcBorders>
            <w:shd w:val="clear" w:color="000000" w:fill="FFFFFF"/>
            <w:noWrap/>
            <w:vAlign w:val="bottom"/>
            <w:hideMark/>
          </w:tcPr>
          <w:p w14:paraId="22759CBD" w14:textId="4F2E1EF9" w:rsidR="002E580A" w:rsidRPr="006E1709" w:rsidRDefault="00740F4C" w:rsidP="002E580A">
            <w:pPr>
              <w:jc w:val="right"/>
              <w:rPr>
                <w:rFonts w:ascii="Arial" w:hAnsi="Arial" w:cs="Arial"/>
                <w:b/>
                <w:sz w:val="20"/>
                <w:szCs w:val="20"/>
              </w:rPr>
            </w:pPr>
            <w:r w:rsidRPr="006E1709">
              <w:rPr>
                <w:rFonts w:ascii="Arial" w:hAnsi="Arial" w:cs="Arial"/>
                <w:b/>
                <w:sz w:val="20"/>
                <w:szCs w:val="20"/>
              </w:rPr>
              <w:t>18,2</w:t>
            </w:r>
            <w:r w:rsidR="00D63B4D">
              <w:rPr>
                <w:rFonts w:ascii="Arial" w:hAnsi="Arial" w:cs="Arial"/>
                <w:b/>
                <w:sz w:val="20"/>
                <w:szCs w:val="20"/>
              </w:rPr>
              <w:t>30,590</w:t>
            </w:r>
          </w:p>
        </w:tc>
        <w:tc>
          <w:tcPr>
            <w:tcW w:w="1418" w:type="dxa"/>
            <w:tcBorders>
              <w:top w:val="nil"/>
              <w:left w:val="nil"/>
              <w:bottom w:val="nil"/>
              <w:right w:val="nil"/>
            </w:tcBorders>
            <w:shd w:val="clear" w:color="000000" w:fill="FFFFFF"/>
            <w:noWrap/>
            <w:vAlign w:val="bottom"/>
            <w:hideMark/>
          </w:tcPr>
          <w:p w14:paraId="150AC4DF" w14:textId="0B8E7A3D" w:rsidR="002E580A" w:rsidRPr="006E1709" w:rsidRDefault="00740F4C" w:rsidP="002E580A">
            <w:pPr>
              <w:jc w:val="right"/>
              <w:rPr>
                <w:rFonts w:ascii="Arial" w:hAnsi="Arial" w:cs="Arial"/>
                <w:b/>
                <w:sz w:val="20"/>
                <w:szCs w:val="20"/>
              </w:rPr>
            </w:pPr>
            <w:r w:rsidRPr="006E1709">
              <w:rPr>
                <w:rFonts w:ascii="Arial" w:hAnsi="Arial" w:cs="Arial"/>
                <w:b/>
                <w:sz w:val="20"/>
                <w:szCs w:val="20"/>
              </w:rPr>
              <w:t>18,5</w:t>
            </w:r>
            <w:r w:rsidR="00D63B4D">
              <w:rPr>
                <w:rFonts w:ascii="Arial" w:hAnsi="Arial" w:cs="Arial"/>
                <w:b/>
                <w:sz w:val="20"/>
                <w:szCs w:val="20"/>
              </w:rPr>
              <w:t>33,340</w:t>
            </w:r>
          </w:p>
        </w:tc>
        <w:tc>
          <w:tcPr>
            <w:tcW w:w="1417" w:type="dxa"/>
            <w:tcBorders>
              <w:top w:val="nil"/>
              <w:left w:val="nil"/>
              <w:bottom w:val="nil"/>
              <w:right w:val="nil"/>
            </w:tcBorders>
            <w:noWrap/>
            <w:vAlign w:val="bottom"/>
            <w:hideMark/>
          </w:tcPr>
          <w:p w14:paraId="592F5A0E" w14:textId="55B5F35C" w:rsidR="002E580A" w:rsidRPr="006E1709" w:rsidRDefault="0055012F" w:rsidP="002E580A">
            <w:pPr>
              <w:jc w:val="right"/>
              <w:rPr>
                <w:rFonts w:ascii="Arial" w:hAnsi="Arial" w:cs="Arial"/>
                <w:b/>
                <w:sz w:val="20"/>
                <w:szCs w:val="20"/>
              </w:rPr>
            </w:pPr>
            <w:r w:rsidRPr="006E1709">
              <w:rPr>
                <w:rFonts w:ascii="Arial" w:hAnsi="Arial" w:cs="Arial"/>
                <w:b/>
                <w:sz w:val="20"/>
                <w:szCs w:val="20"/>
              </w:rPr>
              <w:t>18,</w:t>
            </w:r>
            <w:r w:rsidR="00D63B4D">
              <w:rPr>
                <w:rFonts w:ascii="Arial" w:hAnsi="Arial" w:cs="Arial"/>
                <w:b/>
                <w:sz w:val="20"/>
                <w:szCs w:val="20"/>
              </w:rPr>
              <w:t>967</w:t>
            </w:r>
            <w:r w:rsidR="00F065DB">
              <w:rPr>
                <w:rFonts w:ascii="Arial" w:hAnsi="Arial" w:cs="Arial"/>
                <w:b/>
                <w:sz w:val="20"/>
                <w:szCs w:val="20"/>
              </w:rPr>
              <w:t>,930</w:t>
            </w:r>
          </w:p>
        </w:tc>
      </w:tr>
      <w:tr w:rsidR="00664494" w:rsidRPr="004B69EF" w14:paraId="5F82C69E" w14:textId="77777777" w:rsidTr="00E72656">
        <w:trPr>
          <w:trHeight w:val="29"/>
        </w:trPr>
        <w:tc>
          <w:tcPr>
            <w:tcW w:w="3663" w:type="dxa"/>
            <w:noWrap/>
            <w:vAlign w:val="bottom"/>
            <w:hideMark/>
          </w:tcPr>
          <w:p w14:paraId="49ED60FA" w14:textId="77777777" w:rsidR="002E580A" w:rsidRPr="006E1709" w:rsidRDefault="002E580A" w:rsidP="002E580A">
            <w:pPr>
              <w:rPr>
                <w:rFonts w:ascii="Arial" w:hAnsi="Arial" w:cs="Arial"/>
                <w:b/>
                <w:sz w:val="20"/>
                <w:szCs w:val="20"/>
              </w:rPr>
            </w:pPr>
            <w:r w:rsidRPr="006E1709">
              <w:rPr>
                <w:rFonts w:ascii="Arial" w:hAnsi="Arial" w:cs="Arial"/>
                <w:sz w:val="20"/>
                <w:szCs w:val="20"/>
              </w:rPr>
              <w:t> </w:t>
            </w:r>
          </w:p>
        </w:tc>
        <w:tc>
          <w:tcPr>
            <w:tcW w:w="1509" w:type="dxa"/>
            <w:noWrap/>
            <w:vAlign w:val="bottom"/>
            <w:hideMark/>
          </w:tcPr>
          <w:p w14:paraId="32AE2486"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7" w:type="dxa"/>
            <w:noWrap/>
            <w:vAlign w:val="bottom"/>
            <w:hideMark/>
          </w:tcPr>
          <w:p w14:paraId="5DBBEA04"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342" w:type="dxa"/>
            <w:noWrap/>
            <w:vAlign w:val="bottom"/>
            <w:hideMark/>
          </w:tcPr>
          <w:p w14:paraId="0D0D8448"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8" w:type="dxa"/>
            <w:noWrap/>
            <w:vAlign w:val="bottom"/>
            <w:hideMark/>
          </w:tcPr>
          <w:p w14:paraId="5A98760D"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7" w:type="dxa"/>
            <w:noWrap/>
            <w:vAlign w:val="bottom"/>
            <w:hideMark/>
          </w:tcPr>
          <w:p w14:paraId="25F5BDE5"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r>
      <w:tr w:rsidR="00CA78ED" w:rsidRPr="004B69EF" w14:paraId="5F2420D3" w14:textId="77777777" w:rsidTr="004841DD">
        <w:trPr>
          <w:trHeight w:val="29"/>
        </w:trPr>
        <w:tc>
          <w:tcPr>
            <w:tcW w:w="3663" w:type="dxa"/>
            <w:tcBorders>
              <w:top w:val="nil"/>
              <w:left w:val="nil"/>
              <w:bottom w:val="nil"/>
              <w:right w:val="nil"/>
            </w:tcBorders>
            <w:noWrap/>
            <w:vAlign w:val="center"/>
            <w:hideMark/>
          </w:tcPr>
          <w:p w14:paraId="370A7FBA" w14:textId="77777777" w:rsidR="002E580A" w:rsidRPr="006E1709" w:rsidRDefault="002E580A" w:rsidP="002E580A">
            <w:pPr>
              <w:rPr>
                <w:rFonts w:ascii="Arial" w:hAnsi="Arial" w:cs="Arial"/>
                <w:sz w:val="20"/>
                <w:szCs w:val="20"/>
              </w:rPr>
            </w:pPr>
            <w:r w:rsidRPr="006E1709">
              <w:rPr>
                <w:rFonts w:ascii="Arial" w:hAnsi="Arial" w:cs="Arial"/>
                <w:sz w:val="20"/>
                <w:szCs w:val="20"/>
              </w:rPr>
              <w:t>Specific Grants</w:t>
            </w:r>
          </w:p>
        </w:tc>
        <w:tc>
          <w:tcPr>
            <w:tcW w:w="1509" w:type="dxa"/>
            <w:tcBorders>
              <w:top w:val="nil"/>
              <w:left w:val="nil"/>
              <w:right w:val="nil"/>
            </w:tcBorders>
            <w:shd w:val="clear" w:color="000000" w:fill="FFFFFF"/>
            <w:noWrap/>
            <w:vAlign w:val="bottom"/>
            <w:hideMark/>
          </w:tcPr>
          <w:p w14:paraId="28D2E4BA" w14:textId="05DA8F5F" w:rsidR="002E580A" w:rsidRPr="006E1709" w:rsidRDefault="00A80188" w:rsidP="002E580A">
            <w:pPr>
              <w:jc w:val="right"/>
              <w:rPr>
                <w:rFonts w:ascii="Arial" w:hAnsi="Arial" w:cs="Arial"/>
                <w:sz w:val="20"/>
                <w:szCs w:val="20"/>
                <w:lang w:eastAsia="en-GB"/>
              </w:rPr>
            </w:pPr>
            <w:r w:rsidRPr="006E1709">
              <w:rPr>
                <w:rFonts w:ascii="Arial" w:hAnsi="Arial" w:cs="Arial"/>
                <w:sz w:val="20"/>
                <w:szCs w:val="20"/>
                <w:lang w:eastAsia="en-GB"/>
              </w:rPr>
              <w:t>(</w:t>
            </w:r>
            <w:r w:rsidR="00D63B4D">
              <w:rPr>
                <w:rFonts w:ascii="Arial" w:hAnsi="Arial" w:cs="Arial"/>
                <w:sz w:val="20"/>
                <w:szCs w:val="20"/>
                <w:lang w:eastAsia="en-GB"/>
              </w:rPr>
              <w:t>792</w:t>
            </w:r>
            <w:r w:rsidRPr="006E1709">
              <w:rPr>
                <w:rFonts w:ascii="Arial" w:hAnsi="Arial" w:cs="Arial"/>
                <w:sz w:val="20"/>
                <w:szCs w:val="20"/>
                <w:lang w:eastAsia="en-GB"/>
              </w:rPr>
              <w:t>,</w:t>
            </w:r>
            <w:r w:rsidR="00D63B4D">
              <w:rPr>
                <w:rFonts w:ascii="Arial" w:hAnsi="Arial" w:cs="Arial"/>
                <w:sz w:val="20"/>
                <w:szCs w:val="20"/>
                <w:lang w:eastAsia="en-GB"/>
              </w:rPr>
              <w:t>99</w:t>
            </w:r>
            <w:r w:rsidRPr="006E1709">
              <w:rPr>
                <w:rFonts w:ascii="Arial" w:hAnsi="Arial" w:cs="Arial"/>
                <w:sz w:val="20"/>
                <w:szCs w:val="20"/>
                <w:lang w:eastAsia="en-GB"/>
              </w:rPr>
              <w:t>0)</w:t>
            </w:r>
          </w:p>
        </w:tc>
        <w:tc>
          <w:tcPr>
            <w:tcW w:w="1417" w:type="dxa"/>
            <w:tcBorders>
              <w:top w:val="nil"/>
              <w:left w:val="nil"/>
              <w:right w:val="nil"/>
            </w:tcBorders>
            <w:shd w:val="clear" w:color="000000" w:fill="FFFFFF"/>
            <w:noWrap/>
            <w:vAlign w:val="bottom"/>
            <w:hideMark/>
          </w:tcPr>
          <w:p w14:paraId="3D9D8B76" w14:textId="09AD757D" w:rsidR="002E580A" w:rsidRPr="006E1709" w:rsidRDefault="00A80188" w:rsidP="002E580A">
            <w:pPr>
              <w:jc w:val="right"/>
              <w:rPr>
                <w:rFonts w:ascii="Arial" w:hAnsi="Arial" w:cs="Arial"/>
                <w:sz w:val="20"/>
                <w:szCs w:val="20"/>
                <w:lang w:eastAsia="en-GB"/>
              </w:rPr>
            </w:pPr>
            <w:r w:rsidRPr="006E1709">
              <w:rPr>
                <w:rFonts w:ascii="Arial" w:hAnsi="Arial" w:cs="Arial"/>
                <w:sz w:val="20"/>
                <w:szCs w:val="20"/>
                <w:lang w:eastAsia="en-GB"/>
              </w:rPr>
              <w:t>(414,000)</w:t>
            </w:r>
          </w:p>
        </w:tc>
        <w:tc>
          <w:tcPr>
            <w:tcW w:w="1342" w:type="dxa"/>
            <w:tcBorders>
              <w:top w:val="nil"/>
              <w:left w:val="nil"/>
              <w:right w:val="nil"/>
            </w:tcBorders>
            <w:shd w:val="clear" w:color="000000" w:fill="FFFFFF"/>
            <w:noWrap/>
            <w:vAlign w:val="bottom"/>
            <w:hideMark/>
          </w:tcPr>
          <w:p w14:paraId="5FFC0A2D" w14:textId="15DE2DDA" w:rsidR="002E580A" w:rsidRPr="006E1709" w:rsidRDefault="00A80188" w:rsidP="002E580A">
            <w:pPr>
              <w:jc w:val="right"/>
              <w:rPr>
                <w:rFonts w:ascii="Arial" w:hAnsi="Arial" w:cs="Arial"/>
                <w:sz w:val="20"/>
                <w:szCs w:val="20"/>
                <w:lang w:eastAsia="en-GB"/>
              </w:rPr>
            </w:pPr>
            <w:r w:rsidRPr="006E1709">
              <w:rPr>
                <w:rFonts w:ascii="Arial" w:hAnsi="Arial" w:cs="Arial"/>
                <w:sz w:val="20"/>
                <w:szCs w:val="20"/>
                <w:lang w:eastAsia="en-GB"/>
              </w:rPr>
              <w:t>(414,000)</w:t>
            </w:r>
          </w:p>
        </w:tc>
        <w:tc>
          <w:tcPr>
            <w:tcW w:w="1418" w:type="dxa"/>
            <w:tcBorders>
              <w:top w:val="nil"/>
              <w:left w:val="nil"/>
              <w:right w:val="nil"/>
            </w:tcBorders>
            <w:shd w:val="clear" w:color="000000" w:fill="FFFFFF"/>
            <w:noWrap/>
            <w:vAlign w:val="bottom"/>
            <w:hideMark/>
          </w:tcPr>
          <w:p w14:paraId="631F5828" w14:textId="7E1A5DD0" w:rsidR="002E580A" w:rsidRPr="006E1709" w:rsidRDefault="00A80188" w:rsidP="002E580A">
            <w:pPr>
              <w:jc w:val="right"/>
              <w:rPr>
                <w:rFonts w:ascii="Arial" w:hAnsi="Arial" w:cs="Arial"/>
                <w:sz w:val="20"/>
                <w:szCs w:val="20"/>
                <w:lang w:eastAsia="en-GB"/>
              </w:rPr>
            </w:pPr>
            <w:r w:rsidRPr="006E1709">
              <w:rPr>
                <w:rFonts w:ascii="Arial" w:hAnsi="Arial" w:cs="Arial"/>
                <w:sz w:val="20"/>
                <w:szCs w:val="20"/>
                <w:lang w:eastAsia="en-GB"/>
              </w:rPr>
              <w:t>0</w:t>
            </w:r>
          </w:p>
        </w:tc>
        <w:tc>
          <w:tcPr>
            <w:tcW w:w="1417" w:type="dxa"/>
            <w:tcBorders>
              <w:top w:val="nil"/>
              <w:left w:val="nil"/>
            </w:tcBorders>
            <w:shd w:val="clear" w:color="000000" w:fill="FFFFFF"/>
            <w:noWrap/>
            <w:vAlign w:val="bottom"/>
            <w:hideMark/>
          </w:tcPr>
          <w:p w14:paraId="4485E161" w14:textId="6677E390" w:rsidR="002E580A" w:rsidRPr="006E1709" w:rsidRDefault="00A80188" w:rsidP="002E580A">
            <w:pPr>
              <w:jc w:val="right"/>
              <w:rPr>
                <w:rFonts w:ascii="Arial" w:hAnsi="Arial" w:cs="Arial"/>
                <w:sz w:val="20"/>
                <w:szCs w:val="20"/>
                <w:lang w:eastAsia="en-GB"/>
              </w:rPr>
            </w:pPr>
            <w:r w:rsidRPr="006E1709">
              <w:rPr>
                <w:rFonts w:ascii="Arial" w:hAnsi="Arial" w:cs="Arial"/>
                <w:sz w:val="20"/>
                <w:szCs w:val="20"/>
                <w:lang w:eastAsia="en-GB"/>
              </w:rPr>
              <w:t>0</w:t>
            </w:r>
          </w:p>
        </w:tc>
      </w:tr>
      <w:tr w:rsidR="00CA78ED" w:rsidRPr="004B69EF" w14:paraId="68B0262A" w14:textId="77777777" w:rsidTr="008978F9">
        <w:trPr>
          <w:trHeight w:val="29"/>
        </w:trPr>
        <w:tc>
          <w:tcPr>
            <w:tcW w:w="3663" w:type="dxa"/>
            <w:tcBorders>
              <w:top w:val="nil"/>
              <w:left w:val="nil"/>
              <w:bottom w:val="nil"/>
              <w:right w:val="nil"/>
            </w:tcBorders>
            <w:noWrap/>
            <w:vAlign w:val="center"/>
            <w:hideMark/>
          </w:tcPr>
          <w:p w14:paraId="080C2FA6" w14:textId="77777777" w:rsidR="002E580A" w:rsidRPr="006E1709" w:rsidRDefault="002E580A" w:rsidP="002E580A">
            <w:pPr>
              <w:rPr>
                <w:rFonts w:ascii="Arial" w:hAnsi="Arial" w:cs="Arial"/>
                <w:sz w:val="20"/>
                <w:szCs w:val="20"/>
              </w:rPr>
            </w:pPr>
            <w:r w:rsidRPr="006E1709">
              <w:rPr>
                <w:rFonts w:ascii="Arial" w:hAnsi="Arial" w:cs="Arial"/>
                <w:sz w:val="20"/>
                <w:szCs w:val="20"/>
              </w:rPr>
              <w:t>Contingencies</w:t>
            </w:r>
          </w:p>
        </w:tc>
        <w:tc>
          <w:tcPr>
            <w:tcW w:w="1509" w:type="dxa"/>
            <w:tcBorders>
              <w:top w:val="nil"/>
              <w:left w:val="nil"/>
              <w:right w:val="nil"/>
            </w:tcBorders>
            <w:shd w:val="clear" w:color="000000" w:fill="FFFFFF"/>
            <w:noWrap/>
            <w:vAlign w:val="bottom"/>
            <w:hideMark/>
          </w:tcPr>
          <w:p w14:paraId="568CA37C" w14:textId="57955D52" w:rsidR="002E580A" w:rsidRPr="006E1709" w:rsidRDefault="004841DD" w:rsidP="002E580A">
            <w:pPr>
              <w:jc w:val="right"/>
              <w:rPr>
                <w:rFonts w:ascii="Arial" w:hAnsi="Arial" w:cs="Arial"/>
                <w:sz w:val="20"/>
                <w:szCs w:val="20"/>
                <w:lang w:eastAsia="en-GB"/>
              </w:rPr>
            </w:pPr>
            <w:r w:rsidRPr="006E1709">
              <w:rPr>
                <w:rFonts w:ascii="Arial" w:hAnsi="Arial" w:cs="Arial"/>
                <w:sz w:val="20"/>
                <w:szCs w:val="20"/>
                <w:lang w:eastAsia="en-GB"/>
              </w:rPr>
              <w:t>(</w:t>
            </w:r>
            <w:r w:rsidR="00924D67">
              <w:rPr>
                <w:rFonts w:ascii="Arial" w:hAnsi="Arial" w:cs="Arial"/>
                <w:sz w:val="20"/>
                <w:szCs w:val="20"/>
                <w:lang w:eastAsia="en-GB"/>
              </w:rPr>
              <w:t>87,03</w:t>
            </w:r>
            <w:r w:rsidRPr="006E1709">
              <w:rPr>
                <w:rFonts w:ascii="Arial" w:hAnsi="Arial" w:cs="Arial"/>
                <w:sz w:val="20"/>
                <w:szCs w:val="20"/>
                <w:lang w:eastAsia="en-GB"/>
              </w:rPr>
              <w:t>0)</w:t>
            </w:r>
          </w:p>
        </w:tc>
        <w:tc>
          <w:tcPr>
            <w:tcW w:w="1417" w:type="dxa"/>
            <w:tcBorders>
              <w:top w:val="nil"/>
              <w:left w:val="nil"/>
              <w:right w:val="nil"/>
            </w:tcBorders>
            <w:shd w:val="clear" w:color="000000" w:fill="FFFFFF"/>
            <w:noWrap/>
            <w:vAlign w:val="bottom"/>
            <w:hideMark/>
          </w:tcPr>
          <w:p w14:paraId="6C689E04" w14:textId="2580F1FA" w:rsidR="002E580A" w:rsidRPr="006E1709" w:rsidRDefault="004841DD" w:rsidP="002E580A">
            <w:pPr>
              <w:jc w:val="right"/>
              <w:rPr>
                <w:rFonts w:ascii="Arial" w:hAnsi="Arial" w:cs="Arial"/>
                <w:sz w:val="20"/>
                <w:szCs w:val="20"/>
                <w:lang w:eastAsia="en-GB"/>
              </w:rPr>
            </w:pPr>
            <w:r w:rsidRPr="006E1709">
              <w:rPr>
                <w:rFonts w:ascii="Arial" w:hAnsi="Arial" w:cs="Arial"/>
                <w:sz w:val="20"/>
                <w:szCs w:val="20"/>
                <w:lang w:eastAsia="en-GB"/>
              </w:rPr>
              <w:t>(</w:t>
            </w:r>
            <w:r w:rsidR="00924D67">
              <w:rPr>
                <w:rFonts w:ascii="Arial" w:hAnsi="Arial" w:cs="Arial"/>
                <w:sz w:val="20"/>
                <w:szCs w:val="20"/>
                <w:lang w:eastAsia="en-GB"/>
              </w:rPr>
              <w:t>116,630</w:t>
            </w:r>
            <w:r w:rsidRPr="006E1709">
              <w:rPr>
                <w:rFonts w:ascii="Arial" w:hAnsi="Arial" w:cs="Arial"/>
                <w:sz w:val="20"/>
                <w:szCs w:val="20"/>
                <w:lang w:eastAsia="en-GB"/>
              </w:rPr>
              <w:t>)</w:t>
            </w:r>
          </w:p>
        </w:tc>
        <w:tc>
          <w:tcPr>
            <w:tcW w:w="1342" w:type="dxa"/>
            <w:tcBorders>
              <w:top w:val="nil"/>
              <w:left w:val="nil"/>
              <w:right w:val="nil"/>
            </w:tcBorders>
            <w:shd w:val="clear" w:color="000000" w:fill="FFFFFF"/>
            <w:noWrap/>
            <w:vAlign w:val="bottom"/>
            <w:hideMark/>
          </w:tcPr>
          <w:p w14:paraId="0482F4B8" w14:textId="08014675" w:rsidR="002E580A" w:rsidRPr="006E1709" w:rsidRDefault="00924D67" w:rsidP="002E580A">
            <w:pPr>
              <w:jc w:val="right"/>
              <w:rPr>
                <w:rFonts w:ascii="Arial" w:hAnsi="Arial" w:cs="Arial"/>
                <w:sz w:val="20"/>
                <w:szCs w:val="20"/>
                <w:lang w:eastAsia="en-GB"/>
              </w:rPr>
            </w:pPr>
            <w:r>
              <w:rPr>
                <w:rFonts w:ascii="Arial" w:hAnsi="Arial" w:cs="Arial"/>
                <w:sz w:val="20"/>
                <w:szCs w:val="20"/>
                <w:lang w:eastAsia="en-GB"/>
              </w:rPr>
              <w:t>24,990</w:t>
            </w:r>
          </w:p>
        </w:tc>
        <w:tc>
          <w:tcPr>
            <w:tcW w:w="1418" w:type="dxa"/>
            <w:tcBorders>
              <w:top w:val="nil"/>
              <w:left w:val="nil"/>
              <w:right w:val="nil"/>
            </w:tcBorders>
            <w:shd w:val="clear" w:color="000000" w:fill="FFFFFF"/>
            <w:noWrap/>
            <w:vAlign w:val="bottom"/>
            <w:hideMark/>
          </w:tcPr>
          <w:p w14:paraId="2EF2F4A9" w14:textId="38DD0C00" w:rsidR="002E580A" w:rsidRPr="006E1709" w:rsidRDefault="00924D67" w:rsidP="002E580A">
            <w:pPr>
              <w:jc w:val="right"/>
              <w:rPr>
                <w:rFonts w:ascii="Arial" w:hAnsi="Arial" w:cs="Arial"/>
                <w:sz w:val="20"/>
                <w:szCs w:val="20"/>
                <w:lang w:eastAsia="en-GB"/>
              </w:rPr>
            </w:pPr>
            <w:r>
              <w:rPr>
                <w:rFonts w:ascii="Arial" w:hAnsi="Arial" w:cs="Arial"/>
                <w:sz w:val="20"/>
                <w:szCs w:val="20"/>
                <w:lang w:eastAsia="en-GB"/>
              </w:rPr>
              <w:t>261,080</w:t>
            </w:r>
          </w:p>
        </w:tc>
        <w:tc>
          <w:tcPr>
            <w:tcW w:w="1417" w:type="dxa"/>
            <w:tcBorders>
              <w:top w:val="nil"/>
              <w:left w:val="nil"/>
            </w:tcBorders>
            <w:shd w:val="clear" w:color="000000" w:fill="FFFFFF"/>
            <w:noWrap/>
            <w:vAlign w:val="bottom"/>
            <w:hideMark/>
          </w:tcPr>
          <w:p w14:paraId="39A0CB9D" w14:textId="5B2D7681" w:rsidR="002E580A" w:rsidRPr="006E1709" w:rsidRDefault="00924D67" w:rsidP="002E580A">
            <w:pPr>
              <w:jc w:val="right"/>
              <w:rPr>
                <w:rFonts w:ascii="Arial" w:hAnsi="Arial" w:cs="Arial"/>
                <w:sz w:val="20"/>
                <w:szCs w:val="20"/>
                <w:lang w:eastAsia="en-GB"/>
              </w:rPr>
            </w:pPr>
            <w:r>
              <w:rPr>
                <w:rFonts w:ascii="Arial" w:hAnsi="Arial" w:cs="Arial"/>
                <w:sz w:val="20"/>
                <w:szCs w:val="20"/>
                <w:lang w:eastAsia="en-GB"/>
              </w:rPr>
              <w:t>283,880</w:t>
            </w:r>
          </w:p>
        </w:tc>
      </w:tr>
      <w:tr w:rsidR="00CA78ED" w:rsidRPr="004B69EF" w14:paraId="3B5DA866" w14:textId="77777777" w:rsidTr="005D2CB8">
        <w:trPr>
          <w:trHeight w:val="25"/>
        </w:trPr>
        <w:tc>
          <w:tcPr>
            <w:tcW w:w="3663" w:type="dxa"/>
            <w:tcBorders>
              <w:top w:val="nil"/>
              <w:left w:val="nil"/>
              <w:bottom w:val="nil"/>
              <w:right w:val="nil"/>
            </w:tcBorders>
            <w:noWrap/>
            <w:vAlign w:val="center"/>
            <w:hideMark/>
          </w:tcPr>
          <w:p w14:paraId="48B51B2F" w14:textId="77777777" w:rsidR="002E580A" w:rsidRPr="006E1709" w:rsidRDefault="002E580A" w:rsidP="002E580A">
            <w:pPr>
              <w:rPr>
                <w:rFonts w:ascii="Arial" w:hAnsi="Arial" w:cs="Arial"/>
                <w:sz w:val="20"/>
                <w:szCs w:val="20"/>
              </w:rPr>
            </w:pPr>
            <w:r w:rsidRPr="006E1709">
              <w:rPr>
                <w:rFonts w:ascii="Arial" w:hAnsi="Arial" w:cs="Arial"/>
                <w:sz w:val="20"/>
                <w:szCs w:val="20"/>
              </w:rPr>
              <w:t>Savings Targets</w:t>
            </w:r>
          </w:p>
        </w:tc>
        <w:tc>
          <w:tcPr>
            <w:tcW w:w="1509" w:type="dxa"/>
            <w:tcBorders>
              <w:top w:val="nil"/>
              <w:left w:val="nil"/>
              <w:right w:val="nil"/>
            </w:tcBorders>
            <w:shd w:val="clear" w:color="000000" w:fill="FFFFFF"/>
            <w:noWrap/>
            <w:vAlign w:val="bottom"/>
            <w:hideMark/>
          </w:tcPr>
          <w:p w14:paraId="66E0B290" w14:textId="19394E19" w:rsidR="002E580A" w:rsidRPr="006E1709" w:rsidRDefault="008978F9" w:rsidP="002E580A">
            <w:pPr>
              <w:jc w:val="right"/>
              <w:rPr>
                <w:rFonts w:ascii="Arial" w:hAnsi="Arial" w:cs="Arial"/>
                <w:sz w:val="20"/>
                <w:szCs w:val="20"/>
                <w:lang w:eastAsia="en-GB"/>
              </w:rPr>
            </w:pPr>
            <w:r w:rsidRPr="006E1709">
              <w:rPr>
                <w:rFonts w:ascii="Arial" w:hAnsi="Arial" w:cs="Arial"/>
                <w:sz w:val="20"/>
                <w:szCs w:val="20"/>
                <w:lang w:eastAsia="en-GB"/>
              </w:rPr>
              <w:t>0</w:t>
            </w:r>
          </w:p>
        </w:tc>
        <w:tc>
          <w:tcPr>
            <w:tcW w:w="1417" w:type="dxa"/>
            <w:tcBorders>
              <w:top w:val="nil"/>
              <w:left w:val="nil"/>
              <w:right w:val="nil"/>
            </w:tcBorders>
            <w:shd w:val="clear" w:color="000000" w:fill="FFFFFF"/>
            <w:noWrap/>
            <w:vAlign w:val="bottom"/>
            <w:hideMark/>
          </w:tcPr>
          <w:p w14:paraId="552F2C02" w14:textId="340594CC" w:rsidR="002E580A" w:rsidRPr="006E1709" w:rsidRDefault="008978F9" w:rsidP="002E580A">
            <w:pPr>
              <w:jc w:val="right"/>
              <w:rPr>
                <w:rFonts w:ascii="Arial" w:hAnsi="Arial" w:cs="Arial"/>
                <w:sz w:val="20"/>
                <w:szCs w:val="20"/>
                <w:lang w:eastAsia="en-GB"/>
              </w:rPr>
            </w:pPr>
            <w:r w:rsidRPr="006E1709">
              <w:rPr>
                <w:rFonts w:ascii="Arial" w:hAnsi="Arial" w:cs="Arial"/>
                <w:sz w:val="20"/>
                <w:szCs w:val="20"/>
                <w:lang w:eastAsia="en-GB"/>
              </w:rPr>
              <w:t>0</w:t>
            </w:r>
          </w:p>
        </w:tc>
        <w:tc>
          <w:tcPr>
            <w:tcW w:w="1342" w:type="dxa"/>
            <w:tcBorders>
              <w:top w:val="nil"/>
              <w:left w:val="nil"/>
              <w:right w:val="nil"/>
            </w:tcBorders>
            <w:shd w:val="clear" w:color="000000" w:fill="FFFFFF"/>
            <w:noWrap/>
            <w:vAlign w:val="bottom"/>
            <w:hideMark/>
          </w:tcPr>
          <w:p w14:paraId="0DB81F92" w14:textId="4D2DFE14" w:rsidR="002E580A" w:rsidRPr="006E1709" w:rsidRDefault="008978F9" w:rsidP="002E580A">
            <w:pPr>
              <w:jc w:val="right"/>
              <w:rPr>
                <w:rFonts w:ascii="Arial" w:hAnsi="Arial" w:cs="Arial"/>
                <w:sz w:val="20"/>
                <w:szCs w:val="20"/>
                <w:lang w:eastAsia="en-GB"/>
              </w:rPr>
            </w:pPr>
            <w:r w:rsidRPr="006E1709">
              <w:rPr>
                <w:rFonts w:ascii="Arial" w:hAnsi="Arial" w:cs="Arial"/>
                <w:sz w:val="20"/>
                <w:szCs w:val="20"/>
                <w:lang w:eastAsia="en-GB"/>
              </w:rPr>
              <w:t>0</w:t>
            </w:r>
          </w:p>
        </w:tc>
        <w:tc>
          <w:tcPr>
            <w:tcW w:w="1418" w:type="dxa"/>
            <w:tcBorders>
              <w:top w:val="nil"/>
              <w:left w:val="nil"/>
              <w:right w:val="nil"/>
            </w:tcBorders>
            <w:shd w:val="clear" w:color="000000" w:fill="FFFFFF"/>
            <w:noWrap/>
            <w:vAlign w:val="bottom"/>
            <w:hideMark/>
          </w:tcPr>
          <w:p w14:paraId="6B9FEB85" w14:textId="5CDE5B9F" w:rsidR="002E580A" w:rsidRPr="006E1709" w:rsidRDefault="008978F9" w:rsidP="002E580A">
            <w:pPr>
              <w:jc w:val="right"/>
              <w:rPr>
                <w:rFonts w:ascii="Arial" w:hAnsi="Arial" w:cs="Arial"/>
                <w:sz w:val="20"/>
                <w:szCs w:val="20"/>
                <w:lang w:eastAsia="en-GB"/>
              </w:rPr>
            </w:pPr>
            <w:r w:rsidRPr="006E1709">
              <w:rPr>
                <w:rFonts w:ascii="Arial" w:hAnsi="Arial" w:cs="Arial"/>
                <w:sz w:val="20"/>
                <w:szCs w:val="20"/>
                <w:lang w:eastAsia="en-GB"/>
              </w:rPr>
              <w:t>0</w:t>
            </w:r>
          </w:p>
        </w:tc>
        <w:tc>
          <w:tcPr>
            <w:tcW w:w="1417" w:type="dxa"/>
            <w:tcBorders>
              <w:top w:val="nil"/>
              <w:left w:val="nil"/>
            </w:tcBorders>
            <w:shd w:val="clear" w:color="000000" w:fill="FFFFFF"/>
            <w:noWrap/>
            <w:vAlign w:val="bottom"/>
            <w:hideMark/>
          </w:tcPr>
          <w:p w14:paraId="711B3218" w14:textId="641118C9" w:rsidR="002E580A" w:rsidRPr="006E1709" w:rsidRDefault="008978F9" w:rsidP="002E580A">
            <w:pPr>
              <w:jc w:val="right"/>
              <w:rPr>
                <w:rFonts w:ascii="Arial" w:hAnsi="Arial" w:cs="Arial"/>
                <w:sz w:val="20"/>
                <w:szCs w:val="20"/>
                <w:lang w:eastAsia="en-GB"/>
              </w:rPr>
            </w:pPr>
            <w:r w:rsidRPr="006E1709">
              <w:rPr>
                <w:rFonts w:ascii="Arial" w:hAnsi="Arial" w:cs="Arial"/>
                <w:sz w:val="20"/>
                <w:szCs w:val="20"/>
                <w:lang w:eastAsia="en-GB"/>
              </w:rPr>
              <w:t>0</w:t>
            </w:r>
          </w:p>
        </w:tc>
      </w:tr>
      <w:tr w:rsidR="002E2A51" w:rsidRPr="004B69EF" w14:paraId="192FA025" w14:textId="77777777" w:rsidTr="005D2CB8">
        <w:trPr>
          <w:trHeight w:val="25"/>
        </w:trPr>
        <w:tc>
          <w:tcPr>
            <w:tcW w:w="3663" w:type="dxa"/>
            <w:tcBorders>
              <w:top w:val="nil"/>
              <w:left w:val="nil"/>
              <w:bottom w:val="nil"/>
              <w:right w:val="nil"/>
            </w:tcBorders>
            <w:noWrap/>
            <w:vAlign w:val="center"/>
            <w:hideMark/>
          </w:tcPr>
          <w:p w14:paraId="13121744" w14:textId="77777777" w:rsidR="002E580A" w:rsidRPr="006E1709" w:rsidRDefault="002E580A" w:rsidP="002E580A">
            <w:pPr>
              <w:rPr>
                <w:rFonts w:ascii="Arial" w:hAnsi="Arial" w:cs="Arial"/>
                <w:sz w:val="20"/>
                <w:szCs w:val="20"/>
              </w:rPr>
            </w:pPr>
            <w:r w:rsidRPr="006E1709">
              <w:rPr>
                <w:rFonts w:ascii="Arial" w:hAnsi="Arial" w:cs="Arial"/>
                <w:sz w:val="20"/>
                <w:szCs w:val="20"/>
              </w:rPr>
              <w:t>Transfers to/(from) earmarked reserves</w:t>
            </w:r>
          </w:p>
        </w:tc>
        <w:tc>
          <w:tcPr>
            <w:tcW w:w="1509" w:type="dxa"/>
            <w:tcBorders>
              <w:top w:val="nil"/>
              <w:left w:val="nil"/>
              <w:bottom w:val="nil"/>
              <w:right w:val="nil"/>
            </w:tcBorders>
            <w:shd w:val="clear" w:color="000000" w:fill="FFFFFF"/>
            <w:noWrap/>
            <w:vAlign w:val="bottom"/>
            <w:hideMark/>
          </w:tcPr>
          <w:p w14:paraId="381346BF" w14:textId="74EAD1F9" w:rsidR="002E580A" w:rsidRPr="006E1709" w:rsidRDefault="005D2CB8" w:rsidP="002E580A">
            <w:pPr>
              <w:jc w:val="right"/>
              <w:rPr>
                <w:rFonts w:ascii="Arial" w:hAnsi="Arial" w:cs="Arial"/>
                <w:sz w:val="20"/>
                <w:szCs w:val="20"/>
                <w:lang w:eastAsia="en-GB"/>
              </w:rPr>
            </w:pPr>
            <w:r w:rsidRPr="006E1709">
              <w:rPr>
                <w:rFonts w:ascii="Arial" w:hAnsi="Arial" w:cs="Arial"/>
                <w:sz w:val="20"/>
                <w:szCs w:val="20"/>
                <w:lang w:eastAsia="en-GB"/>
              </w:rPr>
              <w:t>(</w:t>
            </w:r>
            <w:r w:rsidR="00924D67">
              <w:rPr>
                <w:rFonts w:ascii="Arial" w:hAnsi="Arial" w:cs="Arial"/>
                <w:sz w:val="20"/>
                <w:szCs w:val="20"/>
                <w:lang w:eastAsia="en-GB"/>
              </w:rPr>
              <w:t>287,25</w:t>
            </w:r>
            <w:r w:rsidRPr="006E1709">
              <w:rPr>
                <w:rFonts w:ascii="Arial" w:hAnsi="Arial" w:cs="Arial"/>
                <w:sz w:val="20"/>
                <w:szCs w:val="20"/>
                <w:lang w:eastAsia="en-GB"/>
              </w:rPr>
              <w:t>0)</w:t>
            </w:r>
          </w:p>
        </w:tc>
        <w:tc>
          <w:tcPr>
            <w:tcW w:w="1417" w:type="dxa"/>
            <w:tcBorders>
              <w:top w:val="nil"/>
              <w:left w:val="nil"/>
              <w:bottom w:val="nil"/>
              <w:right w:val="nil"/>
            </w:tcBorders>
            <w:shd w:val="clear" w:color="000000" w:fill="FFFFFF"/>
            <w:noWrap/>
            <w:vAlign w:val="bottom"/>
            <w:hideMark/>
          </w:tcPr>
          <w:p w14:paraId="568DEC52" w14:textId="5DF5B42E" w:rsidR="002E580A" w:rsidRPr="006E1709" w:rsidRDefault="00E53545" w:rsidP="002E580A">
            <w:pPr>
              <w:jc w:val="right"/>
              <w:rPr>
                <w:rFonts w:ascii="Arial" w:hAnsi="Arial" w:cs="Arial"/>
                <w:sz w:val="20"/>
                <w:szCs w:val="20"/>
                <w:lang w:eastAsia="en-GB"/>
              </w:rPr>
            </w:pPr>
            <w:r>
              <w:rPr>
                <w:rFonts w:ascii="Arial" w:hAnsi="Arial" w:cs="Arial"/>
                <w:sz w:val="20"/>
                <w:szCs w:val="20"/>
                <w:lang w:eastAsia="en-GB"/>
              </w:rPr>
              <w:t>527,740</w:t>
            </w:r>
          </w:p>
        </w:tc>
        <w:tc>
          <w:tcPr>
            <w:tcW w:w="1342" w:type="dxa"/>
            <w:tcBorders>
              <w:top w:val="nil"/>
              <w:left w:val="nil"/>
              <w:bottom w:val="nil"/>
              <w:right w:val="nil"/>
            </w:tcBorders>
            <w:shd w:val="clear" w:color="000000" w:fill="FFFFFF"/>
            <w:noWrap/>
            <w:vAlign w:val="bottom"/>
            <w:hideMark/>
          </w:tcPr>
          <w:p w14:paraId="1DAFE4F3" w14:textId="3DE30A2A" w:rsidR="002E580A" w:rsidRPr="006E1709" w:rsidRDefault="00E53545" w:rsidP="002E580A">
            <w:pPr>
              <w:jc w:val="right"/>
              <w:rPr>
                <w:rFonts w:ascii="Arial" w:hAnsi="Arial" w:cs="Arial"/>
                <w:sz w:val="20"/>
                <w:szCs w:val="20"/>
                <w:lang w:eastAsia="en-GB"/>
              </w:rPr>
            </w:pPr>
            <w:r>
              <w:rPr>
                <w:rFonts w:ascii="Arial" w:hAnsi="Arial" w:cs="Arial"/>
                <w:sz w:val="20"/>
                <w:szCs w:val="20"/>
                <w:lang w:eastAsia="en-GB"/>
              </w:rPr>
              <w:t>187,390</w:t>
            </w:r>
          </w:p>
        </w:tc>
        <w:tc>
          <w:tcPr>
            <w:tcW w:w="1418" w:type="dxa"/>
            <w:tcBorders>
              <w:top w:val="nil"/>
              <w:left w:val="nil"/>
              <w:bottom w:val="nil"/>
              <w:right w:val="nil"/>
            </w:tcBorders>
            <w:shd w:val="clear" w:color="000000" w:fill="FFFFFF"/>
            <w:noWrap/>
            <w:vAlign w:val="bottom"/>
            <w:hideMark/>
          </w:tcPr>
          <w:p w14:paraId="7FEF0BF9" w14:textId="34D1500D" w:rsidR="002E580A" w:rsidRPr="006E1709" w:rsidRDefault="005D2CB8" w:rsidP="002E580A">
            <w:pPr>
              <w:jc w:val="right"/>
              <w:rPr>
                <w:rFonts w:ascii="Arial" w:hAnsi="Arial" w:cs="Arial"/>
                <w:sz w:val="20"/>
                <w:szCs w:val="20"/>
                <w:lang w:eastAsia="en-GB"/>
              </w:rPr>
            </w:pPr>
            <w:r>
              <w:rPr>
                <w:rFonts w:ascii="Arial" w:hAnsi="Arial" w:cs="Arial"/>
                <w:sz w:val="20"/>
                <w:szCs w:val="20"/>
                <w:lang w:eastAsia="en-GB"/>
              </w:rPr>
              <w:t>110</w:t>
            </w:r>
            <w:r w:rsidR="00E53545">
              <w:rPr>
                <w:rFonts w:ascii="Arial" w:hAnsi="Arial" w:cs="Arial"/>
                <w:sz w:val="20"/>
                <w:szCs w:val="20"/>
                <w:lang w:eastAsia="en-GB"/>
              </w:rPr>
              <w:t>,750</w:t>
            </w:r>
          </w:p>
        </w:tc>
        <w:tc>
          <w:tcPr>
            <w:tcW w:w="1417" w:type="dxa"/>
            <w:tcBorders>
              <w:top w:val="nil"/>
              <w:left w:val="nil"/>
              <w:bottom w:val="nil"/>
            </w:tcBorders>
            <w:shd w:val="clear" w:color="000000" w:fill="FFFFFF"/>
            <w:noWrap/>
            <w:vAlign w:val="bottom"/>
            <w:hideMark/>
          </w:tcPr>
          <w:p w14:paraId="10AB5D86" w14:textId="4CFD2D38" w:rsidR="002E580A" w:rsidRPr="006E1709" w:rsidRDefault="00E53545" w:rsidP="002E580A">
            <w:pPr>
              <w:jc w:val="right"/>
              <w:rPr>
                <w:rFonts w:ascii="Arial" w:hAnsi="Arial" w:cs="Arial"/>
                <w:sz w:val="20"/>
                <w:szCs w:val="20"/>
                <w:lang w:eastAsia="en-GB"/>
              </w:rPr>
            </w:pPr>
            <w:r>
              <w:rPr>
                <w:rFonts w:ascii="Arial" w:hAnsi="Arial" w:cs="Arial"/>
                <w:sz w:val="20"/>
                <w:szCs w:val="20"/>
                <w:lang w:eastAsia="en-GB"/>
              </w:rPr>
              <w:t>177,410</w:t>
            </w:r>
          </w:p>
        </w:tc>
      </w:tr>
      <w:tr w:rsidR="002E2A51" w:rsidRPr="004B69EF" w14:paraId="38E74620" w14:textId="77777777" w:rsidTr="00E72656">
        <w:trPr>
          <w:trHeight w:val="25"/>
        </w:trPr>
        <w:tc>
          <w:tcPr>
            <w:tcW w:w="3663" w:type="dxa"/>
            <w:tcBorders>
              <w:top w:val="nil"/>
              <w:left w:val="nil"/>
              <w:bottom w:val="nil"/>
              <w:right w:val="nil"/>
            </w:tcBorders>
            <w:noWrap/>
            <w:vAlign w:val="center"/>
            <w:hideMark/>
          </w:tcPr>
          <w:p w14:paraId="531F6356" w14:textId="77777777" w:rsidR="002E580A" w:rsidRPr="006E1709" w:rsidRDefault="002E580A" w:rsidP="002E580A">
            <w:pPr>
              <w:rPr>
                <w:rFonts w:ascii="Arial" w:hAnsi="Arial" w:cs="Arial"/>
                <w:sz w:val="20"/>
                <w:szCs w:val="20"/>
              </w:rPr>
            </w:pPr>
            <w:r w:rsidRPr="006E1709">
              <w:rPr>
                <w:rFonts w:ascii="Arial" w:hAnsi="Arial" w:cs="Arial"/>
                <w:sz w:val="20"/>
                <w:szCs w:val="20"/>
              </w:rPr>
              <w:t>Transfers to/(from) insurance reserve</w:t>
            </w:r>
          </w:p>
        </w:tc>
        <w:tc>
          <w:tcPr>
            <w:tcW w:w="1509" w:type="dxa"/>
            <w:tcBorders>
              <w:top w:val="nil"/>
              <w:left w:val="nil"/>
              <w:bottom w:val="single" w:sz="4" w:space="0" w:color="auto"/>
              <w:right w:val="nil"/>
            </w:tcBorders>
            <w:noWrap/>
            <w:vAlign w:val="bottom"/>
            <w:hideMark/>
          </w:tcPr>
          <w:p w14:paraId="7632C769" w14:textId="20F416CC" w:rsidR="002E580A" w:rsidRPr="006E1709" w:rsidRDefault="005D2CB8" w:rsidP="002E580A">
            <w:pPr>
              <w:jc w:val="right"/>
              <w:rPr>
                <w:rFonts w:ascii="Arial" w:hAnsi="Arial" w:cs="Arial"/>
                <w:sz w:val="20"/>
                <w:szCs w:val="20"/>
                <w:lang w:eastAsia="en-GB"/>
              </w:rPr>
            </w:pPr>
            <w:r w:rsidRPr="006E1709">
              <w:rPr>
                <w:rFonts w:ascii="Arial" w:hAnsi="Arial" w:cs="Arial"/>
                <w:sz w:val="20"/>
                <w:szCs w:val="20"/>
                <w:lang w:eastAsia="en-GB"/>
              </w:rPr>
              <w:t>26,180</w:t>
            </w:r>
          </w:p>
        </w:tc>
        <w:tc>
          <w:tcPr>
            <w:tcW w:w="1417" w:type="dxa"/>
            <w:tcBorders>
              <w:top w:val="nil"/>
              <w:left w:val="nil"/>
              <w:bottom w:val="single" w:sz="4" w:space="0" w:color="auto"/>
              <w:right w:val="nil"/>
            </w:tcBorders>
            <w:noWrap/>
            <w:vAlign w:val="bottom"/>
            <w:hideMark/>
          </w:tcPr>
          <w:p w14:paraId="1518F9F0" w14:textId="5A6A6854" w:rsidR="002E580A" w:rsidRPr="006E1709" w:rsidRDefault="005D2CB8" w:rsidP="002E580A">
            <w:pPr>
              <w:jc w:val="right"/>
              <w:rPr>
                <w:rFonts w:ascii="Arial" w:hAnsi="Arial" w:cs="Arial"/>
                <w:sz w:val="20"/>
                <w:szCs w:val="20"/>
              </w:rPr>
            </w:pPr>
            <w:r w:rsidRPr="006E1709">
              <w:rPr>
                <w:rFonts w:ascii="Arial" w:hAnsi="Arial" w:cs="Arial"/>
                <w:sz w:val="20"/>
                <w:szCs w:val="20"/>
              </w:rPr>
              <w:t>35,060</w:t>
            </w:r>
          </w:p>
        </w:tc>
        <w:tc>
          <w:tcPr>
            <w:tcW w:w="1342" w:type="dxa"/>
            <w:tcBorders>
              <w:top w:val="nil"/>
              <w:left w:val="nil"/>
              <w:bottom w:val="single" w:sz="4" w:space="0" w:color="auto"/>
              <w:right w:val="nil"/>
            </w:tcBorders>
            <w:noWrap/>
            <w:vAlign w:val="bottom"/>
            <w:hideMark/>
          </w:tcPr>
          <w:p w14:paraId="7A392A26" w14:textId="69732EFE" w:rsidR="002E580A" w:rsidRPr="006E1709" w:rsidRDefault="005D2CB8" w:rsidP="002E580A">
            <w:pPr>
              <w:jc w:val="right"/>
              <w:rPr>
                <w:rFonts w:ascii="Arial" w:hAnsi="Arial" w:cs="Arial"/>
                <w:sz w:val="20"/>
                <w:szCs w:val="20"/>
              </w:rPr>
            </w:pPr>
            <w:r w:rsidRPr="006E1709">
              <w:rPr>
                <w:rFonts w:ascii="Arial" w:hAnsi="Arial" w:cs="Arial"/>
                <w:sz w:val="20"/>
                <w:szCs w:val="20"/>
              </w:rPr>
              <w:t>590</w:t>
            </w:r>
          </w:p>
        </w:tc>
        <w:tc>
          <w:tcPr>
            <w:tcW w:w="1418" w:type="dxa"/>
            <w:tcBorders>
              <w:top w:val="nil"/>
              <w:left w:val="nil"/>
              <w:bottom w:val="single" w:sz="4" w:space="0" w:color="auto"/>
              <w:right w:val="nil"/>
            </w:tcBorders>
            <w:noWrap/>
            <w:vAlign w:val="bottom"/>
            <w:hideMark/>
          </w:tcPr>
          <w:p w14:paraId="7E12FC52" w14:textId="2D6C4358" w:rsidR="002E580A" w:rsidRPr="006E1709" w:rsidRDefault="005D2CB8" w:rsidP="002E580A">
            <w:pPr>
              <w:jc w:val="right"/>
              <w:rPr>
                <w:rFonts w:ascii="Arial" w:hAnsi="Arial" w:cs="Arial"/>
                <w:sz w:val="20"/>
                <w:szCs w:val="20"/>
              </w:rPr>
            </w:pPr>
            <w:r w:rsidRPr="006E1709">
              <w:rPr>
                <w:rFonts w:ascii="Arial" w:hAnsi="Arial" w:cs="Arial"/>
                <w:sz w:val="20"/>
                <w:szCs w:val="20"/>
              </w:rPr>
              <w:t>15,300</w:t>
            </w:r>
          </w:p>
        </w:tc>
        <w:tc>
          <w:tcPr>
            <w:tcW w:w="1417" w:type="dxa"/>
            <w:tcBorders>
              <w:top w:val="nil"/>
              <w:left w:val="nil"/>
              <w:bottom w:val="single" w:sz="4" w:space="0" w:color="auto"/>
              <w:right w:val="nil"/>
            </w:tcBorders>
            <w:noWrap/>
            <w:vAlign w:val="bottom"/>
            <w:hideMark/>
          </w:tcPr>
          <w:p w14:paraId="3966D432" w14:textId="22DCADC2" w:rsidR="002E580A" w:rsidRPr="006E1709" w:rsidRDefault="00CD0CB7" w:rsidP="002E580A">
            <w:pPr>
              <w:jc w:val="right"/>
              <w:rPr>
                <w:rFonts w:ascii="Arial" w:hAnsi="Arial" w:cs="Arial"/>
                <w:sz w:val="20"/>
                <w:szCs w:val="20"/>
              </w:rPr>
            </w:pPr>
            <w:r w:rsidRPr="006E1709">
              <w:rPr>
                <w:rFonts w:ascii="Arial" w:hAnsi="Arial" w:cs="Arial"/>
                <w:sz w:val="20"/>
                <w:szCs w:val="20"/>
              </w:rPr>
              <w:t>(</w:t>
            </w:r>
            <w:r w:rsidR="005D2CB8" w:rsidRPr="006E1709">
              <w:rPr>
                <w:rFonts w:ascii="Arial" w:hAnsi="Arial" w:cs="Arial"/>
                <w:sz w:val="20"/>
                <w:szCs w:val="20"/>
              </w:rPr>
              <w:t>7,290</w:t>
            </w:r>
            <w:r w:rsidRPr="006E1709">
              <w:rPr>
                <w:rFonts w:ascii="Arial" w:hAnsi="Arial" w:cs="Arial"/>
                <w:sz w:val="20"/>
                <w:szCs w:val="20"/>
              </w:rPr>
              <w:t>)</w:t>
            </w:r>
          </w:p>
        </w:tc>
      </w:tr>
      <w:tr w:rsidR="00CA78ED" w:rsidRPr="004B69EF" w14:paraId="75EDCAF0" w14:textId="77777777" w:rsidTr="00E72656">
        <w:trPr>
          <w:trHeight w:val="29"/>
        </w:trPr>
        <w:tc>
          <w:tcPr>
            <w:tcW w:w="3663" w:type="dxa"/>
            <w:tcBorders>
              <w:top w:val="nil"/>
              <w:left w:val="nil"/>
              <w:bottom w:val="nil"/>
              <w:right w:val="nil"/>
            </w:tcBorders>
            <w:noWrap/>
            <w:vAlign w:val="center"/>
            <w:hideMark/>
          </w:tcPr>
          <w:p w14:paraId="1B7A09CD" w14:textId="77777777" w:rsidR="002E580A" w:rsidRPr="006E1709" w:rsidRDefault="002E580A" w:rsidP="002E580A">
            <w:pPr>
              <w:rPr>
                <w:rFonts w:ascii="Arial" w:hAnsi="Arial" w:cs="Arial"/>
                <w:b/>
                <w:sz w:val="20"/>
                <w:szCs w:val="20"/>
              </w:rPr>
            </w:pPr>
            <w:r w:rsidRPr="006E1709">
              <w:rPr>
                <w:rFonts w:ascii="Arial" w:hAnsi="Arial" w:cs="Arial"/>
                <w:b/>
                <w:sz w:val="20"/>
                <w:szCs w:val="20"/>
              </w:rPr>
              <w:t>Total Budget</w:t>
            </w:r>
          </w:p>
        </w:tc>
        <w:tc>
          <w:tcPr>
            <w:tcW w:w="1509" w:type="dxa"/>
            <w:tcBorders>
              <w:top w:val="nil"/>
              <w:left w:val="nil"/>
              <w:bottom w:val="nil"/>
              <w:right w:val="nil"/>
            </w:tcBorders>
            <w:noWrap/>
            <w:vAlign w:val="bottom"/>
            <w:hideMark/>
          </w:tcPr>
          <w:p w14:paraId="33D6BE96" w14:textId="3259F6C8" w:rsidR="002E580A" w:rsidRPr="006E1709" w:rsidRDefault="00E53545" w:rsidP="002E580A">
            <w:pPr>
              <w:jc w:val="right"/>
              <w:rPr>
                <w:rFonts w:ascii="Arial" w:hAnsi="Arial" w:cs="Arial"/>
                <w:b/>
                <w:sz w:val="20"/>
                <w:szCs w:val="20"/>
                <w:lang w:eastAsia="en-GB"/>
              </w:rPr>
            </w:pPr>
            <w:r>
              <w:rPr>
                <w:rFonts w:ascii="Arial" w:hAnsi="Arial" w:cs="Arial"/>
                <w:b/>
                <w:sz w:val="20"/>
                <w:szCs w:val="20"/>
                <w:lang w:eastAsia="en-GB"/>
              </w:rPr>
              <w:t>16,566,290</w:t>
            </w:r>
          </w:p>
        </w:tc>
        <w:tc>
          <w:tcPr>
            <w:tcW w:w="1417" w:type="dxa"/>
            <w:tcBorders>
              <w:top w:val="nil"/>
              <w:left w:val="nil"/>
              <w:bottom w:val="nil"/>
              <w:right w:val="nil"/>
            </w:tcBorders>
            <w:noWrap/>
            <w:vAlign w:val="bottom"/>
            <w:hideMark/>
          </w:tcPr>
          <w:p w14:paraId="505A5469" w14:textId="7069E3CD" w:rsidR="002E580A" w:rsidRPr="006E1709" w:rsidRDefault="00E53545" w:rsidP="002E580A">
            <w:pPr>
              <w:jc w:val="right"/>
              <w:rPr>
                <w:rFonts w:ascii="Arial" w:hAnsi="Arial" w:cs="Arial"/>
                <w:b/>
                <w:sz w:val="20"/>
                <w:szCs w:val="20"/>
              </w:rPr>
            </w:pPr>
            <w:r>
              <w:rPr>
                <w:rFonts w:ascii="Arial" w:hAnsi="Arial" w:cs="Arial"/>
                <w:b/>
                <w:sz w:val="20"/>
                <w:szCs w:val="20"/>
              </w:rPr>
              <w:t>18,112,210</w:t>
            </w:r>
          </w:p>
        </w:tc>
        <w:tc>
          <w:tcPr>
            <w:tcW w:w="1342" w:type="dxa"/>
            <w:tcBorders>
              <w:top w:val="nil"/>
              <w:left w:val="nil"/>
              <w:bottom w:val="nil"/>
              <w:right w:val="nil"/>
            </w:tcBorders>
            <w:noWrap/>
            <w:vAlign w:val="bottom"/>
            <w:hideMark/>
          </w:tcPr>
          <w:p w14:paraId="34652AC5" w14:textId="77583CB9" w:rsidR="002E580A" w:rsidRPr="006E1709" w:rsidRDefault="00E53545" w:rsidP="002E580A">
            <w:pPr>
              <w:jc w:val="right"/>
              <w:rPr>
                <w:rFonts w:ascii="Arial" w:hAnsi="Arial" w:cs="Arial"/>
                <w:b/>
                <w:sz w:val="20"/>
                <w:szCs w:val="20"/>
              </w:rPr>
            </w:pPr>
            <w:r>
              <w:rPr>
                <w:rFonts w:ascii="Arial" w:hAnsi="Arial" w:cs="Arial"/>
                <w:b/>
                <w:sz w:val="20"/>
                <w:szCs w:val="20"/>
              </w:rPr>
              <w:t>18,029,560</w:t>
            </w:r>
          </w:p>
        </w:tc>
        <w:tc>
          <w:tcPr>
            <w:tcW w:w="1418" w:type="dxa"/>
            <w:tcBorders>
              <w:top w:val="nil"/>
              <w:left w:val="nil"/>
              <w:bottom w:val="nil"/>
              <w:right w:val="nil"/>
            </w:tcBorders>
            <w:noWrap/>
            <w:vAlign w:val="bottom"/>
            <w:hideMark/>
          </w:tcPr>
          <w:p w14:paraId="28268D40" w14:textId="183B8015" w:rsidR="002E580A" w:rsidRPr="006E1709" w:rsidRDefault="00E53545" w:rsidP="002E580A">
            <w:pPr>
              <w:jc w:val="right"/>
              <w:rPr>
                <w:rFonts w:ascii="Arial" w:hAnsi="Arial" w:cs="Arial"/>
                <w:b/>
                <w:sz w:val="20"/>
                <w:szCs w:val="20"/>
              </w:rPr>
            </w:pPr>
            <w:r>
              <w:rPr>
                <w:rFonts w:ascii="Arial" w:hAnsi="Arial" w:cs="Arial"/>
                <w:b/>
                <w:sz w:val="20"/>
                <w:szCs w:val="20"/>
              </w:rPr>
              <w:t>18,920,470</w:t>
            </w:r>
          </w:p>
        </w:tc>
        <w:tc>
          <w:tcPr>
            <w:tcW w:w="1417" w:type="dxa"/>
            <w:tcBorders>
              <w:top w:val="nil"/>
              <w:left w:val="nil"/>
              <w:bottom w:val="nil"/>
              <w:right w:val="nil"/>
            </w:tcBorders>
            <w:noWrap/>
            <w:vAlign w:val="bottom"/>
            <w:hideMark/>
          </w:tcPr>
          <w:p w14:paraId="6A05A73D" w14:textId="3D5D2911" w:rsidR="002E580A" w:rsidRPr="006E1709" w:rsidRDefault="00E53545" w:rsidP="002E580A">
            <w:pPr>
              <w:jc w:val="right"/>
              <w:rPr>
                <w:rFonts w:ascii="Arial" w:hAnsi="Arial" w:cs="Arial"/>
                <w:b/>
                <w:sz w:val="20"/>
                <w:szCs w:val="20"/>
              </w:rPr>
            </w:pPr>
            <w:r>
              <w:rPr>
                <w:rFonts w:ascii="Arial" w:hAnsi="Arial" w:cs="Arial"/>
                <w:b/>
                <w:sz w:val="20"/>
                <w:szCs w:val="20"/>
              </w:rPr>
              <w:t>19,421,930</w:t>
            </w:r>
          </w:p>
        </w:tc>
      </w:tr>
      <w:tr w:rsidR="00664494" w:rsidRPr="004B69EF" w14:paraId="66FFB55E" w14:textId="77777777" w:rsidTr="00E72656">
        <w:trPr>
          <w:trHeight w:val="29"/>
        </w:trPr>
        <w:tc>
          <w:tcPr>
            <w:tcW w:w="3663" w:type="dxa"/>
            <w:noWrap/>
            <w:vAlign w:val="bottom"/>
            <w:hideMark/>
          </w:tcPr>
          <w:p w14:paraId="3E8F5C16" w14:textId="77777777" w:rsidR="002E580A" w:rsidRPr="006E1709" w:rsidRDefault="002E580A" w:rsidP="002E580A">
            <w:pPr>
              <w:rPr>
                <w:rFonts w:ascii="Arial" w:hAnsi="Arial" w:cs="Arial"/>
                <w:b/>
                <w:sz w:val="20"/>
                <w:szCs w:val="20"/>
              </w:rPr>
            </w:pPr>
            <w:r w:rsidRPr="006E1709">
              <w:rPr>
                <w:rFonts w:ascii="Arial" w:hAnsi="Arial" w:cs="Arial"/>
                <w:sz w:val="20"/>
                <w:szCs w:val="20"/>
              </w:rPr>
              <w:t> </w:t>
            </w:r>
          </w:p>
        </w:tc>
        <w:tc>
          <w:tcPr>
            <w:tcW w:w="1509" w:type="dxa"/>
            <w:noWrap/>
            <w:vAlign w:val="bottom"/>
            <w:hideMark/>
          </w:tcPr>
          <w:p w14:paraId="1CCC9E6C"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7" w:type="dxa"/>
            <w:noWrap/>
            <w:vAlign w:val="bottom"/>
            <w:hideMark/>
          </w:tcPr>
          <w:p w14:paraId="70E65452"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342" w:type="dxa"/>
            <w:noWrap/>
            <w:vAlign w:val="bottom"/>
            <w:hideMark/>
          </w:tcPr>
          <w:p w14:paraId="4F3DCBBE"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8" w:type="dxa"/>
            <w:noWrap/>
            <w:vAlign w:val="bottom"/>
            <w:hideMark/>
          </w:tcPr>
          <w:p w14:paraId="10BE1EE7"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7" w:type="dxa"/>
            <w:noWrap/>
            <w:vAlign w:val="bottom"/>
            <w:hideMark/>
          </w:tcPr>
          <w:p w14:paraId="68B44674"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r>
      <w:tr w:rsidR="002E2A51" w:rsidRPr="004B69EF" w14:paraId="7ACD17AC" w14:textId="77777777" w:rsidTr="00FA261E">
        <w:trPr>
          <w:trHeight w:val="25"/>
        </w:trPr>
        <w:tc>
          <w:tcPr>
            <w:tcW w:w="3663" w:type="dxa"/>
            <w:noWrap/>
            <w:vAlign w:val="bottom"/>
            <w:hideMark/>
          </w:tcPr>
          <w:p w14:paraId="7ADDC032" w14:textId="77777777" w:rsidR="002E580A" w:rsidRPr="006E1709" w:rsidRDefault="002E580A" w:rsidP="002E580A">
            <w:pPr>
              <w:rPr>
                <w:rFonts w:ascii="Arial" w:hAnsi="Arial" w:cs="Arial"/>
                <w:sz w:val="20"/>
                <w:szCs w:val="20"/>
              </w:rPr>
            </w:pPr>
            <w:r w:rsidRPr="006E1709">
              <w:rPr>
                <w:rFonts w:ascii="Arial" w:hAnsi="Arial" w:cs="Arial"/>
                <w:sz w:val="20"/>
                <w:szCs w:val="20"/>
              </w:rPr>
              <w:t>Use of Balances</w:t>
            </w:r>
          </w:p>
        </w:tc>
        <w:tc>
          <w:tcPr>
            <w:tcW w:w="1509" w:type="dxa"/>
            <w:tcBorders>
              <w:top w:val="nil"/>
              <w:left w:val="nil"/>
              <w:bottom w:val="nil"/>
              <w:right w:val="nil"/>
            </w:tcBorders>
            <w:shd w:val="clear" w:color="000000" w:fill="FFFFFF"/>
            <w:noWrap/>
            <w:vAlign w:val="bottom"/>
            <w:hideMark/>
          </w:tcPr>
          <w:p w14:paraId="28233155" w14:textId="7AB3742F" w:rsidR="002E580A" w:rsidRPr="006E1709" w:rsidRDefault="00FA261E" w:rsidP="002E580A">
            <w:pPr>
              <w:jc w:val="right"/>
              <w:rPr>
                <w:rFonts w:ascii="Arial" w:hAnsi="Arial" w:cs="Arial"/>
                <w:sz w:val="20"/>
                <w:szCs w:val="20"/>
                <w:lang w:eastAsia="en-GB"/>
              </w:rPr>
            </w:pPr>
            <w:r>
              <w:rPr>
                <w:rFonts w:ascii="Arial" w:hAnsi="Arial" w:cs="Arial"/>
                <w:sz w:val="20"/>
                <w:szCs w:val="20"/>
                <w:lang w:eastAsia="en-GB"/>
              </w:rPr>
              <w:t>5,</w:t>
            </w:r>
            <w:r w:rsidR="00C3265A">
              <w:rPr>
                <w:rFonts w:ascii="Arial" w:hAnsi="Arial" w:cs="Arial"/>
                <w:sz w:val="20"/>
                <w:szCs w:val="20"/>
                <w:lang w:eastAsia="en-GB"/>
              </w:rPr>
              <w:t>100</w:t>
            </w:r>
          </w:p>
        </w:tc>
        <w:tc>
          <w:tcPr>
            <w:tcW w:w="1417" w:type="dxa"/>
            <w:tcBorders>
              <w:top w:val="nil"/>
              <w:left w:val="nil"/>
              <w:bottom w:val="nil"/>
              <w:right w:val="nil"/>
            </w:tcBorders>
            <w:shd w:val="clear" w:color="000000" w:fill="FFFFFF"/>
            <w:noWrap/>
            <w:vAlign w:val="bottom"/>
            <w:hideMark/>
          </w:tcPr>
          <w:p w14:paraId="69284465" w14:textId="6B63EFEE" w:rsidR="002E580A" w:rsidRPr="006E1709" w:rsidRDefault="00C3265A" w:rsidP="002E580A">
            <w:pPr>
              <w:jc w:val="right"/>
              <w:rPr>
                <w:rFonts w:ascii="Arial" w:hAnsi="Arial" w:cs="Arial"/>
                <w:sz w:val="20"/>
                <w:szCs w:val="20"/>
                <w:lang w:eastAsia="en-GB"/>
              </w:rPr>
            </w:pPr>
            <w:r>
              <w:rPr>
                <w:rFonts w:ascii="Arial" w:hAnsi="Arial" w:cs="Arial"/>
                <w:sz w:val="20"/>
                <w:szCs w:val="20"/>
                <w:lang w:eastAsia="en-GB"/>
              </w:rPr>
              <w:t>2,900</w:t>
            </w:r>
          </w:p>
        </w:tc>
        <w:tc>
          <w:tcPr>
            <w:tcW w:w="1342" w:type="dxa"/>
            <w:tcBorders>
              <w:top w:val="nil"/>
              <w:left w:val="nil"/>
              <w:bottom w:val="nil"/>
              <w:right w:val="nil"/>
            </w:tcBorders>
            <w:shd w:val="clear" w:color="000000" w:fill="FFFFFF"/>
            <w:noWrap/>
            <w:vAlign w:val="bottom"/>
            <w:hideMark/>
          </w:tcPr>
          <w:p w14:paraId="48D4D193" w14:textId="36276A45" w:rsidR="002E580A" w:rsidRPr="006E1709" w:rsidRDefault="00C3265A" w:rsidP="002E580A">
            <w:pPr>
              <w:jc w:val="right"/>
              <w:rPr>
                <w:rFonts w:ascii="Arial" w:hAnsi="Arial" w:cs="Arial"/>
                <w:sz w:val="20"/>
                <w:szCs w:val="20"/>
                <w:lang w:eastAsia="en-GB"/>
              </w:rPr>
            </w:pPr>
            <w:r>
              <w:rPr>
                <w:rFonts w:ascii="Arial" w:hAnsi="Arial" w:cs="Arial"/>
                <w:sz w:val="20"/>
                <w:szCs w:val="20"/>
                <w:lang w:eastAsia="en-GB"/>
              </w:rPr>
              <w:t>1,135,060</w:t>
            </w:r>
          </w:p>
        </w:tc>
        <w:tc>
          <w:tcPr>
            <w:tcW w:w="1418" w:type="dxa"/>
            <w:tcBorders>
              <w:top w:val="nil"/>
              <w:left w:val="nil"/>
              <w:bottom w:val="nil"/>
              <w:right w:val="nil"/>
            </w:tcBorders>
            <w:shd w:val="clear" w:color="000000" w:fill="FFFFFF"/>
            <w:noWrap/>
            <w:vAlign w:val="bottom"/>
            <w:hideMark/>
          </w:tcPr>
          <w:p w14:paraId="2778CA0C" w14:textId="266BD934" w:rsidR="002E580A" w:rsidRPr="006E1709" w:rsidRDefault="00C3265A" w:rsidP="002E580A">
            <w:pPr>
              <w:jc w:val="right"/>
              <w:rPr>
                <w:rFonts w:ascii="Arial" w:hAnsi="Arial" w:cs="Arial"/>
                <w:sz w:val="20"/>
                <w:szCs w:val="20"/>
                <w:lang w:eastAsia="en-GB"/>
              </w:rPr>
            </w:pPr>
            <w:r>
              <w:rPr>
                <w:rFonts w:ascii="Arial" w:hAnsi="Arial" w:cs="Arial"/>
                <w:sz w:val="20"/>
                <w:szCs w:val="20"/>
                <w:lang w:eastAsia="en-GB"/>
              </w:rPr>
              <w:t>667,820</w:t>
            </w:r>
          </w:p>
        </w:tc>
        <w:tc>
          <w:tcPr>
            <w:tcW w:w="1417" w:type="dxa"/>
            <w:tcBorders>
              <w:top w:val="nil"/>
              <w:left w:val="nil"/>
              <w:bottom w:val="nil"/>
            </w:tcBorders>
            <w:shd w:val="clear" w:color="000000" w:fill="FFFFFF"/>
            <w:noWrap/>
            <w:vAlign w:val="bottom"/>
            <w:hideMark/>
          </w:tcPr>
          <w:p w14:paraId="5FEBF970" w14:textId="76FC0B0A" w:rsidR="002E580A" w:rsidRPr="006E1709" w:rsidRDefault="00C3265A" w:rsidP="002E580A">
            <w:pPr>
              <w:jc w:val="right"/>
              <w:rPr>
                <w:rFonts w:ascii="Arial" w:hAnsi="Arial" w:cs="Arial"/>
                <w:sz w:val="20"/>
                <w:szCs w:val="20"/>
                <w:lang w:eastAsia="en-GB"/>
              </w:rPr>
            </w:pPr>
            <w:r>
              <w:rPr>
                <w:rFonts w:ascii="Arial" w:hAnsi="Arial" w:cs="Arial"/>
                <w:sz w:val="20"/>
                <w:szCs w:val="20"/>
                <w:lang w:eastAsia="en-GB"/>
              </w:rPr>
              <w:t>603,570</w:t>
            </w:r>
          </w:p>
        </w:tc>
      </w:tr>
      <w:tr w:rsidR="00664494" w:rsidRPr="004B69EF" w14:paraId="2FA51E54" w14:textId="77777777" w:rsidTr="00E72656">
        <w:trPr>
          <w:trHeight w:val="29"/>
        </w:trPr>
        <w:tc>
          <w:tcPr>
            <w:tcW w:w="3663" w:type="dxa"/>
            <w:noWrap/>
            <w:vAlign w:val="bottom"/>
            <w:hideMark/>
          </w:tcPr>
          <w:p w14:paraId="29122775" w14:textId="77777777" w:rsidR="002E580A" w:rsidRPr="006E1709" w:rsidRDefault="002E580A" w:rsidP="002E580A">
            <w:pPr>
              <w:rPr>
                <w:rFonts w:ascii="Arial" w:hAnsi="Arial" w:cs="Arial"/>
                <w:sz w:val="20"/>
                <w:szCs w:val="20"/>
              </w:rPr>
            </w:pPr>
            <w:r w:rsidRPr="006E1709">
              <w:rPr>
                <w:rFonts w:ascii="Arial" w:hAnsi="Arial" w:cs="Arial"/>
                <w:sz w:val="20"/>
                <w:szCs w:val="20"/>
              </w:rPr>
              <w:t> </w:t>
            </w:r>
          </w:p>
        </w:tc>
        <w:tc>
          <w:tcPr>
            <w:tcW w:w="1509" w:type="dxa"/>
            <w:tcBorders>
              <w:bottom w:val="single" w:sz="4" w:space="0" w:color="auto"/>
            </w:tcBorders>
            <w:noWrap/>
            <w:vAlign w:val="bottom"/>
            <w:hideMark/>
          </w:tcPr>
          <w:p w14:paraId="388084A7"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7" w:type="dxa"/>
            <w:tcBorders>
              <w:bottom w:val="single" w:sz="4" w:space="0" w:color="auto"/>
            </w:tcBorders>
            <w:noWrap/>
            <w:vAlign w:val="bottom"/>
            <w:hideMark/>
          </w:tcPr>
          <w:p w14:paraId="356DC9A5"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342" w:type="dxa"/>
            <w:tcBorders>
              <w:bottom w:val="single" w:sz="4" w:space="0" w:color="auto"/>
            </w:tcBorders>
            <w:noWrap/>
            <w:vAlign w:val="bottom"/>
            <w:hideMark/>
          </w:tcPr>
          <w:p w14:paraId="4FDD83A6"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8" w:type="dxa"/>
            <w:tcBorders>
              <w:bottom w:val="single" w:sz="4" w:space="0" w:color="auto"/>
            </w:tcBorders>
            <w:noWrap/>
            <w:vAlign w:val="bottom"/>
            <w:hideMark/>
          </w:tcPr>
          <w:p w14:paraId="001066CD"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7" w:type="dxa"/>
            <w:tcBorders>
              <w:bottom w:val="single" w:sz="4" w:space="0" w:color="auto"/>
            </w:tcBorders>
            <w:noWrap/>
            <w:vAlign w:val="bottom"/>
            <w:hideMark/>
          </w:tcPr>
          <w:p w14:paraId="104484BE"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r>
      <w:tr w:rsidR="00886CC3" w:rsidRPr="004B69EF" w14:paraId="4E162421" w14:textId="77777777" w:rsidTr="00E72656">
        <w:trPr>
          <w:trHeight w:val="25"/>
        </w:trPr>
        <w:tc>
          <w:tcPr>
            <w:tcW w:w="3663" w:type="dxa"/>
            <w:noWrap/>
            <w:vAlign w:val="bottom"/>
            <w:hideMark/>
          </w:tcPr>
          <w:p w14:paraId="6C895193" w14:textId="77777777" w:rsidR="002E580A" w:rsidRPr="006E1709" w:rsidRDefault="002E580A" w:rsidP="002E580A">
            <w:pPr>
              <w:rPr>
                <w:rFonts w:ascii="Arial" w:hAnsi="Arial" w:cs="Arial"/>
                <w:sz w:val="20"/>
                <w:szCs w:val="20"/>
              </w:rPr>
            </w:pPr>
            <w:r w:rsidRPr="006E1709">
              <w:rPr>
                <w:rFonts w:ascii="Arial" w:hAnsi="Arial" w:cs="Arial"/>
                <w:b/>
                <w:sz w:val="20"/>
                <w:szCs w:val="20"/>
              </w:rPr>
              <w:t>NET REQUIREMENT</w:t>
            </w:r>
          </w:p>
        </w:tc>
        <w:tc>
          <w:tcPr>
            <w:tcW w:w="1509" w:type="dxa"/>
            <w:tcBorders>
              <w:top w:val="single" w:sz="4" w:space="0" w:color="auto"/>
              <w:left w:val="nil"/>
              <w:bottom w:val="double" w:sz="4" w:space="0" w:color="auto"/>
              <w:right w:val="nil"/>
            </w:tcBorders>
            <w:noWrap/>
            <w:vAlign w:val="bottom"/>
            <w:hideMark/>
          </w:tcPr>
          <w:p w14:paraId="6B0B72F4" w14:textId="3360FB50" w:rsidR="002E580A" w:rsidRPr="006E1709" w:rsidRDefault="00D30471" w:rsidP="002E580A">
            <w:pPr>
              <w:jc w:val="right"/>
              <w:rPr>
                <w:rFonts w:ascii="Arial" w:hAnsi="Arial" w:cs="Arial"/>
                <w:b/>
                <w:sz w:val="20"/>
                <w:szCs w:val="20"/>
                <w:lang w:eastAsia="en-GB"/>
              </w:rPr>
            </w:pPr>
            <w:r>
              <w:rPr>
                <w:rFonts w:ascii="Arial" w:hAnsi="Arial" w:cs="Arial"/>
                <w:b/>
                <w:sz w:val="20"/>
                <w:szCs w:val="20"/>
                <w:lang w:eastAsia="en-GB"/>
              </w:rPr>
              <w:t>16,571,390</w:t>
            </w:r>
          </w:p>
        </w:tc>
        <w:tc>
          <w:tcPr>
            <w:tcW w:w="1417" w:type="dxa"/>
            <w:tcBorders>
              <w:top w:val="single" w:sz="4" w:space="0" w:color="auto"/>
              <w:left w:val="nil"/>
              <w:bottom w:val="double" w:sz="4" w:space="0" w:color="auto"/>
              <w:right w:val="nil"/>
            </w:tcBorders>
            <w:noWrap/>
            <w:vAlign w:val="bottom"/>
            <w:hideMark/>
          </w:tcPr>
          <w:p w14:paraId="3145F2E7" w14:textId="1D3AB389" w:rsidR="002E580A" w:rsidRPr="006E1709" w:rsidRDefault="00D30471" w:rsidP="002E580A">
            <w:pPr>
              <w:jc w:val="right"/>
              <w:rPr>
                <w:rFonts w:ascii="Arial" w:hAnsi="Arial" w:cs="Arial"/>
                <w:b/>
                <w:sz w:val="20"/>
                <w:szCs w:val="20"/>
              </w:rPr>
            </w:pPr>
            <w:r>
              <w:rPr>
                <w:rFonts w:ascii="Arial" w:hAnsi="Arial" w:cs="Arial"/>
                <w:b/>
                <w:sz w:val="20"/>
                <w:szCs w:val="20"/>
              </w:rPr>
              <w:t>18,115,110</w:t>
            </w:r>
          </w:p>
        </w:tc>
        <w:tc>
          <w:tcPr>
            <w:tcW w:w="1342" w:type="dxa"/>
            <w:tcBorders>
              <w:top w:val="single" w:sz="4" w:space="0" w:color="auto"/>
              <w:left w:val="nil"/>
              <w:bottom w:val="double" w:sz="4" w:space="0" w:color="auto"/>
              <w:right w:val="nil"/>
            </w:tcBorders>
            <w:noWrap/>
            <w:vAlign w:val="bottom"/>
            <w:hideMark/>
          </w:tcPr>
          <w:p w14:paraId="63844FEC" w14:textId="21DB1184" w:rsidR="002E580A" w:rsidRPr="006E1709" w:rsidRDefault="00D30471" w:rsidP="002E580A">
            <w:pPr>
              <w:jc w:val="right"/>
              <w:rPr>
                <w:rFonts w:ascii="Arial" w:hAnsi="Arial" w:cs="Arial"/>
                <w:b/>
                <w:sz w:val="20"/>
                <w:szCs w:val="20"/>
              </w:rPr>
            </w:pPr>
            <w:r>
              <w:rPr>
                <w:rFonts w:ascii="Arial" w:hAnsi="Arial" w:cs="Arial"/>
                <w:b/>
                <w:sz w:val="20"/>
                <w:szCs w:val="20"/>
              </w:rPr>
              <w:t>19,164,620</w:t>
            </w:r>
          </w:p>
        </w:tc>
        <w:tc>
          <w:tcPr>
            <w:tcW w:w="1418" w:type="dxa"/>
            <w:tcBorders>
              <w:top w:val="single" w:sz="4" w:space="0" w:color="auto"/>
              <w:left w:val="nil"/>
              <w:bottom w:val="double" w:sz="4" w:space="0" w:color="auto"/>
              <w:right w:val="nil"/>
            </w:tcBorders>
            <w:noWrap/>
            <w:vAlign w:val="bottom"/>
            <w:hideMark/>
          </w:tcPr>
          <w:p w14:paraId="65FAFFED" w14:textId="0379A433" w:rsidR="002E580A" w:rsidRPr="006E1709" w:rsidRDefault="00D30471" w:rsidP="002E580A">
            <w:pPr>
              <w:jc w:val="right"/>
              <w:rPr>
                <w:rFonts w:ascii="Arial" w:hAnsi="Arial" w:cs="Arial"/>
                <w:b/>
                <w:sz w:val="20"/>
                <w:szCs w:val="20"/>
              </w:rPr>
            </w:pPr>
            <w:r>
              <w:rPr>
                <w:rFonts w:ascii="Arial" w:hAnsi="Arial" w:cs="Arial"/>
                <w:b/>
                <w:sz w:val="20"/>
                <w:szCs w:val="20"/>
              </w:rPr>
              <w:t>19,588,290</w:t>
            </w:r>
          </w:p>
        </w:tc>
        <w:tc>
          <w:tcPr>
            <w:tcW w:w="1417" w:type="dxa"/>
            <w:tcBorders>
              <w:top w:val="single" w:sz="4" w:space="0" w:color="auto"/>
              <w:left w:val="nil"/>
              <w:bottom w:val="double" w:sz="4" w:space="0" w:color="auto"/>
              <w:right w:val="nil"/>
            </w:tcBorders>
            <w:noWrap/>
            <w:vAlign w:val="bottom"/>
            <w:hideMark/>
          </w:tcPr>
          <w:p w14:paraId="69391637" w14:textId="42186960" w:rsidR="002E580A" w:rsidRPr="006E1709" w:rsidRDefault="00D30471" w:rsidP="002E580A">
            <w:pPr>
              <w:jc w:val="right"/>
              <w:rPr>
                <w:rFonts w:ascii="Arial" w:hAnsi="Arial" w:cs="Arial"/>
                <w:b/>
                <w:sz w:val="20"/>
                <w:szCs w:val="20"/>
              </w:rPr>
            </w:pPr>
            <w:r>
              <w:rPr>
                <w:rFonts w:ascii="Arial" w:hAnsi="Arial" w:cs="Arial"/>
                <w:b/>
                <w:sz w:val="20"/>
                <w:szCs w:val="20"/>
              </w:rPr>
              <w:t>20,025,500</w:t>
            </w:r>
          </w:p>
        </w:tc>
      </w:tr>
      <w:tr w:rsidR="00664494" w:rsidRPr="004B69EF" w14:paraId="1E2DC9F3" w14:textId="77777777" w:rsidTr="00E72656">
        <w:trPr>
          <w:trHeight w:val="31"/>
        </w:trPr>
        <w:tc>
          <w:tcPr>
            <w:tcW w:w="3663" w:type="dxa"/>
            <w:noWrap/>
            <w:vAlign w:val="bottom"/>
            <w:hideMark/>
          </w:tcPr>
          <w:p w14:paraId="4274F243" w14:textId="77777777" w:rsidR="002E580A" w:rsidRPr="006E1709" w:rsidRDefault="002E580A" w:rsidP="002E580A">
            <w:pPr>
              <w:rPr>
                <w:rFonts w:ascii="Arial" w:hAnsi="Arial" w:cs="Arial"/>
                <w:b/>
                <w:sz w:val="20"/>
                <w:szCs w:val="20"/>
              </w:rPr>
            </w:pPr>
            <w:r w:rsidRPr="006E1709">
              <w:rPr>
                <w:rFonts w:ascii="Arial" w:hAnsi="Arial" w:cs="Arial"/>
                <w:sz w:val="20"/>
                <w:szCs w:val="20"/>
              </w:rPr>
              <w:t> </w:t>
            </w:r>
          </w:p>
        </w:tc>
        <w:tc>
          <w:tcPr>
            <w:tcW w:w="1509" w:type="dxa"/>
            <w:tcBorders>
              <w:top w:val="double" w:sz="4" w:space="0" w:color="auto"/>
            </w:tcBorders>
            <w:noWrap/>
            <w:vAlign w:val="bottom"/>
            <w:hideMark/>
          </w:tcPr>
          <w:p w14:paraId="1B7EB9E0"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7" w:type="dxa"/>
            <w:tcBorders>
              <w:top w:val="double" w:sz="4" w:space="0" w:color="auto"/>
            </w:tcBorders>
            <w:noWrap/>
            <w:vAlign w:val="bottom"/>
            <w:hideMark/>
          </w:tcPr>
          <w:p w14:paraId="67AD8F6E"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342" w:type="dxa"/>
            <w:tcBorders>
              <w:top w:val="double" w:sz="4" w:space="0" w:color="auto"/>
            </w:tcBorders>
            <w:noWrap/>
            <w:vAlign w:val="bottom"/>
            <w:hideMark/>
          </w:tcPr>
          <w:p w14:paraId="08644CA0"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8" w:type="dxa"/>
            <w:tcBorders>
              <w:top w:val="double" w:sz="4" w:space="0" w:color="auto"/>
            </w:tcBorders>
            <w:noWrap/>
            <w:vAlign w:val="bottom"/>
            <w:hideMark/>
          </w:tcPr>
          <w:p w14:paraId="0ADC4B8D"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7" w:type="dxa"/>
            <w:tcBorders>
              <w:top w:val="double" w:sz="4" w:space="0" w:color="auto"/>
            </w:tcBorders>
            <w:noWrap/>
            <w:vAlign w:val="bottom"/>
            <w:hideMark/>
          </w:tcPr>
          <w:p w14:paraId="404B2741"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r>
      <w:tr w:rsidR="002E2A51" w:rsidRPr="004B69EF" w14:paraId="12D2793C" w14:textId="77777777" w:rsidTr="00974208">
        <w:trPr>
          <w:trHeight w:val="27"/>
        </w:trPr>
        <w:tc>
          <w:tcPr>
            <w:tcW w:w="3663" w:type="dxa"/>
            <w:tcBorders>
              <w:top w:val="nil"/>
              <w:left w:val="nil"/>
              <w:bottom w:val="nil"/>
              <w:right w:val="nil"/>
            </w:tcBorders>
            <w:noWrap/>
            <w:vAlign w:val="center"/>
            <w:hideMark/>
          </w:tcPr>
          <w:p w14:paraId="5DA920E1" w14:textId="77777777" w:rsidR="002E580A" w:rsidRPr="006E1709" w:rsidRDefault="002E580A" w:rsidP="002E580A">
            <w:pPr>
              <w:rPr>
                <w:rFonts w:ascii="Arial" w:hAnsi="Arial" w:cs="Arial"/>
                <w:sz w:val="20"/>
                <w:szCs w:val="20"/>
              </w:rPr>
            </w:pPr>
            <w:r w:rsidRPr="006E1709">
              <w:rPr>
                <w:rFonts w:ascii="Arial" w:hAnsi="Arial" w:cs="Arial"/>
                <w:sz w:val="20"/>
                <w:szCs w:val="20"/>
              </w:rPr>
              <w:t xml:space="preserve">Business Rates </w:t>
            </w:r>
          </w:p>
        </w:tc>
        <w:tc>
          <w:tcPr>
            <w:tcW w:w="1509" w:type="dxa"/>
            <w:tcBorders>
              <w:top w:val="nil"/>
              <w:left w:val="nil"/>
              <w:bottom w:val="nil"/>
              <w:right w:val="nil"/>
            </w:tcBorders>
            <w:shd w:val="clear" w:color="000000" w:fill="FFFFFF"/>
            <w:noWrap/>
            <w:vAlign w:val="bottom"/>
            <w:hideMark/>
          </w:tcPr>
          <w:p w14:paraId="3C5F3B05" w14:textId="1BA79AB1" w:rsidR="002E580A" w:rsidRPr="006E1709" w:rsidRDefault="00D30471" w:rsidP="002E580A">
            <w:pPr>
              <w:jc w:val="right"/>
              <w:rPr>
                <w:rFonts w:ascii="Arial" w:hAnsi="Arial" w:cs="Arial"/>
                <w:sz w:val="20"/>
                <w:szCs w:val="20"/>
                <w:lang w:eastAsia="en-GB"/>
              </w:rPr>
            </w:pPr>
            <w:r>
              <w:rPr>
                <w:rFonts w:ascii="Arial" w:hAnsi="Arial" w:cs="Arial"/>
                <w:sz w:val="20"/>
                <w:szCs w:val="20"/>
                <w:lang w:eastAsia="en-GB"/>
              </w:rPr>
              <w:t>4,691,770</w:t>
            </w:r>
          </w:p>
        </w:tc>
        <w:tc>
          <w:tcPr>
            <w:tcW w:w="1417" w:type="dxa"/>
            <w:tcBorders>
              <w:top w:val="nil"/>
              <w:left w:val="nil"/>
              <w:bottom w:val="nil"/>
              <w:right w:val="nil"/>
            </w:tcBorders>
            <w:shd w:val="clear" w:color="000000" w:fill="FFFFFF"/>
            <w:noWrap/>
            <w:vAlign w:val="bottom"/>
            <w:hideMark/>
          </w:tcPr>
          <w:p w14:paraId="2C67FC25" w14:textId="298FFE8C" w:rsidR="002E580A" w:rsidRPr="006E1709" w:rsidRDefault="00D30471" w:rsidP="002E580A">
            <w:pPr>
              <w:jc w:val="right"/>
              <w:rPr>
                <w:rFonts w:ascii="Arial" w:hAnsi="Arial" w:cs="Arial"/>
                <w:sz w:val="20"/>
                <w:szCs w:val="20"/>
                <w:lang w:eastAsia="en-GB"/>
              </w:rPr>
            </w:pPr>
            <w:r>
              <w:rPr>
                <w:rFonts w:ascii="Arial" w:hAnsi="Arial" w:cs="Arial"/>
                <w:sz w:val="20"/>
                <w:szCs w:val="20"/>
                <w:lang w:eastAsia="en-GB"/>
              </w:rPr>
              <w:t>4,799,370</w:t>
            </w:r>
          </w:p>
        </w:tc>
        <w:tc>
          <w:tcPr>
            <w:tcW w:w="1342" w:type="dxa"/>
            <w:tcBorders>
              <w:top w:val="nil"/>
              <w:left w:val="nil"/>
              <w:bottom w:val="nil"/>
              <w:right w:val="nil"/>
            </w:tcBorders>
            <w:shd w:val="clear" w:color="000000" w:fill="FFFFFF"/>
            <w:noWrap/>
            <w:vAlign w:val="bottom"/>
            <w:hideMark/>
          </w:tcPr>
          <w:p w14:paraId="2C40DC4D" w14:textId="47D66130" w:rsidR="002E580A" w:rsidRPr="006E1709" w:rsidRDefault="007B23CB" w:rsidP="002E580A">
            <w:pPr>
              <w:jc w:val="right"/>
              <w:rPr>
                <w:rFonts w:ascii="Arial" w:hAnsi="Arial" w:cs="Arial"/>
                <w:sz w:val="20"/>
                <w:szCs w:val="20"/>
                <w:lang w:eastAsia="en-GB"/>
              </w:rPr>
            </w:pPr>
            <w:r>
              <w:rPr>
                <w:rFonts w:ascii="Arial" w:hAnsi="Arial" w:cs="Arial"/>
                <w:sz w:val="20"/>
                <w:szCs w:val="20"/>
                <w:lang w:eastAsia="en-GB"/>
              </w:rPr>
              <w:t>4,896,190</w:t>
            </w:r>
          </w:p>
        </w:tc>
        <w:tc>
          <w:tcPr>
            <w:tcW w:w="1418" w:type="dxa"/>
            <w:tcBorders>
              <w:top w:val="nil"/>
              <w:left w:val="nil"/>
              <w:bottom w:val="nil"/>
              <w:right w:val="nil"/>
            </w:tcBorders>
            <w:shd w:val="clear" w:color="000000" w:fill="FFFFFF"/>
            <w:noWrap/>
            <w:vAlign w:val="bottom"/>
            <w:hideMark/>
          </w:tcPr>
          <w:p w14:paraId="4F504D0A" w14:textId="3C1E1629" w:rsidR="002E580A" w:rsidRPr="006E1709" w:rsidRDefault="007B23CB" w:rsidP="002E580A">
            <w:pPr>
              <w:jc w:val="right"/>
              <w:rPr>
                <w:rFonts w:ascii="Arial" w:hAnsi="Arial" w:cs="Arial"/>
                <w:sz w:val="20"/>
                <w:szCs w:val="20"/>
                <w:lang w:eastAsia="en-GB"/>
              </w:rPr>
            </w:pPr>
            <w:r>
              <w:rPr>
                <w:rFonts w:ascii="Arial" w:hAnsi="Arial" w:cs="Arial"/>
                <w:sz w:val="20"/>
                <w:szCs w:val="20"/>
                <w:lang w:eastAsia="en-GB"/>
              </w:rPr>
              <w:t>4,994,120</w:t>
            </w:r>
          </w:p>
        </w:tc>
        <w:tc>
          <w:tcPr>
            <w:tcW w:w="1417" w:type="dxa"/>
            <w:tcBorders>
              <w:top w:val="nil"/>
              <w:left w:val="nil"/>
              <w:bottom w:val="nil"/>
            </w:tcBorders>
            <w:shd w:val="clear" w:color="000000" w:fill="FFFFFF"/>
            <w:noWrap/>
            <w:vAlign w:val="bottom"/>
            <w:hideMark/>
          </w:tcPr>
          <w:p w14:paraId="56A85505" w14:textId="66EE0B6A" w:rsidR="002E580A" w:rsidRPr="006E1709" w:rsidRDefault="007B23CB" w:rsidP="002E580A">
            <w:pPr>
              <w:jc w:val="right"/>
              <w:rPr>
                <w:rFonts w:ascii="Arial" w:hAnsi="Arial" w:cs="Arial"/>
                <w:sz w:val="20"/>
                <w:szCs w:val="20"/>
                <w:lang w:eastAsia="en-GB"/>
              </w:rPr>
            </w:pPr>
            <w:r>
              <w:rPr>
                <w:rFonts w:ascii="Arial" w:hAnsi="Arial" w:cs="Arial"/>
                <w:sz w:val="20"/>
                <w:szCs w:val="20"/>
                <w:lang w:eastAsia="en-GB"/>
              </w:rPr>
              <w:t>5,094,010</w:t>
            </w:r>
          </w:p>
        </w:tc>
      </w:tr>
      <w:tr w:rsidR="00CA78ED" w:rsidRPr="004B69EF" w14:paraId="02E43FA8" w14:textId="77777777" w:rsidTr="00E72656">
        <w:trPr>
          <w:trHeight w:val="25"/>
        </w:trPr>
        <w:tc>
          <w:tcPr>
            <w:tcW w:w="3663" w:type="dxa"/>
            <w:tcBorders>
              <w:top w:val="nil"/>
              <w:left w:val="nil"/>
              <w:bottom w:val="nil"/>
              <w:right w:val="nil"/>
            </w:tcBorders>
            <w:noWrap/>
            <w:vAlign w:val="center"/>
            <w:hideMark/>
          </w:tcPr>
          <w:p w14:paraId="2F81B329" w14:textId="6E97A23B" w:rsidR="002E580A" w:rsidRPr="006E1709" w:rsidRDefault="002E580A" w:rsidP="002E580A">
            <w:pPr>
              <w:rPr>
                <w:rFonts w:ascii="Arial" w:hAnsi="Arial" w:cs="Arial"/>
                <w:sz w:val="20"/>
                <w:szCs w:val="20"/>
              </w:rPr>
            </w:pPr>
            <w:r w:rsidRPr="006E1709">
              <w:rPr>
                <w:rFonts w:ascii="Arial" w:hAnsi="Arial" w:cs="Arial"/>
                <w:sz w:val="20"/>
                <w:szCs w:val="20"/>
              </w:rPr>
              <w:t>Business Rates Surplus/(Deficit)</w:t>
            </w:r>
          </w:p>
        </w:tc>
        <w:tc>
          <w:tcPr>
            <w:tcW w:w="1509" w:type="dxa"/>
            <w:noWrap/>
            <w:vAlign w:val="bottom"/>
            <w:hideMark/>
          </w:tcPr>
          <w:p w14:paraId="1DC306DC" w14:textId="3C43ECDF" w:rsidR="002E580A" w:rsidRPr="006E1709" w:rsidRDefault="001F2F45" w:rsidP="002E580A">
            <w:pPr>
              <w:jc w:val="right"/>
              <w:rPr>
                <w:rFonts w:ascii="Arial" w:hAnsi="Arial" w:cs="Arial"/>
                <w:sz w:val="20"/>
                <w:szCs w:val="20"/>
              </w:rPr>
            </w:pPr>
            <w:r w:rsidRPr="006E1709">
              <w:rPr>
                <w:rFonts w:ascii="Arial" w:hAnsi="Arial" w:cs="Arial"/>
                <w:sz w:val="20"/>
                <w:szCs w:val="20"/>
              </w:rPr>
              <w:t>(</w:t>
            </w:r>
            <w:r w:rsidR="00AE3C17" w:rsidRPr="006E1709">
              <w:rPr>
                <w:rFonts w:ascii="Arial" w:hAnsi="Arial" w:cs="Arial"/>
                <w:sz w:val="20"/>
                <w:szCs w:val="20"/>
              </w:rPr>
              <w:t>474,650</w:t>
            </w:r>
            <w:r w:rsidRPr="006E1709">
              <w:rPr>
                <w:rFonts w:ascii="Arial" w:hAnsi="Arial" w:cs="Arial"/>
                <w:sz w:val="20"/>
                <w:szCs w:val="20"/>
              </w:rPr>
              <w:t>)</w:t>
            </w:r>
          </w:p>
        </w:tc>
        <w:tc>
          <w:tcPr>
            <w:tcW w:w="1417" w:type="dxa"/>
            <w:noWrap/>
            <w:vAlign w:val="bottom"/>
            <w:hideMark/>
          </w:tcPr>
          <w:p w14:paraId="5DEAED07" w14:textId="03A977DA" w:rsidR="002E580A" w:rsidRPr="006E1709" w:rsidRDefault="002E580A" w:rsidP="002E580A">
            <w:pPr>
              <w:jc w:val="right"/>
              <w:rPr>
                <w:rFonts w:ascii="Arial" w:hAnsi="Arial" w:cs="Arial"/>
                <w:sz w:val="20"/>
                <w:szCs w:val="20"/>
              </w:rPr>
            </w:pPr>
            <w:r w:rsidRPr="006E1709">
              <w:rPr>
                <w:rFonts w:ascii="Arial" w:hAnsi="Arial" w:cs="Arial"/>
                <w:sz w:val="20"/>
                <w:szCs w:val="20"/>
              </w:rPr>
              <w:t>0</w:t>
            </w:r>
          </w:p>
        </w:tc>
        <w:tc>
          <w:tcPr>
            <w:tcW w:w="1342" w:type="dxa"/>
            <w:noWrap/>
            <w:vAlign w:val="bottom"/>
            <w:hideMark/>
          </w:tcPr>
          <w:p w14:paraId="18940DD9" w14:textId="1DE375A4" w:rsidR="002E580A" w:rsidRPr="006E1709" w:rsidRDefault="002E580A" w:rsidP="002E580A">
            <w:pPr>
              <w:jc w:val="right"/>
              <w:rPr>
                <w:rFonts w:ascii="Arial" w:hAnsi="Arial" w:cs="Arial"/>
                <w:sz w:val="20"/>
                <w:szCs w:val="20"/>
              </w:rPr>
            </w:pPr>
            <w:r w:rsidRPr="006E1709">
              <w:rPr>
                <w:rFonts w:ascii="Arial" w:hAnsi="Arial" w:cs="Arial"/>
                <w:sz w:val="20"/>
                <w:szCs w:val="20"/>
              </w:rPr>
              <w:t>0</w:t>
            </w:r>
          </w:p>
        </w:tc>
        <w:tc>
          <w:tcPr>
            <w:tcW w:w="1418" w:type="dxa"/>
            <w:noWrap/>
            <w:vAlign w:val="bottom"/>
            <w:hideMark/>
          </w:tcPr>
          <w:p w14:paraId="02E3EB51" w14:textId="3A24CF53" w:rsidR="002E580A" w:rsidRPr="006E1709" w:rsidRDefault="002E580A" w:rsidP="002E580A">
            <w:pPr>
              <w:jc w:val="right"/>
              <w:rPr>
                <w:rFonts w:ascii="Arial" w:hAnsi="Arial" w:cs="Arial"/>
                <w:sz w:val="20"/>
                <w:szCs w:val="20"/>
              </w:rPr>
            </w:pPr>
            <w:r w:rsidRPr="006E1709">
              <w:rPr>
                <w:rFonts w:ascii="Arial" w:hAnsi="Arial" w:cs="Arial"/>
                <w:sz w:val="20"/>
                <w:szCs w:val="20"/>
              </w:rPr>
              <w:t>0</w:t>
            </w:r>
          </w:p>
        </w:tc>
        <w:tc>
          <w:tcPr>
            <w:tcW w:w="1417" w:type="dxa"/>
            <w:noWrap/>
            <w:vAlign w:val="bottom"/>
            <w:hideMark/>
          </w:tcPr>
          <w:p w14:paraId="7CC73FB7" w14:textId="31326637" w:rsidR="002E580A" w:rsidRPr="006E1709" w:rsidRDefault="002E580A" w:rsidP="002E580A">
            <w:pPr>
              <w:jc w:val="right"/>
              <w:rPr>
                <w:rFonts w:ascii="Arial" w:hAnsi="Arial" w:cs="Arial"/>
                <w:sz w:val="20"/>
                <w:szCs w:val="20"/>
              </w:rPr>
            </w:pPr>
            <w:r w:rsidRPr="006E1709">
              <w:rPr>
                <w:rFonts w:ascii="Arial" w:hAnsi="Arial" w:cs="Arial"/>
                <w:sz w:val="20"/>
                <w:szCs w:val="20"/>
              </w:rPr>
              <w:t>0</w:t>
            </w:r>
          </w:p>
        </w:tc>
      </w:tr>
      <w:tr w:rsidR="002E2A51" w:rsidRPr="004B69EF" w14:paraId="6560E6BC" w14:textId="77777777" w:rsidTr="00E263B2">
        <w:trPr>
          <w:trHeight w:val="25"/>
        </w:trPr>
        <w:tc>
          <w:tcPr>
            <w:tcW w:w="3663" w:type="dxa"/>
            <w:tcBorders>
              <w:top w:val="nil"/>
              <w:left w:val="nil"/>
              <w:bottom w:val="nil"/>
              <w:right w:val="nil"/>
            </w:tcBorders>
            <w:noWrap/>
            <w:vAlign w:val="bottom"/>
            <w:hideMark/>
          </w:tcPr>
          <w:p w14:paraId="096AB0EE" w14:textId="77777777" w:rsidR="002E580A" w:rsidRPr="006E1709" w:rsidRDefault="002E580A" w:rsidP="002E580A">
            <w:pPr>
              <w:rPr>
                <w:rFonts w:ascii="Arial" w:hAnsi="Arial" w:cs="Arial"/>
                <w:sz w:val="20"/>
                <w:szCs w:val="20"/>
                <w:lang w:eastAsia="en-GB"/>
              </w:rPr>
            </w:pPr>
            <w:r w:rsidRPr="006E1709">
              <w:rPr>
                <w:rFonts w:ascii="Arial" w:hAnsi="Arial" w:cs="Arial"/>
                <w:sz w:val="20"/>
                <w:szCs w:val="20"/>
              </w:rPr>
              <w:t>Revenue Support Grant</w:t>
            </w:r>
          </w:p>
        </w:tc>
        <w:tc>
          <w:tcPr>
            <w:tcW w:w="1509" w:type="dxa"/>
            <w:tcBorders>
              <w:top w:val="nil"/>
              <w:left w:val="nil"/>
              <w:bottom w:val="nil"/>
              <w:right w:val="nil"/>
            </w:tcBorders>
            <w:shd w:val="clear" w:color="000000" w:fill="FFFFFF"/>
            <w:noWrap/>
            <w:vAlign w:val="bottom"/>
            <w:hideMark/>
          </w:tcPr>
          <w:p w14:paraId="5D1243F9" w14:textId="41FC48BC" w:rsidR="002E580A" w:rsidRPr="006E1709" w:rsidRDefault="007B23CB" w:rsidP="002E580A">
            <w:pPr>
              <w:jc w:val="right"/>
              <w:rPr>
                <w:rFonts w:ascii="Arial" w:hAnsi="Arial" w:cs="Arial"/>
                <w:sz w:val="20"/>
                <w:szCs w:val="20"/>
                <w:lang w:eastAsia="en-GB"/>
              </w:rPr>
            </w:pPr>
            <w:r>
              <w:rPr>
                <w:rFonts w:ascii="Arial" w:hAnsi="Arial" w:cs="Arial"/>
                <w:sz w:val="20"/>
                <w:szCs w:val="20"/>
                <w:lang w:eastAsia="en-GB"/>
              </w:rPr>
              <w:t>4,113,900</w:t>
            </w:r>
          </w:p>
        </w:tc>
        <w:tc>
          <w:tcPr>
            <w:tcW w:w="1417" w:type="dxa"/>
            <w:tcBorders>
              <w:top w:val="nil"/>
              <w:left w:val="nil"/>
              <w:bottom w:val="nil"/>
              <w:right w:val="nil"/>
            </w:tcBorders>
            <w:shd w:val="clear" w:color="000000" w:fill="FFFFFF"/>
            <w:noWrap/>
            <w:vAlign w:val="bottom"/>
            <w:hideMark/>
          </w:tcPr>
          <w:p w14:paraId="20C68A0E" w14:textId="1D4BA69B" w:rsidR="002E580A" w:rsidRPr="006E1709" w:rsidRDefault="007B23CB" w:rsidP="002E580A">
            <w:pPr>
              <w:jc w:val="right"/>
              <w:rPr>
                <w:rFonts w:ascii="Arial" w:hAnsi="Arial" w:cs="Arial"/>
                <w:sz w:val="20"/>
                <w:szCs w:val="20"/>
                <w:lang w:eastAsia="en-GB"/>
              </w:rPr>
            </w:pPr>
            <w:r>
              <w:rPr>
                <w:rFonts w:ascii="Arial" w:hAnsi="Arial" w:cs="Arial"/>
                <w:sz w:val="20"/>
                <w:szCs w:val="20"/>
                <w:lang w:eastAsia="en-GB"/>
              </w:rPr>
              <w:t>4,746,190</w:t>
            </w:r>
          </w:p>
        </w:tc>
        <w:tc>
          <w:tcPr>
            <w:tcW w:w="1342" w:type="dxa"/>
            <w:tcBorders>
              <w:top w:val="nil"/>
              <w:left w:val="nil"/>
              <w:bottom w:val="nil"/>
              <w:right w:val="nil"/>
            </w:tcBorders>
            <w:shd w:val="clear" w:color="000000" w:fill="FFFFFF"/>
            <w:noWrap/>
            <w:vAlign w:val="bottom"/>
            <w:hideMark/>
          </w:tcPr>
          <w:p w14:paraId="7BAB0723" w14:textId="5214AB8F" w:rsidR="002E580A" w:rsidRPr="006E1709" w:rsidRDefault="00E263B2" w:rsidP="002E580A">
            <w:pPr>
              <w:jc w:val="right"/>
              <w:rPr>
                <w:rFonts w:ascii="Arial" w:hAnsi="Arial" w:cs="Arial"/>
                <w:sz w:val="20"/>
                <w:szCs w:val="20"/>
                <w:lang w:eastAsia="en-GB"/>
              </w:rPr>
            </w:pPr>
            <w:r w:rsidRPr="006E1709">
              <w:rPr>
                <w:rFonts w:ascii="Arial" w:hAnsi="Arial" w:cs="Arial"/>
                <w:sz w:val="20"/>
                <w:szCs w:val="20"/>
                <w:lang w:eastAsia="en-GB"/>
              </w:rPr>
              <w:t xml:space="preserve">5,364,030 </w:t>
            </w:r>
          </w:p>
        </w:tc>
        <w:tc>
          <w:tcPr>
            <w:tcW w:w="1418" w:type="dxa"/>
            <w:tcBorders>
              <w:top w:val="nil"/>
              <w:left w:val="nil"/>
              <w:bottom w:val="nil"/>
              <w:right w:val="nil"/>
            </w:tcBorders>
            <w:shd w:val="clear" w:color="000000" w:fill="FFFFFF"/>
            <w:noWrap/>
            <w:vAlign w:val="bottom"/>
            <w:hideMark/>
          </w:tcPr>
          <w:p w14:paraId="6B3DB190" w14:textId="598203F2" w:rsidR="002E580A" w:rsidRPr="006E1709" w:rsidRDefault="00E263B2" w:rsidP="002E580A">
            <w:pPr>
              <w:jc w:val="right"/>
              <w:rPr>
                <w:rFonts w:ascii="Arial" w:hAnsi="Arial" w:cs="Arial"/>
                <w:sz w:val="20"/>
                <w:szCs w:val="20"/>
                <w:lang w:eastAsia="en-GB"/>
              </w:rPr>
            </w:pPr>
            <w:r w:rsidRPr="006E1709">
              <w:rPr>
                <w:rFonts w:ascii="Arial" w:hAnsi="Arial" w:cs="Arial"/>
                <w:sz w:val="20"/>
                <w:szCs w:val="20"/>
                <w:lang w:eastAsia="en-GB"/>
              </w:rPr>
              <w:t xml:space="preserve">5,364,030 </w:t>
            </w:r>
          </w:p>
        </w:tc>
        <w:tc>
          <w:tcPr>
            <w:tcW w:w="1417" w:type="dxa"/>
            <w:tcBorders>
              <w:top w:val="nil"/>
              <w:left w:val="nil"/>
              <w:bottom w:val="nil"/>
            </w:tcBorders>
            <w:shd w:val="clear" w:color="000000" w:fill="FFFFFF"/>
            <w:noWrap/>
            <w:vAlign w:val="bottom"/>
            <w:hideMark/>
          </w:tcPr>
          <w:p w14:paraId="38D1D839" w14:textId="496F0132" w:rsidR="002E580A" w:rsidRPr="006E1709" w:rsidRDefault="00E263B2" w:rsidP="002E580A">
            <w:pPr>
              <w:jc w:val="right"/>
              <w:rPr>
                <w:rFonts w:ascii="Arial" w:hAnsi="Arial" w:cs="Arial"/>
                <w:sz w:val="20"/>
                <w:szCs w:val="20"/>
                <w:lang w:eastAsia="en-GB"/>
              </w:rPr>
            </w:pPr>
            <w:r w:rsidRPr="006E1709">
              <w:rPr>
                <w:rFonts w:ascii="Arial" w:hAnsi="Arial" w:cs="Arial"/>
                <w:sz w:val="20"/>
                <w:szCs w:val="20"/>
                <w:lang w:eastAsia="en-GB"/>
              </w:rPr>
              <w:t xml:space="preserve">5,364,030 </w:t>
            </w:r>
          </w:p>
        </w:tc>
      </w:tr>
      <w:tr w:rsidR="00664494" w:rsidRPr="004B69EF" w14:paraId="2145566F" w14:textId="77777777" w:rsidTr="00E72656">
        <w:trPr>
          <w:trHeight w:val="25"/>
        </w:trPr>
        <w:tc>
          <w:tcPr>
            <w:tcW w:w="3663" w:type="dxa"/>
            <w:tcBorders>
              <w:top w:val="nil"/>
              <w:left w:val="nil"/>
              <w:bottom w:val="nil"/>
              <w:right w:val="nil"/>
            </w:tcBorders>
            <w:noWrap/>
            <w:vAlign w:val="bottom"/>
            <w:hideMark/>
          </w:tcPr>
          <w:p w14:paraId="5180A6F1" w14:textId="0EE7DB11" w:rsidR="002E580A" w:rsidRPr="006E1709" w:rsidRDefault="002E580A" w:rsidP="002E580A">
            <w:pPr>
              <w:rPr>
                <w:rFonts w:ascii="Arial" w:hAnsi="Arial" w:cs="Arial"/>
                <w:sz w:val="20"/>
                <w:szCs w:val="20"/>
              </w:rPr>
            </w:pPr>
            <w:r w:rsidRPr="006E1709">
              <w:rPr>
                <w:rFonts w:ascii="Arial" w:hAnsi="Arial" w:cs="Arial"/>
                <w:sz w:val="20"/>
                <w:szCs w:val="20"/>
              </w:rPr>
              <w:t>Council Tax Surplus/(Deficit)</w:t>
            </w:r>
          </w:p>
        </w:tc>
        <w:tc>
          <w:tcPr>
            <w:tcW w:w="1509" w:type="dxa"/>
            <w:noWrap/>
            <w:vAlign w:val="bottom"/>
            <w:hideMark/>
          </w:tcPr>
          <w:p w14:paraId="4F9153ED" w14:textId="776F7465" w:rsidR="002E580A" w:rsidRPr="006E1709" w:rsidRDefault="007E7415" w:rsidP="002E580A">
            <w:pPr>
              <w:jc w:val="right"/>
              <w:rPr>
                <w:rFonts w:ascii="Arial" w:hAnsi="Arial" w:cs="Arial"/>
                <w:sz w:val="20"/>
                <w:szCs w:val="20"/>
              </w:rPr>
            </w:pPr>
            <w:r w:rsidRPr="006E1709">
              <w:rPr>
                <w:rFonts w:ascii="Arial" w:hAnsi="Arial" w:cs="Arial"/>
                <w:sz w:val="20"/>
                <w:szCs w:val="20"/>
              </w:rPr>
              <w:t>(</w:t>
            </w:r>
            <w:r w:rsidR="008340CA" w:rsidRPr="006E1709">
              <w:rPr>
                <w:rFonts w:ascii="Arial" w:hAnsi="Arial" w:cs="Arial"/>
                <w:sz w:val="20"/>
                <w:szCs w:val="20"/>
              </w:rPr>
              <w:t>29</w:t>
            </w:r>
            <w:r w:rsidR="000D1595" w:rsidRPr="006E1709">
              <w:rPr>
                <w:rFonts w:ascii="Arial" w:hAnsi="Arial" w:cs="Arial"/>
                <w:sz w:val="20"/>
                <w:szCs w:val="20"/>
              </w:rPr>
              <w:t>,670</w:t>
            </w:r>
            <w:r w:rsidRPr="006E1709">
              <w:rPr>
                <w:rFonts w:ascii="Arial" w:hAnsi="Arial" w:cs="Arial"/>
                <w:sz w:val="20"/>
                <w:szCs w:val="20"/>
              </w:rPr>
              <w:t>)</w:t>
            </w:r>
          </w:p>
        </w:tc>
        <w:tc>
          <w:tcPr>
            <w:tcW w:w="1417" w:type="dxa"/>
            <w:noWrap/>
            <w:vAlign w:val="bottom"/>
            <w:hideMark/>
          </w:tcPr>
          <w:p w14:paraId="154D85EA" w14:textId="68A31C74" w:rsidR="002E580A" w:rsidRPr="006E1709" w:rsidRDefault="002E580A" w:rsidP="002E580A">
            <w:pPr>
              <w:jc w:val="right"/>
              <w:rPr>
                <w:rFonts w:ascii="Arial" w:hAnsi="Arial" w:cs="Arial"/>
                <w:sz w:val="20"/>
                <w:szCs w:val="20"/>
              </w:rPr>
            </w:pPr>
            <w:r w:rsidRPr="006E1709">
              <w:rPr>
                <w:rFonts w:ascii="Arial" w:hAnsi="Arial" w:cs="Arial"/>
                <w:sz w:val="20"/>
                <w:szCs w:val="20"/>
              </w:rPr>
              <w:t>0</w:t>
            </w:r>
          </w:p>
        </w:tc>
        <w:tc>
          <w:tcPr>
            <w:tcW w:w="1342" w:type="dxa"/>
            <w:noWrap/>
            <w:vAlign w:val="bottom"/>
            <w:hideMark/>
          </w:tcPr>
          <w:p w14:paraId="5A171B2D" w14:textId="16A00E48" w:rsidR="002E580A" w:rsidRPr="006E1709" w:rsidRDefault="002E580A" w:rsidP="002E580A">
            <w:pPr>
              <w:jc w:val="right"/>
              <w:rPr>
                <w:rFonts w:ascii="Arial" w:hAnsi="Arial" w:cs="Arial"/>
                <w:sz w:val="20"/>
                <w:szCs w:val="20"/>
              </w:rPr>
            </w:pPr>
            <w:r w:rsidRPr="006E1709">
              <w:rPr>
                <w:rFonts w:ascii="Arial" w:hAnsi="Arial" w:cs="Arial"/>
                <w:sz w:val="20"/>
                <w:szCs w:val="20"/>
              </w:rPr>
              <w:t>0</w:t>
            </w:r>
          </w:p>
        </w:tc>
        <w:tc>
          <w:tcPr>
            <w:tcW w:w="1418" w:type="dxa"/>
            <w:noWrap/>
            <w:vAlign w:val="bottom"/>
            <w:hideMark/>
          </w:tcPr>
          <w:p w14:paraId="437A7DE4" w14:textId="1550AA7D" w:rsidR="002E580A" w:rsidRPr="006E1709" w:rsidRDefault="002E580A" w:rsidP="002E580A">
            <w:pPr>
              <w:jc w:val="right"/>
              <w:rPr>
                <w:rFonts w:ascii="Arial" w:hAnsi="Arial" w:cs="Arial"/>
                <w:sz w:val="20"/>
                <w:szCs w:val="20"/>
              </w:rPr>
            </w:pPr>
            <w:r w:rsidRPr="006E1709">
              <w:rPr>
                <w:rFonts w:ascii="Arial" w:hAnsi="Arial" w:cs="Arial"/>
                <w:sz w:val="20"/>
                <w:szCs w:val="20"/>
              </w:rPr>
              <w:t>0</w:t>
            </w:r>
          </w:p>
        </w:tc>
        <w:tc>
          <w:tcPr>
            <w:tcW w:w="1417" w:type="dxa"/>
            <w:noWrap/>
            <w:vAlign w:val="bottom"/>
            <w:hideMark/>
          </w:tcPr>
          <w:p w14:paraId="4D3C66EC" w14:textId="52A93814" w:rsidR="002E580A" w:rsidRPr="006E1709" w:rsidRDefault="002E580A" w:rsidP="002E580A">
            <w:pPr>
              <w:jc w:val="right"/>
              <w:rPr>
                <w:rFonts w:ascii="Arial" w:hAnsi="Arial" w:cs="Arial"/>
                <w:sz w:val="20"/>
                <w:szCs w:val="20"/>
              </w:rPr>
            </w:pPr>
            <w:r w:rsidRPr="006E1709">
              <w:rPr>
                <w:rFonts w:ascii="Arial" w:hAnsi="Arial" w:cs="Arial"/>
                <w:sz w:val="20"/>
                <w:szCs w:val="20"/>
              </w:rPr>
              <w:t>0</w:t>
            </w:r>
          </w:p>
        </w:tc>
      </w:tr>
      <w:tr w:rsidR="00CA78ED" w:rsidRPr="004B69EF" w14:paraId="4F9FE9E6" w14:textId="77777777" w:rsidTr="000D6F4C">
        <w:trPr>
          <w:trHeight w:val="25"/>
        </w:trPr>
        <w:tc>
          <w:tcPr>
            <w:tcW w:w="3663" w:type="dxa"/>
            <w:tcBorders>
              <w:top w:val="nil"/>
              <w:left w:val="nil"/>
              <w:bottom w:val="nil"/>
              <w:right w:val="nil"/>
            </w:tcBorders>
            <w:noWrap/>
            <w:vAlign w:val="bottom"/>
            <w:hideMark/>
          </w:tcPr>
          <w:p w14:paraId="7C11ACF9" w14:textId="77777777" w:rsidR="002E580A" w:rsidRPr="006E1709" w:rsidRDefault="002E580A" w:rsidP="002E580A">
            <w:pPr>
              <w:rPr>
                <w:rFonts w:ascii="Arial" w:hAnsi="Arial" w:cs="Arial"/>
                <w:sz w:val="20"/>
                <w:szCs w:val="20"/>
              </w:rPr>
            </w:pPr>
            <w:r w:rsidRPr="006E1709">
              <w:rPr>
                <w:rFonts w:ascii="Arial" w:hAnsi="Arial" w:cs="Arial"/>
                <w:sz w:val="20"/>
                <w:szCs w:val="20"/>
              </w:rPr>
              <w:t>Council Tax</w:t>
            </w:r>
          </w:p>
        </w:tc>
        <w:tc>
          <w:tcPr>
            <w:tcW w:w="1509" w:type="dxa"/>
            <w:tcBorders>
              <w:top w:val="nil"/>
              <w:left w:val="nil"/>
              <w:bottom w:val="nil"/>
              <w:right w:val="nil"/>
            </w:tcBorders>
            <w:noWrap/>
            <w:vAlign w:val="bottom"/>
            <w:hideMark/>
          </w:tcPr>
          <w:p w14:paraId="4D25C5B1" w14:textId="2B63E0A7" w:rsidR="002E580A" w:rsidRPr="006E1709" w:rsidRDefault="000D6F4C" w:rsidP="002E580A">
            <w:pPr>
              <w:jc w:val="right"/>
              <w:rPr>
                <w:rFonts w:ascii="Arial" w:hAnsi="Arial" w:cs="Arial"/>
                <w:sz w:val="20"/>
                <w:szCs w:val="20"/>
                <w:lang w:eastAsia="en-GB"/>
              </w:rPr>
            </w:pPr>
            <w:r w:rsidRPr="006E1709">
              <w:rPr>
                <w:rFonts w:ascii="Arial" w:hAnsi="Arial" w:cs="Arial"/>
                <w:sz w:val="20"/>
                <w:szCs w:val="20"/>
                <w:lang w:eastAsia="en-GB"/>
              </w:rPr>
              <w:t>8,270,040</w:t>
            </w:r>
          </w:p>
        </w:tc>
        <w:tc>
          <w:tcPr>
            <w:tcW w:w="1417" w:type="dxa"/>
            <w:tcBorders>
              <w:top w:val="nil"/>
              <w:left w:val="nil"/>
              <w:bottom w:val="nil"/>
              <w:right w:val="nil"/>
            </w:tcBorders>
            <w:noWrap/>
            <w:vAlign w:val="bottom"/>
            <w:hideMark/>
          </w:tcPr>
          <w:p w14:paraId="3D1DED3E" w14:textId="054988C4" w:rsidR="002E580A" w:rsidRPr="006E1709" w:rsidRDefault="000D6F4C" w:rsidP="002E580A">
            <w:pPr>
              <w:jc w:val="right"/>
              <w:rPr>
                <w:rFonts w:ascii="Arial" w:hAnsi="Arial" w:cs="Arial"/>
                <w:sz w:val="20"/>
                <w:szCs w:val="20"/>
                <w:lang w:eastAsia="en-GB"/>
              </w:rPr>
            </w:pPr>
            <w:r w:rsidRPr="006E1709">
              <w:rPr>
                <w:rFonts w:ascii="Arial" w:hAnsi="Arial" w:cs="Arial"/>
                <w:sz w:val="20"/>
                <w:szCs w:val="20"/>
                <w:lang w:eastAsia="en-GB"/>
              </w:rPr>
              <w:t>8,569,550</w:t>
            </w:r>
          </w:p>
        </w:tc>
        <w:tc>
          <w:tcPr>
            <w:tcW w:w="1342" w:type="dxa"/>
            <w:tcBorders>
              <w:top w:val="nil"/>
              <w:left w:val="nil"/>
              <w:bottom w:val="nil"/>
              <w:right w:val="nil"/>
            </w:tcBorders>
            <w:noWrap/>
            <w:vAlign w:val="bottom"/>
            <w:hideMark/>
          </w:tcPr>
          <w:p w14:paraId="40234A7A" w14:textId="1DAA14A1" w:rsidR="002E580A" w:rsidRPr="006E1709" w:rsidRDefault="000D6F4C" w:rsidP="002E580A">
            <w:pPr>
              <w:jc w:val="right"/>
              <w:rPr>
                <w:rFonts w:ascii="Arial" w:hAnsi="Arial" w:cs="Arial"/>
                <w:sz w:val="20"/>
                <w:szCs w:val="20"/>
                <w:lang w:eastAsia="en-GB"/>
              </w:rPr>
            </w:pPr>
            <w:r w:rsidRPr="006E1709">
              <w:rPr>
                <w:rFonts w:ascii="Arial" w:hAnsi="Arial" w:cs="Arial"/>
                <w:sz w:val="20"/>
                <w:szCs w:val="20"/>
                <w:lang w:eastAsia="en-GB"/>
              </w:rPr>
              <w:t>8,904,400</w:t>
            </w:r>
          </w:p>
        </w:tc>
        <w:tc>
          <w:tcPr>
            <w:tcW w:w="1418" w:type="dxa"/>
            <w:tcBorders>
              <w:top w:val="nil"/>
              <w:left w:val="nil"/>
              <w:bottom w:val="nil"/>
              <w:right w:val="nil"/>
            </w:tcBorders>
            <w:noWrap/>
            <w:vAlign w:val="bottom"/>
            <w:hideMark/>
          </w:tcPr>
          <w:p w14:paraId="24ECF3D4" w14:textId="3A31825D" w:rsidR="002E580A" w:rsidRPr="006E1709" w:rsidRDefault="000D6F4C" w:rsidP="002E580A">
            <w:pPr>
              <w:jc w:val="right"/>
              <w:rPr>
                <w:rFonts w:ascii="Arial" w:hAnsi="Arial" w:cs="Arial"/>
                <w:sz w:val="20"/>
                <w:szCs w:val="20"/>
                <w:lang w:eastAsia="en-GB"/>
              </w:rPr>
            </w:pPr>
            <w:r w:rsidRPr="006E1709">
              <w:rPr>
                <w:rFonts w:ascii="Arial" w:hAnsi="Arial" w:cs="Arial"/>
                <w:sz w:val="20"/>
                <w:szCs w:val="20"/>
                <w:lang w:eastAsia="en-GB"/>
              </w:rPr>
              <w:t>9,230,140</w:t>
            </w:r>
          </w:p>
        </w:tc>
        <w:tc>
          <w:tcPr>
            <w:tcW w:w="1417" w:type="dxa"/>
            <w:tcBorders>
              <w:top w:val="nil"/>
              <w:left w:val="nil"/>
              <w:bottom w:val="nil"/>
            </w:tcBorders>
            <w:noWrap/>
            <w:vAlign w:val="bottom"/>
            <w:hideMark/>
          </w:tcPr>
          <w:p w14:paraId="3152C6C3" w14:textId="2819339C" w:rsidR="002E580A" w:rsidRPr="006E1709" w:rsidRDefault="000D6F4C" w:rsidP="002E580A">
            <w:pPr>
              <w:jc w:val="right"/>
              <w:rPr>
                <w:rFonts w:ascii="Arial" w:hAnsi="Arial" w:cs="Arial"/>
                <w:sz w:val="20"/>
                <w:szCs w:val="20"/>
                <w:lang w:eastAsia="en-GB"/>
              </w:rPr>
            </w:pPr>
            <w:r w:rsidRPr="006E1709">
              <w:rPr>
                <w:rFonts w:ascii="Arial" w:hAnsi="Arial" w:cs="Arial"/>
                <w:sz w:val="20"/>
                <w:szCs w:val="20"/>
                <w:lang w:eastAsia="en-GB"/>
              </w:rPr>
              <w:t xml:space="preserve">9,567,460 </w:t>
            </w:r>
          </w:p>
        </w:tc>
      </w:tr>
      <w:tr w:rsidR="00CA78ED" w:rsidRPr="004B69EF" w14:paraId="54A8950E" w14:textId="77777777" w:rsidTr="00E72656">
        <w:trPr>
          <w:trHeight w:val="29"/>
        </w:trPr>
        <w:tc>
          <w:tcPr>
            <w:tcW w:w="3663" w:type="dxa"/>
            <w:tcBorders>
              <w:top w:val="nil"/>
              <w:left w:val="nil"/>
              <w:bottom w:val="nil"/>
              <w:right w:val="nil"/>
            </w:tcBorders>
            <w:noWrap/>
            <w:vAlign w:val="center"/>
            <w:hideMark/>
          </w:tcPr>
          <w:p w14:paraId="44DD0C33" w14:textId="77777777" w:rsidR="002E580A" w:rsidRPr="006E1709" w:rsidRDefault="002E580A" w:rsidP="002E580A">
            <w:pPr>
              <w:rPr>
                <w:rFonts w:ascii="Arial" w:hAnsi="Arial" w:cs="Arial"/>
                <w:sz w:val="20"/>
                <w:szCs w:val="20"/>
              </w:rPr>
            </w:pPr>
            <w:r w:rsidRPr="006E1709">
              <w:rPr>
                <w:rFonts w:ascii="Arial" w:hAnsi="Arial" w:cs="Arial"/>
                <w:sz w:val="20"/>
                <w:szCs w:val="20"/>
              </w:rPr>
              <w:t> </w:t>
            </w:r>
          </w:p>
        </w:tc>
        <w:tc>
          <w:tcPr>
            <w:tcW w:w="1509" w:type="dxa"/>
            <w:tcBorders>
              <w:bottom w:val="single" w:sz="4" w:space="0" w:color="auto"/>
            </w:tcBorders>
            <w:noWrap/>
            <w:vAlign w:val="bottom"/>
            <w:hideMark/>
          </w:tcPr>
          <w:p w14:paraId="6F29CCBA" w14:textId="77777777" w:rsidR="002E580A" w:rsidRPr="006E1709" w:rsidRDefault="002E580A" w:rsidP="002E580A">
            <w:pPr>
              <w:jc w:val="right"/>
              <w:rPr>
                <w:rFonts w:ascii="Arial" w:hAnsi="Arial" w:cs="Arial"/>
                <w:b/>
                <w:sz w:val="20"/>
                <w:szCs w:val="20"/>
              </w:rPr>
            </w:pPr>
            <w:r w:rsidRPr="006E1709">
              <w:rPr>
                <w:rFonts w:ascii="Arial" w:hAnsi="Arial" w:cs="Arial"/>
                <w:sz w:val="20"/>
                <w:szCs w:val="20"/>
              </w:rPr>
              <w:t> </w:t>
            </w:r>
          </w:p>
        </w:tc>
        <w:tc>
          <w:tcPr>
            <w:tcW w:w="1417" w:type="dxa"/>
            <w:tcBorders>
              <w:bottom w:val="single" w:sz="4" w:space="0" w:color="auto"/>
            </w:tcBorders>
            <w:noWrap/>
            <w:vAlign w:val="bottom"/>
            <w:hideMark/>
          </w:tcPr>
          <w:p w14:paraId="319FF15C" w14:textId="77777777" w:rsidR="002E580A" w:rsidRPr="006E1709" w:rsidRDefault="002E580A" w:rsidP="002E580A">
            <w:pPr>
              <w:jc w:val="right"/>
              <w:rPr>
                <w:rFonts w:ascii="Arial" w:hAnsi="Arial" w:cs="Arial"/>
                <w:b/>
                <w:sz w:val="20"/>
                <w:szCs w:val="20"/>
              </w:rPr>
            </w:pPr>
            <w:r w:rsidRPr="006E1709">
              <w:rPr>
                <w:rFonts w:ascii="Arial" w:hAnsi="Arial" w:cs="Arial"/>
                <w:sz w:val="20"/>
                <w:szCs w:val="20"/>
              </w:rPr>
              <w:t> </w:t>
            </w:r>
          </w:p>
        </w:tc>
        <w:tc>
          <w:tcPr>
            <w:tcW w:w="1342" w:type="dxa"/>
            <w:tcBorders>
              <w:bottom w:val="single" w:sz="4" w:space="0" w:color="auto"/>
            </w:tcBorders>
            <w:noWrap/>
            <w:vAlign w:val="bottom"/>
            <w:hideMark/>
          </w:tcPr>
          <w:p w14:paraId="5FFB1E94" w14:textId="77777777" w:rsidR="002E580A" w:rsidRPr="006E1709" w:rsidRDefault="002E580A" w:rsidP="002E580A">
            <w:pPr>
              <w:jc w:val="right"/>
              <w:rPr>
                <w:rFonts w:ascii="Arial" w:hAnsi="Arial" w:cs="Arial"/>
                <w:b/>
                <w:sz w:val="20"/>
                <w:szCs w:val="20"/>
              </w:rPr>
            </w:pPr>
            <w:r w:rsidRPr="006E1709">
              <w:rPr>
                <w:rFonts w:ascii="Arial" w:hAnsi="Arial" w:cs="Arial"/>
                <w:sz w:val="20"/>
                <w:szCs w:val="20"/>
              </w:rPr>
              <w:t> </w:t>
            </w:r>
          </w:p>
        </w:tc>
        <w:tc>
          <w:tcPr>
            <w:tcW w:w="1418" w:type="dxa"/>
            <w:tcBorders>
              <w:bottom w:val="single" w:sz="4" w:space="0" w:color="auto"/>
            </w:tcBorders>
            <w:noWrap/>
            <w:vAlign w:val="bottom"/>
            <w:hideMark/>
          </w:tcPr>
          <w:p w14:paraId="3FD0EA88" w14:textId="77777777" w:rsidR="002E580A" w:rsidRPr="006E1709" w:rsidRDefault="002E580A" w:rsidP="002E580A">
            <w:pPr>
              <w:jc w:val="right"/>
              <w:rPr>
                <w:rFonts w:ascii="Arial" w:hAnsi="Arial" w:cs="Arial"/>
                <w:b/>
                <w:sz w:val="20"/>
                <w:szCs w:val="20"/>
              </w:rPr>
            </w:pPr>
            <w:r w:rsidRPr="006E1709">
              <w:rPr>
                <w:rFonts w:ascii="Arial" w:hAnsi="Arial" w:cs="Arial"/>
                <w:sz w:val="20"/>
                <w:szCs w:val="20"/>
              </w:rPr>
              <w:t> </w:t>
            </w:r>
          </w:p>
        </w:tc>
        <w:tc>
          <w:tcPr>
            <w:tcW w:w="1417" w:type="dxa"/>
            <w:tcBorders>
              <w:bottom w:val="single" w:sz="4" w:space="0" w:color="auto"/>
            </w:tcBorders>
            <w:noWrap/>
            <w:vAlign w:val="bottom"/>
            <w:hideMark/>
          </w:tcPr>
          <w:p w14:paraId="4CC24A48" w14:textId="77777777" w:rsidR="002E580A" w:rsidRPr="006E1709" w:rsidRDefault="002E580A" w:rsidP="002E580A">
            <w:pPr>
              <w:jc w:val="right"/>
              <w:rPr>
                <w:rFonts w:ascii="Arial" w:hAnsi="Arial" w:cs="Arial"/>
                <w:b/>
                <w:sz w:val="20"/>
                <w:szCs w:val="20"/>
              </w:rPr>
            </w:pPr>
            <w:r w:rsidRPr="006E1709">
              <w:rPr>
                <w:rFonts w:ascii="Arial" w:hAnsi="Arial" w:cs="Arial"/>
                <w:sz w:val="20"/>
                <w:szCs w:val="20"/>
              </w:rPr>
              <w:t> </w:t>
            </w:r>
          </w:p>
        </w:tc>
      </w:tr>
      <w:tr w:rsidR="00CA78ED" w:rsidRPr="004B69EF" w14:paraId="12EBA1DF" w14:textId="77777777" w:rsidTr="00E72656">
        <w:trPr>
          <w:trHeight w:val="25"/>
        </w:trPr>
        <w:tc>
          <w:tcPr>
            <w:tcW w:w="3663" w:type="dxa"/>
            <w:tcBorders>
              <w:top w:val="nil"/>
              <w:left w:val="nil"/>
              <w:bottom w:val="nil"/>
              <w:right w:val="nil"/>
            </w:tcBorders>
            <w:noWrap/>
            <w:vAlign w:val="center"/>
            <w:hideMark/>
          </w:tcPr>
          <w:p w14:paraId="626B1F50" w14:textId="77777777" w:rsidR="002E580A" w:rsidRPr="006E1709" w:rsidRDefault="002E580A" w:rsidP="002E580A">
            <w:pPr>
              <w:rPr>
                <w:rFonts w:ascii="Arial" w:hAnsi="Arial" w:cs="Arial"/>
                <w:b/>
                <w:sz w:val="20"/>
                <w:szCs w:val="20"/>
              </w:rPr>
            </w:pPr>
            <w:r w:rsidRPr="006E1709">
              <w:rPr>
                <w:rFonts w:ascii="Arial" w:hAnsi="Arial" w:cs="Arial"/>
                <w:b/>
                <w:sz w:val="20"/>
                <w:szCs w:val="20"/>
              </w:rPr>
              <w:t>Total Resources</w:t>
            </w:r>
          </w:p>
        </w:tc>
        <w:tc>
          <w:tcPr>
            <w:tcW w:w="1509" w:type="dxa"/>
            <w:tcBorders>
              <w:top w:val="nil"/>
              <w:left w:val="nil"/>
              <w:bottom w:val="nil"/>
              <w:right w:val="nil"/>
            </w:tcBorders>
            <w:noWrap/>
            <w:vAlign w:val="bottom"/>
            <w:hideMark/>
          </w:tcPr>
          <w:p w14:paraId="429D291D" w14:textId="729DB3EA" w:rsidR="002E580A" w:rsidRPr="006E1709" w:rsidRDefault="006E4E6A" w:rsidP="002E580A">
            <w:pPr>
              <w:jc w:val="right"/>
              <w:rPr>
                <w:rFonts w:ascii="Arial" w:hAnsi="Arial" w:cs="Arial"/>
                <w:b/>
                <w:sz w:val="20"/>
                <w:szCs w:val="20"/>
                <w:lang w:eastAsia="en-GB"/>
              </w:rPr>
            </w:pPr>
            <w:r>
              <w:rPr>
                <w:rFonts w:ascii="Arial" w:hAnsi="Arial" w:cs="Arial"/>
                <w:b/>
                <w:sz w:val="20"/>
                <w:szCs w:val="20"/>
                <w:lang w:eastAsia="en-GB"/>
              </w:rPr>
              <w:t>16,571,390</w:t>
            </w:r>
          </w:p>
        </w:tc>
        <w:tc>
          <w:tcPr>
            <w:tcW w:w="1417" w:type="dxa"/>
            <w:tcBorders>
              <w:top w:val="nil"/>
              <w:left w:val="nil"/>
              <w:bottom w:val="nil"/>
              <w:right w:val="nil"/>
            </w:tcBorders>
            <w:noWrap/>
            <w:vAlign w:val="bottom"/>
            <w:hideMark/>
          </w:tcPr>
          <w:p w14:paraId="223F0A57" w14:textId="2959E1DE" w:rsidR="002E580A" w:rsidRPr="006E1709" w:rsidRDefault="006E4E6A" w:rsidP="002E580A">
            <w:pPr>
              <w:jc w:val="right"/>
              <w:rPr>
                <w:rFonts w:ascii="Arial" w:hAnsi="Arial" w:cs="Arial"/>
                <w:b/>
                <w:sz w:val="20"/>
                <w:szCs w:val="20"/>
              </w:rPr>
            </w:pPr>
            <w:r>
              <w:rPr>
                <w:rFonts w:ascii="Arial" w:hAnsi="Arial" w:cs="Arial"/>
                <w:b/>
                <w:sz w:val="20"/>
                <w:szCs w:val="20"/>
              </w:rPr>
              <w:t>18,115,110</w:t>
            </w:r>
          </w:p>
        </w:tc>
        <w:tc>
          <w:tcPr>
            <w:tcW w:w="1342" w:type="dxa"/>
            <w:tcBorders>
              <w:top w:val="nil"/>
              <w:left w:val="nil"/>
              <w:bottom w:val="double" w:sz="4" w:space="0" w:color="auto"/>
              <w:right w:val="nil"/>
            </w:tcBorders>
            <w:noWrap/>
            <w:vAlign w:val="bottom"/>
            <w:hideMark/>
          </w:tcPr>
          <w:p w14:paraId="677C660C" w14:textId="5B961F18" w:rsidR="002E580A" w:rsidRPr="006E1709" w:rsidRDefault="006E4E6A" w:rsidP="002E580A">
            <w:pPr>
              <w:jc w:val="right"/>
              <w:rPr>
                <w:rFonts w:ascii="Arial" w:hAnsi="Arial" w:cs="Arial"/>
                <w:b/>
                <w:sz w:val="20"/>
                <w:szCs w:val="20"/>
              </w:rPr>
            </w:pPr>
            <w:r>
              <w:rPr>
                <w:rFonts w:ascii="Arial" w:hAnsi="Arial" w:cs="Arial"/>
                <w:b/>
                <w:sz w:val="20"/>
                <w:szCs w:val="20"/>
              </w:rPr>
              <w:t>19,164,620</w:t>
            </w:r>
          </w:p>
        </w:tc>
        <w:tc>
          <w:tcPr>
            <w:tcW w:w="1418" w:type="dxa"/>
            <w:tcBorders>
              <w:top w:val="nil"/>
              <w:left w:val="nil"/>
              <w:bottom w:val="double" w:sz="4" w:space="0" w:color="auto"/>
              <w:right w:val="nil"/>
            </w:tcBorders>
            <w:noWrap/>
            <w:vAlign w:val="bottom"/>
            <w:hideMark/>
          </w:tcPr>
          <w:p w14:paraId="2A63CE46" w14:textId="394AF057" w:rsidR="002E580A" w:rsidRPr="006E1709" w:rsidRDefault="006E4E6A" w:rsidP="002E580A">
            <w:pPr>
              <w:jc w:val="right"/>
              <w:rPr>
                <w:rFonts w:ascii="Arial" w:hAnsi="Arial" w:cs="Arial"/>
                <w:b/>
                <w:sz w:val="20"/>
                <w:szCs w:val="20"/>
              </w:rPr>
            </w:pPr>
            <w:r>
              <w:rPr>
                <w:rFonts w:ascii="Arial" w:hAnsi="Arial" w:cs="Arial"/>
                <w:b/>
                <w:sz w:val="20"/>
                <w:szCs w:val="20"/>
              </w:rPr>
              <w:t>19,588,290</w:t>
            </w:r>
          </w:p>
        </w:tc>
        <w:tc>
          <w:tcPr>
            <w:tcW w:w="1417" w:type="dxa"/>
            <w:tcBorders>
              <w:top w:val="nil"/>
              <w:left w:val="nil"/>
              <w:bottom w:val="nil"/>
              <w:right w:val="nil"/>
            </w:tcBorders>
            <w:noWrap/>
            <w:vAlign w:val="bottom"/>
            <w:hideMark/>
          </w:tcPr>
          <w:p w14:paraId="51ED2D31" w14:textId="091AD3B9" w:rsidR="002E580A" w:rsidRPr="006E1709" w:rsidRDefault="006E4E6A" w:rsidP="002E580A">
            <w:pPr>
              <w:jc w:val="right"/>
              <w:rPr>
                <w:rFonts w:ascii="Arial" w:hAnsi="Arial" w:cs="Arial"/>
                <w:b/>
                <w:sz w:val="20"/>
                <w:szCs w:val="20"/>
              </w:rPr>
            </w:pPr>
            <w:r>
              <w:rPr>
                <w:rFonts w:ascii="Arial" w:hAnsi="Arial" w:cs="Arial"/>
                <w:b/>
                <w:sz w:val="20"/>
                <w:szCs w:val="20"/>
              </w:rPr>
              <w:t>20,025,500</w:t>
            </w:r>
          </w:p>
        </w:tc>
      </w:tr>
      <w:tr w:rsidR="00CA78ED" w:rsidRPr="004B69EF" w14:paraId="18A76665" w14:textId="77777777" w:rsidTr="00E72656">
        <w:trPr>
          <w:trHeight w:val="31"/>
        </w:trPr>
        <w:tc>
          <w:tcPr>
            <w:tcW w:w="3663" w:type="dxa"/>
            <w:tcBorders>
              <w:top w:val="nil"/>
              <w:left w:val="nil"/>
              <w:bottom w:val="nil"/>
              <w:right w:val="nil"/>
            </w:tcBorders>
            <w:noWrap/>
            <w:vAlign w:val="center"/>
            <w:hideMark/>
          </w:tcPr>
          <w:p w14:paraId="74AD9F28" w14:textId="77777777" w:rsidR="002E580A" w:rsidRPr="006E1709" w:rsidRDefault="002E580A" w:rsidP="002E580A">
            <w:pPr>
              <w:rPr>
                <w:rFonts w:ascii="Arial" w:hAnsi="Arial" w:cs="Arial"/>
                <w:sz w:val="20"/>
                <w:szCs w:val="20"/>
              </w:rPr>
            </w:pPr>
            <w:r w:rsidRPr="006E1709">
              <w:rPr>
                <w:rFonts w:ascii="Arial" w:hAnsi="Arial" w:cs="Arial"/>
                <w:sz w:val="20"/>
                <w:szCs w:val="20"/>
              </w:rPr>
              <w:t> </w:t>
            </w:r>
          </w:p>
        </w:tc>
        <w:tc>
          <w:tcPr>
            <w:tcW w:w="1509" w:type="dxa"/>
            <w:tcBorders>
              <w:top w:val="double" w:sz="4" w:space="0" w:color="auto"/>
            </w:tcBorders>
            <w:noWrap/>
            <w:vAlign w:val="bottom"/>
            <w:hideMark/>
          </w:tcPr>
          <w:p w14:paraId="43BFB5BF"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7" w:type="dxa"/>
            <w:tcBorders>
              <w:top w:val="double" w:sz="4" w:space="0" w:color="auto"/>
            </w:tcBorders>
            <w:noWrap/>
            <w:vAlign w:val="bottom"/>
            <w:hideMark/>
          </w:tcPr>
          <w:p w14:paraId="2CAC2FBD"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342" w:type="dxa"/>
            <w:tcBorders>
              <w:top w:val="double" w:sz="4" w:space="0" w:color="auto"/>
            </w:tcBorders>
            <w:noWrap/>
            <w:vAlign w:val="bottom"/>
            <w:hideMark/>
          </w:tcPr>
          <w:p w14:paraId="64B026D9"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8" w:type="dxa"/>
            <w:tcBorders>
              <w:top w:val="double" w:sz="4" w:space="0" w:color="auto"/>
            </w:tcBorders>
            <w:noWrap/>
            <w:vAlign w:val="bottom"/>
            <w:hideMark/>
          </w:tcPr>
          <w:p w14:paraId="54CF2DB8"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c>
          <w:tcPr>
            <w:tcW w:w="1417" w:type="dxa"/>
            <w:tcBorders>
              <w:top w:val="double" w:sz="4" w:space="0" w:color="auto"/>
            </w:tcBorders>
            <w:noWrap/>
            <w:vAlign w:val="bottom"/>
            <w:hideMark/>
          </w:tcPr>
          <w:p w14:paraId="2B19D259" w14:textId="77777777" w:rsidR="002E580A" w:rsidRPr="006E1709" w:rsidRDefault="002E580A" w:rsidP="002E580A">
            <w:pPr>
              <w:jc w:val="right"/>
              <w:rPr>
                <w:rFonts w:ascii="Arial" w:hAnsi="Arial" w:cs="Arial"/>
                <w:b/>
                <w:sz w:val="20"/>
                <w:szCs w:val="20"/>
              </w:rPr>
            </w:pPr>
            <w:r w:rsidRPr="006E1709">
              <w:rPr>
                <w:rFonts w:ascii="Arial" w:hAnsi="Arial" w:cs="Arial"/>
                <w:b/>
                <w:sz w:val="20"/>
                <w:szCs w:val="20"/>
              </w:rPr>
              <w:t> </w:t>
            </w:r>
          </w:p>
        </w:tc>
      </w:tr>
      <w:tr w:rsidR="002E2A51" w:rsidRPr="004B69EF" w14:paraId="48367351" w14:textId="77777777">
        <w:trPr>
          <w:trHeight w:val="27"/>
        </w:trPr>
        <w:tc>
          <w:tcPr>
            <w:tcW w:w="3663" w:type="dxa"/>
            <w:noWrap/>
            <w:vAlign w:val="bottom"/>
            <w:hideMark/>
          </w:tcPr>
          <w:p w14:paraId="690FDDCC" w14:textId="32E743C6" w:rsidR="002E580A" w:rsidRPr="006E1709" w:rsidRDefault="002E580A" w:rsidP="002E580A">
            <w:pPr>
              <w:rPr>
                <w:rFonts w:ascii="Arial" w:hAnsi="Arial" w:cs="Arial"/>
                <w:sz w:val="20"/>
                <w:szCs w:val="20"/>
              </w:rPr>
            </w:pPr>
            <w:r w:rsidRPr="006E1709">
              <w:rPr>
                <w:rFonts w:ascii="Arial" w:hAnsi="Arial" w:cs="Arial"/>
                <w:b/>
                <w:sz w:val="20"/>
                <w:szCs w:val="20"/>
              </w:rPr>
              <w:t>Balances b/f @ 1st April</w:t>
            </w:r>
          </w:p>
        </w:tc>
        <w:tc>
          <w:tcPr>
            <w:tcW w:w="1509" w:type="dxa"/>
            <w:tcBorders>
              <w:top w:val="single" w:sz="8" w:space="0" w:color="auto"/>
              <w:left w:val="nil"/>
              <w:bottom w:val="nil"/>
              <w:right w:val="nil"/>
            </w:tcBorders>
            <w:shd w:val="clear" w:color="000000" w:fill="FFFFFF"/>
            <w:noWrap/>
            <w:vAlign w:val="bottom"/>
            <w:hideMark/>
          </w:tcPr>
          <w:p w14:paraId="20BCC24A" w14:textId="7FCFC215" w:rsidR="002E580A" w:rsidRPr="00215458" w:rsidRDefault="003E22CA" w:rsidP="002E580A">
            <w:pPr>
              <w:jc w:val="right"/>
              <w:rPr>
                <w:rFonts w:ascii="Arial" w:hAnsi="Arial" w:cs="Arial"/>
                <w:b/>
                <w:sz w:val="20"/>
                <w:szCs w:val="20"/>
                <w:highlight w:val="yellow"/>
                <w:lang w:eastAsia="en-GB"/>
              </w:rPr>
            </w:pPr>
            <w:r w:rsidRPr="003E22CA">
              <w:rPr>
                <w:rFonts w:ascii="Arial" w:hAnsi="Arial" w:cs="Arial"/>
                <w:b/>
                <w:sz w:val="20"/>
                <w:szCs w:val="20"/>
                <w:lang w:eastAsia="en-GB"/>
              </w:rPr>
              <w:t>2,521,236</w:t>
            </w:r>
          </w:p>
        </w:tc>
        <w:tc>
          <w:tcPr>
            <w:tcW w:w="1417" w:type="dxa"/>
            <w:tcBorders>
              <w:top w:val="single" w:sz="8" w:space="0" w:color="auto"/>
              <w:left w:val="nil"/>
              <w:bottom w:val="nil"/>
              <w:right w:val="nil"/>
            </w:tcBorders>
            <w:shd w:val="clear" w:color="000000" w:fill="FFFFFF"/>
            <w:noWrap/>
            <w:vAlign w:val="bottom"/>
            <w:hideMark/>
          </w:tcPr>
          <w:p w14:paraId="047648EF" w14:textId="55C124EE" w:rsidR="002E580A" w:rsidRPr="006E1709" w:rsidRDefault="003E22CA" w:rsidP="002E580A">
            <w:pPr>
              <w:jc w:val="right"/>
              <w:rPr>
                <w:rFonts w:ascii="Arial" w:hAnsi="Arial" w:cs="Arial"/>
                <w:b/>
                <w:sz w:val="20"/>
                <w:szCs w:val="20"/>
                <w:lang w:eastAsia="en-GB"/>
              </w:rPr>
            </w:pPr>
            <w:r>
              <w:rPr>
                <w:rFonts w:ascii="Arial" w:hAnsi="Arial" w:cs="Arial"/>
                <w:b/>
                <w:bCs/>
                <w:sz w:val="20"/>
                <w:szCs w:val="20"/>
                <w:lang w:eastAsia="en-GB"/>
              </w:rPr>
              <w:t>2,526,336</w:t>
            </w:r>
          </w:p>
        </w:tc>
        <w:tc>
          <w:tcPr>
            <w:tcW w:w="1342" w:type="dxa"/>
            <w:tcBorders>
              <w:top w:val="single" w:sz="8" w:space="0" w:color="auto"/>
              <w:left w:val="nil"/>
              <w:bottom w:val="nil"/>
              <w:right w:val="nil"/>
            </w:tcBorders>
            <w:shd w:val="clear" w:color="000000" w:fill="FFFFFF"/>
            <w:noWrap/>
            <w:vAlign w:val="bottom"/>
            <w:hideMark/>
          </w:tcPr>
          <w:p w14:paraId="48D8A734" w14:textId="62CD7B3F" w:rsidR="002E580A" w:rsidRPr="006E1709" w:rsidRDefault="003E22CA" w:rsidP="002E580A">
            <w:pPr>
              <w:jc w:val="right"/>
              <w:rPr>
                <w:rFonts w:ascii="Arial" w:hAnsi="Arial" w:cs="Arial"/>
                <w:b/>
                <w:sz w:val="20"/>
                <w:szCs w:val="20"/>
                <w:lang w:eastAsia="en-GB"/>
              </w:rPr>
            </w:pPr>
            <w:r>
              <w:rPr>
                <w:rFonts w:ascii="Arial" w:hAnsi="Arial" w:cs="Arial"/>
                <w:b/>
                <w:bCs/>
                <w:sz w:val="20"/>
                <w:szCs w:val="20"/>
                <w:lang w:eastAsia="en-GB"/>
              </w:rPr>
              <w:t>2,529,236</w:t>
            </w:r>
          </w:p>
        </w:tc>
        <w:tc>
          <w:tcPr>
            <w:tcW w:w="1418" w:type="dxa"/>
            <w:tcBorders>
              <w:top w:val="single" w:sz="8" w:space="0" w:color="auto"/>
              <w:left w:val="nil"/>
              <w:bottom w:val="nil"/>
              <w:right w:val="nil"/>
            </w:tcBorders>
            <w:shd w:val="clear" w:color="000000" w:fill="FFFFFF"/>
            <w:noWrap/>
            <w:vAlign w:val="bottom"/>
            <w:hideMark/>
          </w:tcPr>
          <w:p w14:paraId="3A936070" w14:textId="75F2F038" w:rsidR="002E580A" w:rsidRPr="006E1709" w:rsidRDefault="003E22CA" w:rsidP="002E580A">
            <w:pPr>
              <w:jc w:val="right"/>
              <w:rPr>
                <w:rFonts w:ascii="Arial" w:hAnsi="Arial" w:cs="Arial"/>
                <w:b/>
                <w:sz w:val="20"/>
                <w:szCs w:val="20"/>
                <w:lang w:eastAsia="en-GB"/>
              </w:rPr>
            </w:pPr>
            <w:r>
              <w:rPr>
                <w:rFonts w:ascii="Arial" w:hAnsi="Arial" w:cs="Arial"/>
                <w:b/>
                <w:bCs/>
                <w:sz w:val="20"/>
                <w:szCs w:val="20"/>
                <w:lang w:eastAsia="en-GB"/>
              </w:rPr>
              <w:t>3,664,296</w:t>
            </w:r>
          </w:p>
        </w:tc>
        <w:tc>
          <w:tcPr>
            <w:tcW w:w="1417" w:type="dxa"/>
            <w:tcBorders>
              <w:top w:val="single" w:sz="8" w:space="0" w:color="auto"/>
              <w:left w:val="nil"/>
              <w:bottom w:val="nil"/>
              <w:right w:val="nil"/>
            </w:tcBorders>
            <w:shd w:val="clear" w:color="000000" w:fill="FFFFFF"/>
            <w:noWrap/>
            <w:vAlign w:val="bottom"/>
            <w:hideMark/>
          </w:tcPr>
          <w:p w14:paraId="42E78DC4" w14:textId="5632B542" w:rsidR="002E580A" w:rsidRPr="006E1709" w:rsidRDefault="003E22CA" w:rsidP="002E580A">
            <w:pPr>
              <w:jc w:val="right"/>
              <w:rPr>
                <w:rFonts w:ascii="Arial" w:hAnsi="Arial" w:cs="Arial"/>
                <w:b/>
                <w:sz w:val="20"/>
                <w:szCs w:val="20"/>
                <w:lang w:eastAsia="en-GB"/>
              </w:rPr>
            </w:pPr>
            <w:r>
              <w:rPr>
                <w:rFonts w:ascii="Arial" w:hAnsi="Arial" w:cs="Arial"/>
                <w:b/>
                <w:bCs/>
                <w:sz w:val="20"/>
                <w:szCs w:val="20"/>
                <w:lang w:eastAsia="en-GB"/>
              </w:rPr>
              <w:t>4,332,116</w:t>
            </w:r>
          </w:p>
        </w:tc>
      </w:tr>
      <w:tr w:rsidR="00CA78ED" w:rsidRPr="004B69EF" w14:paraId="656517BD" w14:textId="77777777" w:rsidTr="00E72656">
        <w:trPr>
          <w:trHeight w:val="29"/>
        </w:trPr>
        <w:tc>
          <w:tcPr>
            <w:tcW w:w="3663" w:type="dxa"/>
            <w:noWrap/>
            <w:vAlign w:val="bottom"/>
            <w:hideMark/>
          </w:tcPr>
          <w:p w14:paraId="6BF2BF78" w14:textId="77777777" w:rsidR="002E580A" w:rsidRPr="006E1709" w:rsidRDefault="002E580A" w:rsidP="002E580A">
            <w:pPr>
              <w:rPr>
                <w:rFonts w:ascii="Arial" w:hAnsi="Arial" w:cs="Arial"/>
                <w:b/>
                <w:sz w:val="20"/>
                <w:szCs w:val="20"/>
              </w:rPr>
            </w:pPr>
            <w:r w:rsidRPr="006E1709">
              <w:rPr>
                <w:rFonts w:ascii="Arial" w:hAnsi="Arial" w:cs="Arial"/>
                <w:sz w:val="20"/>
                <w:szCs w:val="20"/>
              </w:rPr>
              <w:t> </w:t>
            </w:r>
          </w:p>
        </w:tc>
        <w:tc>
          <w:tcPr>
            <w:tcW w:w="1509" w:type="dxa"/>
            <w:tcBorders>
              <w:top w:val="nil"/>
              <w:left w:val="nil"/>
              <w:bottom w:val="nil"/>
              <w:right w:val="nil"/>
            </w:tcBorders>
            <w:noWrap/>
            <w:vAlign w:val="bottom"/>
            <w:hideMark/>
          </w:tcPr>
          <w:p w14:paraId="5AA83EA7" w14:textId="4707E47A" w:rsidR="002E580A" w:rsidRPr="006E1709" w:rsidRDefault="002E580A" w:rsidP="002E580A">
            <w:pPr>
              <w:rPr>
                <w:rFonts w:ascii="Arial" w:hAnsi="Arial" w:cs="Arial"/>
                <w:b/>
                <w:sz w:val="20"/>
                <w:szCs w:val="20"/>
              </w:rPr>
            </w:pPr>
          </w:p>
        </w:tc>
        <w:tc>
          <w:tcPr>
            <w:tcW w:w="1417" w:type="dxa"/>
            <w:tcBorders>
              <w:top w:val="nil"/>
              <w:left w:val="nil"/>
              <w:bottom w:val="nil"/>
              <w:right w:val="nil"/>
            </w:tcBorders>
            <w:noWrap/>
            <w:vAlign w:val="bottom"/>
            <w:hideMark/>
          </w:tcPr>
          <w:p w14:paraId="0378616A" w14:textId="6F2A5B92" w:rsidR="002E580A" w:rsidRPr="006E1709" w:rsidRDefault="002E580A" w:rsidP="002E580A">
            <w:pPr>
              <w:rPr>
                <w:rFonts w:ascii="Arial" w:hAnsi="Arial" w:cs="Arial"/>
                <w:b/>
                <w:sz w:val="20"/>
                <w:szCs w:val="20"/>
              </w:rPr>
            </w:pPr>
          </w:p>
        </w:tc>
        <w:tc>
          <w:tcPr>
            <w:tcW w:w="1342" w:type="dxa"/>
            <w:tcBorders>
              <w:top w:val="nil"/>
              <w:left w:val="nil"/>
              <w:bottom w:val="nil"/>
              <w:right w:val="nil"/>
            </w:tcBorders>
            <w:noWrap/>
            <w:vAlign w:val="bottom"/>
            <w:hideMark/>
          </w:tcPr>
          <w:p w14:paraId="3C3DE3B1" w14:textId="5B9B481D" w:rsidR="002E580A" w:rsidRPr="006E1709" w:rsidRDefault="002E580A" w:rsidP="002E580A">
            <w:pPr>
              <w:rPr>
                <w:rFonts w:ascii="Arial" w:hAnsi="Arial" w:cs="Arial"/>
                <w:b/>
                <w:sz w:val="20"/>
                <w:szCs w:val="20"/>
              </w:rPr>
            </w:pPr>
          </w:p>
        </w:tc>
        <w:tc>
          <w:tcPr>
            <w:tcW w:w="1418" w:type="dxa"/>
            <w:tcBorders>
              <w:top w:val="nil"/>
              <w:left w:val="nil"/>
              <w:bottom w:val="nil"/>
              <w:right w:val="nil"/>
            </w:tcBorders>
            <w:noWrap/>
            <w:vAlign w:val="bottom"/>
            <w:hideMark/>
          </w:tcPr>
          <w:p w14:paraId="2D54E261" w14:textId="06829BAF" w:rsidR="002E580A" w:rsidRPr="006E1709" w:rsidRDefault="002E580A" w:rsidP="002E580A">
            <w:pPr>
              <w:rPr>
                <w:rFonts w:ascii="Arial" w:hAnsi="Arial" w:cs="Arial"/>
                <w:b/>
                <w:sz w:val="20"/>
                <w:szCs w:val="20"/>
              </w:rPr>
            </w:pPr>
          </w:p>
        </w:tc>
        <w:tc>
          <w:tcPr>
            <w:tcW w:w="1417" w:type="dxa"/>
            <w:tcBorders>
              <w:top w:val="nil"/>
              <w:left w:val="nil"/>
              <w:bottom w:val="nil"/>
            </w:tcBorders>
            <w:noWrap/>
            <w:vAlign w:val="bottom"/>
            <w:hideMark/>
          </w:tcPr>
          <w:p w14:paraId="2C7D7E5A" w14:textId="293C39D0" w:rsidR="002E580A" w:rsidRPr="006E1709" w:rsidRDefault="002E580A" w:rsidP="002E580A">
            <w:pPr>
              <w:rPr>
                <w:rFonts w:ascii="Arial" w:hAnsi="Arial" w:cs="Arial"/>
                <w:b/>
                <w:sz w:val="20"/>
                <w:szCs w:val="20"/>
              </w:rPr>
            </w:pPr>
          </w:p>
        </w:tc>
      </w:tr>
      <w:tr w:rsidR="002E2A51" w:rsidRPr="004B69EF" w14:paraId="48D22207" w14:textId="77777777">
        <w:trPr>
          <w:trHeight w:val="25"/>
        </w:trPr>
        <w:tc>
          <w:tcPr>
            <w:tcW w:w="3663" w:type="dxa"/>
            <w:noWrap/>
            <w:vAlign w:val="bottom"/>
            <w:hideMark/>
          </w:tcPr>
          <w:p w14:paraId="724C8DB7" w14:textId="77777777" w:rsidR="002E580A" w:rsidRPr="006E1709" w:rsidRDefault="002E580A" w:rsidP="002E580A">
            <w:pPr>
              <w:rPr>
                <w:rFonts w:ascii="Arial" w:hAnsi="Arial" w:cs="Arial"/>
                <w:sz w:val="20"/>
                <w:szCs w:val="20"/>
              </w:rPr>
            </w:pPr>
            <w:r w:rsidRPr="006E1709">
              <w:rPr>
                <w:rFonts w:ascii="Arial" w:hAnsi="Arial" w:cs="Arial"/>
                <w:sz w:val="20"/>
                <w:szCs w:val="20"/>
              </w:rPr>
              <w:t>Increase/(Decrease) in Balances</w:t>
            </w:r>
          </w:p>
        </w:tc>
        <w:tc>
          <w:tcPr>
            <w:tcW w:w="1509" w:type="dxa"/>
            <w:tcBorders>
              <w:top w:val="nil"/>
              <w:left w:val="nil"/>
              <w:bottom w:val="nil"/>
              <w:right w:val="nil"/>
            </w:tcBorders>
            <w:shd w:val="clear" w:color="000000" w:fill="FFFFFF"/>
            <w:noWrap/>
            <w:vAlign w:val="bottom"/>
            <w:hideMark/>
          </w:tcPr>
          <w:p w14:paraId="7DE5A06F" w14:textId="51F4D10F" w:rsidR="002E580A" w:rsidRPr="006E1709" w:rsidRDefault="007C2302" w:rsidP="002E580A">
            <w:pPr>
              <w:jc w:val="right"/>
              <w:rPr>
                <w:rFonts w:ascii="Arial" w:hAnsi="Arial" w:cs="Arial"/>
                <w:sz w:val="20"/>
                <w:szCs w:val="20"/>
                <w:lang w:eastAsia="en-GB"/>
              </w:rPr>
            </w:pPr>
            <w:r>
              <w:rPr>
                <w:rFonts w:ascii="Arial" w:hAnsi="Arial" w:cs="Arial"/>
                <w:sz w:val="20"/>
                <w:szCs w:val="20"/>
                <w:lang w:eastAsia="en-GB"/>
              </w:rPr>
              <w:t>5,</w:t>
            </w:r>
            <w:r w:rsidR="00596620">
              <w:rPr>
                <w:rFonts w:ascii="Arial" w:hAnsi="Arial" w:cs="Arial"/>
                <w:sz w:val="20"/>
                <w:szCs w:val="20"/>
                <w:lang w:eastAsia="en-GB"/>
              </w:rPr>
              <w:t>100</w:t>
            </w:r>
          </w:p>
        </w:tc>
        <w:tc>
          <w:tcPr>
            <w:tcW w:w="1417" w:type="dxa"/>
            <w:tcBorders>
              <w:top w:val="nil"/>
              <w:left w:val="nil"/>
              <w:bottom w:val="nil"/>
              <w:right w:val="nil"/>
            </w:tcBorders>
            <w:shd w:val="clear" w:color="000000" w:fill="FFFFFF"/>
            <w:noWrap/>
            <w:vAlign w:val="bottom"/>
            <w:hideMark/>
          </w:tcPr>
          <w:p w14:paraId="6D48C55F" w14:textId="33B6DF75" w:rsidR="002E580A" w:rsidRPr="006E1709" w:rsidRDefault="00596620" w:rsidP="002E580A">
            <w:pPr>
              <w:jc w:val="right"/>
              <w:rPr>
                <w:rFonts w:ascii="Arial" w:hAnsi="Arial" w:cs="Arial"/>
                <w:sz w:val="20"/>
                <w:szCs w:val="20"/>
                <w:lang w:eastAsia="en-GB"/>
              </w:rPr>
            </w:pPr>
            <w:r>
              <w:rPr>
                <w:rFonts w:ascii="Arial" w:hAnsi="Arial" w:cs="Arial"/>
                <w:sz w:val="20"/>
                <w:szCs w:val="20"/>
                <w:lang w:eastAsia="en-GB"/>
              </w:rPr>
              <w:t>2,900</w:t>
            </w:r>
          </w:p>
        </w:tc>
        <w:tc>
          <w:tcPr>
            <w:tcW w:w="1342" w:type="dxa"/>
            <w:tcBorders>
              <w:top w:val="nil"/>
              <w:left w:val="nil"/>
              <w:bottom w:val="nil"/>
              <w:right w:val="nil"/>
            </w:tcBorders>
            <w:shd w:val="clear" w:color="000000" w:fill="FFFFFF"/>
            <w:noWrap/>
            <w:vAlign w:val="bottom"/>
            <w:hideMark/>
          </w:tcPr>
          <w:p w14:paraId="1BC8C1E1" w14:textId="5B2D1FEC" w:rsidR="002E580A" w:rsidRPr="006E1709" w:rsidRDefault="00596620" w:rsidP="002E580A">
            <w:pPr>
              <w:jc w:val="right"/>
              <w:rPr>
                <w:rFonts w:ascii="Arial" w:hAnsi="Arial" w:cs="Arial"/>
                <w:sz w:val="20"/>
                <w:szCs w:val="20"/>
                <w:lang w:eastAsia="en-GB"/>
              </w:rPr>
            </w:pPr>
            <w:r>
              <w:rPr>
                <w:rFonts w:ascii="Arial" w:hAnsi="Arial" w:cs="Arial"/>
                <w:sz w:val="20"/>
                <w:szCs w:val="20"/>
                <w:lang w:eastAsia="en-GB"/>
              </w:rPr>
              <w:t>1,135,060</w:t>
            </w:r>
          </w:p>
        </w:tc>
        <w:tc>
          <w:tcPr>
            <w:tcW w:w="1418" w:type="dxa"/>
            <w:tcBorders>
              <w:top w:val="nil"/>
              <w:left w:val="nil"/>
              <w:bottom w:val="nil"/>
              <w:right w:val="nil"/>
            </w:tcBorders>
            <w:shd w:val="clear" w:color="000000" w:fill="FFFFFF"/>
            <w:noWrap/>
            <w:vAlign w:val="bottom"/>
            <w:hideMark/>
          </w:tcPr>
          <w:p w14:paraId="7FC28BA8" w14:textId="0E606362" w:rsidR="002E580A" w:rsidRPr="006E1709" w:rsidRDefault="00596620" w:rsidP="002E580A">
            <w:pPr>
              <w:jc w:val="right"/>
              <w:rPr>
                <w:rFonts w:ascii="Arial" w:hAnsi="Arial" w:cs="Arial"/>
                <w:sz w:val="20"/>
                <w:szCs w:val="20"/>
                <w:lang w:eastAsia="en-GB"/>
              </w:rPr>
            </w:pPr>
            <w:r>
              <w:rPr>
                <w:rFonts w:ascii="Arial" w:hAnsi="Arial" w:cs="Arial"/>
                <w:sz w:val="20"/>
                <w:szCs w:val="20"/>
                <w:lang w:eastAsia="en-GB"/>
              </w:rPr>
              <w:t>667,820</w:t>
            </w:r>
          </w:p>
        </w:tc>
        <w:tc>
          <w:tcPr>
            <w:tcW w:w="1417" w:type="dxa"/>
            <w:tcBorders>
              <w:top w:val="nil"/>
              <w:left w:val="nil"/>
              <w:bottom w:val="nil"/>
              <w:right w:val="nil"/>
            </w:tcBorders>
            <w:shd w:val="clear" w:color="000000" w:fill="FFFFFF"/>
            <w:noWrap/>
            <w:vAlign w:val="bottom"/>
            <w:hideMark/>
          </w:tcPr>
          <w:p w14:paraId="6574B1B4" w14:textId="1ACAA626" w:rsidR="002E580A" w:rsidRPr="006E1709" w:rsidRDefault="00596620" w:rsidP="002E580A">
            <w:pPr>
              <w:jc w:val="right"/>
              <w:rPr>
                <w:rFonts w:ascii="Arial" w:hAnsi="Arial" w:cs="Arial"/>
                <w:sz w:val="20"/>
                <w:szCs w:val="20"/>
                <w:lang w:eastAsia="en-GB"/>
              </w:rPr>
            </w:pPr>
            <w:r>
              <w:rPr>
                <w:rFonts w:ascii="Arial" w:hAnsi="Arial" w:cs="Arial"/>
                <w:sz w:val="20"/>
                <w:szCs w:val="20"/>
                <w:lang w:eastAsia="en-GB"/>
              </w:rPr>
              <w:t>603,570</w:t>
            </w:r>
          </w:p>
        </w:tc>
      </w:tr>
      <w:tr w:rsidR="00886CC3" w:rsidRPr="004B69EF" w14:paraId="451CFD24" w14:textId="77777777" w:rsidTr="00E72656">
        <w:trPr>
          <w:trHeight w:val="29"/>
        </w:trPr>
        <w:tc>
          <w:tcPr>
            <w:tcW w:w="3663" w:type="dxa"/>
            <w:noWrap/>
            <w:vAlign w:val="bottom"/>
            <w:hideMark/>
          </w:tcPr>
          <w:p w14:paraId="40704600" w14:textId="77777777" w:rsidR="002E580A" w:rsidRPr="006E1709" w:rsidRDefault="002E580A" w:rsidP="002E580A">
            <w:pPr>
              <w:rPr>
                <w:rFonts w:ascii="Arial" w:hAnsi="Arial" w:cs="Arial"/>
                <w:sz w:val="20"/>
                <w:szCs w:val="20"/>
              </w:rPr>
            </w:pPr>
            <w:r w:rsidRPr="006E1709">
              <w:rPr>
                <w:rFonts w:ascii="Arial" w:hAnsi="Arial" w:cs="Arial"/>
                <w:sz w:val="20"/>
                <w:szCs w:val="20"/>
              </w:rPr>
              <w:t> </w:t>
            </w:r>
          </w:p>
        </w:tc>
        <w:tc>
          <w:tcPr>
            <w:tcW w:w="1509" w:type="dxa"/>
            <w:tcBorders>
              <w:top w:val="nil"/>
              <w:left w:val="nil"/>
              <w:bottom w:val="single" w:sz="4" w:space="0" w:color="auto"/>
              <w:right w:val="nil"/>
            </w:tcBorders>
            <w:noWrap/>
            <w:vAlign w:val="bottom"/>
            <w:hideMark/>
          </w:tcPr>
          <w:p w14:paraId="2E3A5793" w14:textId="3BF9B154" w:rsidR="002E580A" w:rsidRPr="006E1709" w:rsidRDefault="002E580A" w:rsidP="002E580A">
            <w:pPr>
              <w:rPr>
                <w:rFonts w:ascii="Arial" w:hAnsi="Arial" w:cs="Arial"/>
                <w:b/>
                <w:sz w:val="20"/>
                <w:szCs w:val="20"/>
              </w:rPr>
            </w:pPr>
          </w:p>
        </w:tc>
        <w:tc>
          <w:tcPr>
            <w:tcW w:w="1417" w:type="dxa"/>
            <w:tcBorders>
              <w:top w:val="nil"/>
              <w:left w:val="nil"/>
              <w:bottom w:val="single" w:sz="4" w:space="0" w:color="auto"/>
              <w:right w:val="nil"/>
            </w:tcBorders>
            <w:noWrap/>
            <w:vAlign w:val="bottom"/>
            <w:hideMark/>
          </w:tcPr>
          <w:p w14:paraId="0F3E799F" w14:textId="15BAD7E9" w:rsidR="002E580A" w:rsidRPr="006E1709" w:rsidRDefault="002E580A" w:rsidP="002E580A">
            <w:pPr>
              <w:rPr>
                <w:rFonts w:ascii="Arial" w:hAnsi="Arial" w:cs="Arial"/>
                <w:b/>
                <w:sz w:val="20"/>
                <w:szCs w:val="20"/>
              </w:rPr>
            </w:pPr>
          </w:p>
        </w:tc>
        <w:tc>
          <w:tcPr>
            <w:tcW w:w="1342" w:type="dxa"/>
            <w:tcBorders>
              <w:top w:val="nil"/>
              <w:left w:val="nil"/>
              <w:bottom w:val="single" w:sz="4" w:space="0" w:color="auto"/>
              <w:right w:val="nil"/>
            </w:tcBorders>
            <w:noWrap/>
            <w:vAlign w:val="bottom"/>
            <w:hideMark/>
          </w:tcPr>
          <w:p w14:paraId="6ACC8CB8" w14:textId="79719700" w:rsidR="002E580A" w:rsidRPr="006E1709" w:rsidRDefault="002E580A" w:rsidP="002E580A">
            <w:pPr>
              <w:rPr>
                <w:rFonts w:ascii="Arial" w:hAnsi="Arial" w:cs="Arial"/>
                <w:b/>
                <w:sz w:val="20"/>
                <w:szCs w:val="20"/>
              </w:rPr>
            </w:pPr>
          </w:p>
        </w:tc>
        <w:tc>
          <w:tcPr>
            <w:tcW w:w="1418" w:type="dxa"/>
            <w:tcBorders>
              <w:top w:val="nil"/>
              <w:left w:val="nil"/>
              <w:bottom w:val="single" w:sz="4" w:space="0" w:color="auto"/>
              <w:right w:val="nil"/>
            </w:tcBorders>
            <w:noWrap/>
            <w:vAlign w:val="bottom"/>
            <w:hideMark/>
          </w:tcPr>
          <w:p w14:paraId="443F6561" w14:textId="1B4677E0" w:rsidR="002E580A" w:rsidRPr="006E1709" w:rsidRDefault="002E580A" w:rsidP="002E580A">
            <w:pPr>
              <w:rPr>
                <w:rFonts w:ascii="Arial" w:hAnsi="Arial" w:cs="Arial"/>
                <w:b/>
                <w:sz w:val="20"/>
                <w:szCs w:val="20"/>
              </w:rPr>
            </w:pPr>
          </w:p>
        </w:tc>
        <w:tc>
          <w:tcPr>
            <w:tcW w:w="1417" w:type="dxa"/>
            <w:tcBorders>
              <w:top w:val="nil"/>
              <w:left w:val="nil"/>
              <w:bottom w:val="single" w:sz="4" w:space="0" w:color="auto"/>
            </w:tcBorders>
            <w:noWrap/>
            <w:vAlign w:val="bottom"/>
            <w:hideMark/>
          </w:tcPr>
          <w:p w14:paraId="4F2121DD" w14:textId="5C148BDD" w:rsidR="002E580A" w:rsidRPr="006E1709" w:rsidRDefault="002E580A" w:rsidP="002E580A">
            <w:pPr>
              <w:rPr>
                <w:rFonts w:ascii="Arial" w:hAnsi="Arial" w:cs="Arial"/>
                <w:b/>
                <w:sz w:val="20"/>
                <w:szCs w:val="20"/>
              </w:rPr>
            </w:pPr>
          </w:p>
        </w:tc>
      </w:tr>
      <w:tr w:rsidR="00886CC3" w:rsidRPr="00B174B3" w14:paraId="04826FCF" w14:textId="77777777" w:rsidTr="00E72656">
        <w:trPr>
          <w:trHeight w:val="25"/>
        </w:trPr>
        <w:tc>
          <w:tcPr>
            <w:tcW w:w="3663" w:type="dxa"/>
            <w:noWrap/>
            <w:vAlign w:val="bottom"/>
            <w:hideMark/>
          </w:tcPr>
          <w:p w14:paraId="04283077" w14:textId="77777777" w:rsidR="002E580A" w:rsidRPr="006E1709" w:rsidRDefault="002E580A" w:rsidP="002E580A">
            <w:pPr>
              <w:rPr>
                <w:rFonts w:ascii="Arial" w:hAnsi="Arial" w:cs="Arial"/>
                <w:sz w:val="20"/>
                <w:szCs w:val="20"/>
              </w:rPr>
            </w:pPr>
            <w:r w:rsidRPr="006E1709">
              <w:rPr>
                <w:rFonts w:ascii="Arial" w:hAnsi="Arial" w:cs="Arial"/>
                <w:b/>
                <w:sz w:val="20"/>
                <w:szCs w:val="20"/>
              </w:rPr>
              <w:t>Balances c/f @ 31</w:t>
            </w:r>
            <w:r w:rsidRPr="006E1709">
              <w:rPr>
                <w:rFonts w:ascii="Arial" w:hAnsi="Arial" w:cs="Arial"/>
                <w:b/>
                <w:sz w:val="20"/>
                <w:szCs w:val="20"/>
                <w:vertAlign w:val="superscript"/>
              </w:rPr>
              <w:t>st</w:t>
            </w:r>
            <w:r w:rsidRPr="006E1709">
              <w:rPr>
                <w:rFonts w:ascii="Arial" w:hAnsi="Arial" w:cs="Arial"/>
                <w:b/>
                <w:sz w:val="20"/>
                <w:szCs w:val="20"/>
              </w:rPr>
              <w:t xml:space="preserve"> March</w:t>
            </w:r>
          </w:p>
        </w:tc>
        <w:tc>
          <w:tcPr>
            <w:tcW w:w="1509" w:type="dxa"/>
            <w:tcBorders>
              <w:top w:val="single" w:sz="4" w:space="0" w:color="auto"/>
              <w:left w:val="nil"/>
              <w:bottom w:val="double" w:sz="4" w:space="0" w:color="auto"/>
              <w:right w:val="nil"/>
            </w:tcBorders>
            <w:noWrap/>
            <w:vAlign w:val="bottom"/>
            <w:hideMark/>
          </w:tcPr>
          <w:p w14:paraId="14D7E54E" w14:textId="3C344627" w:rsidR="002E580A" w:rsidRPr="006E1709" w:rsidRDefault="0052640E" w:rsidP="002E580A">
            <w:pPr>
              <w:jc w:val="right"/>
              <w:rPr>
                <w:rFonts w:ascii="Arial" w:hAnsi="Arial" w:cs="Arial"/>
                <w:b/>
                <w:sz w:val="20"/>
                <w:szCs w:val="20"/>
                <w:lang w:eastAsia="en-GB"/>
              </w:rPr>
            </w:pPr>
            <w:r>
              <w:rPr>
                <w:rFonts w:ascii="Arial" w:hAnsi="Arial" w:cs="Arial"/>
                <w:b/>
                <w:sz w:val="20"/>
                <w:szCs w:val="20"/>
                <w:lang w:eastAsia="en-GB"/>
              </w:rPr>
              <w:t>2,526,336</w:t>
            </w:r>
          </w:p>
        </w:tc>
        <w:tc>
          <w:tcPr>
            <w:tcW w:w="1417" w:type="dxa"/>
            <w:tcBorders>
              <w:top w:val="single" w:sz="4" w:space="0" w:color="auto"/>
              <w:left w:val="nil"/>
              <w:bottom w:val="double" w:sz="4" w:space="0" w:color="auto"/>
              <w:right w:val="nil"/>
            </w:tcBorders>
            <w:noWrap/>
            <w:vAlign w:val="bottom"/>
            <w:hideMark/>
          </w:tcPr>
          <w:p w14:paraId="39848AEC" w14:textId="2B058446" w:rsidR="002E580A" w:rsidRPr="006E1709" w:rsidRDefault="00596620" w:rsidP="002E580A">
            <w:pPr>
              <w:jc w:val="right"/>
              <w:rPr>
                <w:rFonts w:ascii="Arial" w:hAnsi="Arial" w:cs="Arial"/>
                <w:b/>
                <w:sz w:val="20"/>
                <w:szCs w:val="20"/>
              </w:rPr>
            </w:pPr>
            <w:r>
              <w:rPr>
                <w:rFonts w:ascii="Arial" w:hAnsi="Arial" w:cs="Arial"/>
                <w:b/>
                <w:sz w:val="20"/>
                <w:szCs w:val="20"/>
              </w:rPr>
              <w:t>2,5</w:t>
            </w:r>
            <w:r w:rsidR="0052640E">
              <w:rPr>
                <w:rFonts w:ascii="Arial" w:hAnsi="Arial" w:cs="Arial"/>
                <w:b/>
                <w:sz w:val="20"/>
                <w:szCs w:val="20"/>
              </w:rPr>
              <w:t>29,236</w:t>
            </w:r>
          </w:p>
        </w:tc>
        <w:tc>
          <w:tcPr>
            <w:tcW w:w="1342" w:type="dxa"/>
            <w:tcBorders>
              <w:top w:val="single" w:sz="4" w:space="0" w:color="auto"/>
              <w:left w:val="nil"/>
              <w:bottom w:val="double" w:sz="4" w:space="0" w:color="auto"/>
              <w:right w:val="nil"/>
            </w:tcBorders>
            <w:noWrap/>
            <w:vAlign w:val="bottom"/>
            <w:hideMark/>
          </w:tcPr>
          <w:p w14:paraId="2CD2524F" w14:textId="2D14B6FC" w:rsidR="002E580A" w:rsidRPr="006E1709" w:rsidRDefault="00596620" w:rsidP="002E580A">
            <w:pPr>
              <w:jc w:val="right"/>
              <w:rPr>
                <w:rFonts w:ascii="Arial" w:hAnsi="Arial" w:cs="Arial"/>
                <w:b/>
                <w:sz w:val="20"/>
                <w:szCs w:val="20"/>
              </w:rPr>
            </w:pPr>
            <w:r>
              <w:rPr>
                <w:rFonts w:ascii="Arial" w:hAnsi="Arial" w:cs="Arial"/>
                <w:b/>
                <w:sz w:val="20"/>
                <w:szCs w:val="20"/>
              </w:rPr>
              <w:t>3,6</w:t>
            </w:r>
            <w:r w:rsidR="0052640E">
              <w:rPr>
                <w:rFonts w:ascii="Arial" w:hAnsi="Arial" w:cs="Arial"/>
                <w:b/>
                <w:sz w:val="20"/>
                <w:szCs w:val="20"/>
              </w:rPr>
              <w:t>64,296</w:t>
            </w:r>
          </w:p>
        </w:tc>
        <w:tc>
          <w:tcPr>
            <w:tcW w:w="1418" w:type="dxa"/>
            <w:tcBorders>
              <w:top w:val="single" w:sz="4" w:space="0" w:color="auto"/>
              <w:left w:val="nil"/>
              <w:bottom w:val="double" w:sz="4" w:space="0" w:color="auto"/>
              <w:right w:val="nil"/>
            </w:tcBorders>
            <w:noWrap/>
            <w:vAlign w:val="bottom"/>
            <w:hideMark/>
          </w:tcPr>
          <w:p w14:paraId="1BAC5A9F" w14:textId="2276C520" w:rsidR="002E580A" w:rsidRPr="006E1709" w:rsidRDefault="00596620" w:rsidP="002E580A">
            <w:pPr>
              <w:jc w:val="right"/>
              <w:rPr>
                <w:rFonts w:ascii="Arial" w:hAnsi="Arial" w:cs="Arial"/>
                <w:b/>
                <w:sz w:val="20"/>
                <w:szCs w:val="20"/>
              </w:rPr>
            </w:pPr>
            <w:r>
              <w:rPr>
                <w:rFonts w:ascii="Arial" w:hAnsi="Arial" w:cs="Arial"/>
                <w:b/>
                <w:sz w:val="20"/>
                <w:szCs w:val="20"/>
              </w:rPr>
              <w:t>4,3</w:t>
            </w:r>
            <w:r w:rsidR="0052640E">
              <w:rPr>
                <w:rFonts w:ascii="Arial" w:hAnsi="Arial" w:cs="Arial"/>
                <w:b/>
                <w:sz w:val="20"/>
                <w:szCs w:val="20"/>
              </w:rPr>
              <w:t>32,116</w:t>
            </w:r>
          </w:p>
        </w:tc>
        <w:tc>
          <w:tcPr>
            <w:tcW w:w="1417" w:type="dxa"/>
            <w:tcBorders>
              <w:top w:val="single" w:sz="4" w:space="0" w:color="auto"/>
              <w:left w:val="nil"/>
              <w:bottom w:val="double" w:sz="4" w:space="0" w:color="auto"/>
              <w:right w:val="nil"/>
            </w:tcBorders>
            <w:noWrap/>
            <w:vAlign w:val="bottom"/>
            <w:hideMark/>
          </w:tcPr>
          <w:p w14:paraId="3E1D48E6" w14:textId="07FC6389" w:rsidR="002E580A" w:rsidRPr="007C2302" w:rsidRDefault="00596620" w:rsidP="002E580A">
            <w:pPr>
              <w:jc w:val="right"/>
              <w:rPr>
                <w:rFonts w:ascii="Arial" w:hAnsi="Arial" w:cs="Arial"/>
                <w:b/>
                <w:sz w:val="20"/>
                <w:szCs w:val="20"/>
              </w:rPr>
            </w:pPr>
            <w:r>
              <w:rPr>
                <w:rFonts w:ascii="Arial" w:hAnsi="Arial" w:cs="Arial"/>
                <w:b/>
                <w:sz w:val="20"/>
                <w:szCs w:val="20"/>
              </w:rPr>
              <w:t>4,9</w:t>
            </w:r>
            <w:r w:rsidR="00744563">
              <w:rPr>
                <w:rFonts w:ascii="Arial" w:hAnsi="Arial" w:cs="Arial"/>
                <w:b/>
                <w:sz w:val="20"/>
                <w:szCs w:val="20"/>
              </w:rPr>
              <w:t>35</w:t>
            </w:r>
            <w:r w:rsidR="00404CAE">
              <w:rPr>
                <w:rFonts w:ascii="Arial" w:hAnsi="Arial" w:cs="Arial"/>
                <w:b/>
                <w:sz w:val="20"/>
                <w:szCs w:val="20"/>
              </w:rPr>
              <w:t>,686</w:t>
            </w:r>
          </w:p>
        </w:tc>
      </w:tr>
      <w:tr w:rsidR="00CA78ED" w:rsidRPr="007951EC" w14:paraId="420A416D" w14:textId="77777777" w:rsidTr="00E72656">
        <w:trPr>
          <w:trHeight w:val="31"/>
        </w:trPr>
        <w:tc>
          <w:tcPr>
            <w:tcW w:w="3663" w:type="dxa"/>
            <w:noWrap/>
            <w:vAlign w:val="bottom"/>
          </w:tcPr>
          <w:p w14:paraId="1B07F9EB" w14:textId="77777777" w:rsidR="002E580A" w:rsidRPr="007C2302" w:rsidRDefault="002E580A" w:rsidP="002E580A">
            <w:pPr>
              <w:rPr>
                <w:rFonts w:ascii="Arial" w:hAnsi="Arial" w:cs="Arial"/>
                <w:b/>
                <w:sz w:val="20"/>
                <w:szCs w:val="20"/>
              </w:rPr>
            </w:pPr>
          </w:p>
        </w:tc>
        <w:tc>
          <w:tcPr>
            <w:tcW w:w="1509" w:type="dxa"/>
            <w:tcBorders>
              <w:top w:val="double" w:sz="4" w:space="0" w:color="auto"/>
              <w:left w:val="nil"/>
              <w:right w:val="nil"/>
            </w:tcBorders>
            <w:noWrap/>
            <w:vAlign w:val="bottom"/>
          </w:tcPr>
          <w:p w14:paraId="1C0B7C2C" w14:textId="77777777" w:rsidR="002E580A" w:rsidRPr="007C2302" w:rsidRDefault="002E580A" w:rsidP="002E580A">
            <w:pPr>
              <w:jc w:val="right"/>
              <w:rPr>
                <w:rFonts w:ascii="Arial" w:hAnsi="Arial" w:cs="Arial"/>
                <w:b/>
                <w:sz w:val="20"/>
                <w:szCs w:val="20"/>
              </w:rPr>
            </w:pPr>
          </w:p>
        </w:tc>
        <w:tc>
          <w:tcPr>
            <w:tcW w:w="1417" w:type="dxa"/>
            <w:tcBorders>
              <w:top w:val="double" w:sz="4" w:space="0" w:color="auto"/>
              <w:left w:val="nil"/>
              <w:right w:val="nil"/>
            </w:tcBorders>
            <w:noWrap/>
            <w:vAlign w:val="bottom"/>
          </w:tcPr>
          <w:p w14:paraId="7FA7689D" w14:textId="77777777" w:rsidR="002E580A" w:rsidRPr="007C2302" w:rsidRDefault="002E580A" w:rsidP="002E580A">
            <w:pPr>
              <w:jc w:val="right"/>
              <w:rPr>
                <w:rFonts w:ascii="Arial" w:hAnsi="Arial" w:cs="Arial"/>
                <w:b/>
                <w:sz w:val="20"/>
                <w:szCs w:val="20"/>
              </w:rPr>
            </w:pPr>
          </w:p>
        </w:tc>
        <w:tc>
          <w:tcPr>
            <w:tcW w:w="1342" w:type="dxa"/>
            <w:tcBorders>
              <w:top w:val="double" w:sz="4" w:space="0" w:color="auto"/>
              <w:left w:val="nil"/>
              <w:right w:val="nil"/>
            </w:tcBorders>
            <w:noWrap/>
            <w:vAlign w:val="bottom"/>
          </w:tcPr>
          <w:p w14:paraId="54655DEC" w14:textId="77777777" w:rsidR="002E580A" w:rsidRPr="007C2302" w:rsidRDefault="002E580A" w:rsidP="002E580A">
            <w:pPr>
              <w:jc w:val="right"/>
              <w:rPr>
                <w:rFonts w:ascii="Arial" w:hAnsi="Arial" w:cs="Arial"/>
                <w:b/>
                <w:sz w:val="20"/>
                <w:szCs w:val="20"/>
              </w:rPr>
            </w:pPr>
          </w:p>
        </w:tc>
        <w:tc>
          <w:tcPr>
            <w:tcW w:w="1418" w:type="dxa"/>
            <w:tcBorders>
              <w:top w:val="double" w:sz="4" w:space="0" w:color="auto"/>
              <w:left w:val="nil"/>
              <w:right w:val="nil"/>
            </w:tcBorders>
            <w:noWrap/>
            <w:vAlign w:val="bottom"/>
          </w:tcPr>
          <w:p w14:paraId="4FD10F8F" w14:textId="77777777" w:rsidR="002E580A" w:rsidRPr="007C2302" w:rsidRDefault="002E580A" w:rsidP="002E580A">
            <w:pPr>
              <w:jc w:val="right"/>
              <w:rPr>
                <w:rFonts w:ascii="Arial" w:hAnsi="Arial" w:cs="Arial"/>
                <w:b/>
                <w:sz w:val="20"/>
                <w:szCs w:val="20"/>
              </w:rPr>
            </w:pPr>
          </w:p>
        </w:tc>
        <w:tc>
          <w:tcPr>
            <w:tcW w:w="1417" w:type="dxa"/>
            <w:tcBorders>
              <w:top w:val="double" w:sz="4" w:space="0" w:color="auto"/>
              <w:left w:val="nil"/>
              <w:right w:val="nil"/>
            </w:tcBorders>
            <w:noWrap/>
            <w:vAlign w:val="bottom"/>
          </w:tcPr>
          <w:p w14:paraId="224EBF36" w14:textId="77777777" w:rsidR="002E580A" w:rsidRPr="007C2302" w:rsidRDefault="002E580A" w:rsidP="002E580A">
            <w:pPr>
              <w:jc w:val="right"/>
              <w:rPr>
                <w:rFonts w:ascii="Arial" w:hAnsi="Arial" w:cs="Arial"/>
                <w:b/>
                <w:sz w:val="20"/>
                <w:szCs w:val="20"/>
              </w:rPr>
            </w:pPr>
          </w:p>
        </w:tc>
      </w:tr>
    </w:tbl>
    <w:p w14:paraId="1E7CBF07" w14:textId="77777777" w:rsidR="00887FC8" w:rsidRPr="005C6861" w:rsidRDefault="00887FC8" w:rsidP="000F721C">
      <w:pPr>
        <w:rPr>
          <w:rFonts w:ascii="Arial" w:hAnsi="Arial" w:cs="Arial"/>
          <w:b/>
          <w:bCs/>
          <w:sz w:val="22"/>
          <w:szCs w:val="22"/>
        </w:rPr>
        <w:sectPr w:rsidR="00887FC8" w:rsidRPr="005C6861" w:rsidSect="00963B6A">
          <w:headerReference w:type="default" r:id="rId28"/>
          <w:pgSz w:w="11906" w:h="16838" w:code="9"/>
          <w:pgMar w:top="1440" w:right="1106" w:bottom="1440" w:left="902" w:header="709" w:footer="709" w:gutter="0"/>
          <w:pgBorders w:offsetFrom="page">
            <w:bottom w:val="single" w:sz="4" w:space="24" w:color="auto"/>
          </w:pgBorders>
          <w:cols w:space="708"/>
          <w:docGrid w:linePitch="360"/>
        </w:sectPr>
      </w:pPr>
    </w:p>
    <w:tbl>
      <w:tblPr>
        <w:tblW w:w="10618" w:type="dxa"/>
        <w:tblInd w:w="108" w:type="dxa"/>
        <w:tblLook w:val="04A0" w:firstRow="1" w:lastRow="0" w:firstColumn="1" w:lastColumn="0" w:noHBand="0" w:noVBand="1"/>
      </w:tblPr>
      <w:tblGrid>
        <w:gridCol w:w="3861"/>
        <w:gridCol w:w="1351"/>
        <w:gridCol w:w="1351"/>
        <w:gridCol w:w="1351"/>
        <w:gridCol w:w="1351"/>
        <w:gridCol w:w="1353"/>
      </w:tblGrid>
      <w:tr w:rsidR="002E2A51" w:rsidRPr="004B69EF" w14:paraId="6048A57E" w14:textId="77777777" w:rsidTr="00022925">
        <w:trPr>
          <w:trHeight w:val="300"/>
        </w:trPr>
        <w:tc>
          <w:tcPr>
            <w:tcW w:w="10618" w:type="dxa"/>
            <w:gridSpan w:val="6"/>
            <w:tcBorders>
              <w:top w:val="nil"/>
              <w:left w:val="nil"/>
              <w:bottom w:val="nil"/>
              <w:right w:val="nil"/>
            </w:tcBorders>
            <w:shd w:val="clear" w:color="auto" w:fill="FFFFFF"/>
            <w:noWrap/>
            <w:vAlign w:val="center"/>
            <w:hideMark/>
          </w:tcPr>
          <w:p w14:paraId="32B92D83" w14:textId="40726D35" w:rsidR="0046566B" w:rsidRPr="00596620" w:rsidRDefault="0046566B">
            <w:pPr>
              <w:jc w:val="center"/>
              <w:rPr>
                <w:rFonts w:ascii="Arial" w:hAnsi="Arial" w:cs="Arial"/>
                <w:b/>
                <w:color w:val="000000"/>
                <w:sz w:val="20"/>
                <w:szCs w:val="20"/>
              </w:rPr>
            </w:pPr>
            <w:r w:rsidRPr="00596620">
              <w:rPr>
                <w:rFonts w:ascii="Arial" w:hAnsi="Arial" w:cs="Arial"/>
                <w:b/>
                <w:color w:val="000000"/>
                <w:sz w:val="20"/>
                <w:szCs w:val="20"/>
              </w:rPr>
              <w:t>HOUSING REVENUE ACCOUNT SUMMARY 202</w:t>
            </w:r>
            <w:r w:rsidR="000B6485" w:rsidRPr="00596620">
              <w:rPr>
                <w:rFonts w:ascii="Arial" w:hAnsi="Arial" w:cs="Arial"/>
                <w:b/>
                <w:color w:val="000000"/>
                <w:sz w:val="20"/>
                <w:szCs w:val="20"/>
              </w:rPr>
              <w:t>6</w:t>
            </w:r>
            <w:r w:rsidR="005C588A" w:rsidRPr="00596620">
              <w:rPr>
                <w:rFonts w:ascii="Arial" w:hAnsi="Arial" w:cs="Arial"/>
                <w:b/>
                <w:color w:val="000000"/>
                <w:sz w:val="20"/>
                <w:szCs w:val="20"/>
              </w:rPr>
              <w:t>/2</w:t>
            </w:r>
            <w:r w:rsidR="000B6485" w:rsidRPr="00596620">
              <w:rPr>
                <w:rFonts w:ascii="Arial" w:hAnsi="Arial" w:cs="Arial"/>
                <w:b/>
                <w:color w:val="000000"/>
                <w:sz w:val="20"/>
                <w:szCs w:val="20"/>
              </w:rPr>
              <w:t>7</w:t>
            </w:r>
            <w:r w:rsidRPr="00596620">
              <w:rPr>
                <w:rFonts w:ascii="Arial" w:hAnsi="Arial" w:cs="Arial"/>
                <w:b/>
                <w:color w:val="000000"/>
                <w:sz w:val="20"/>
                <w:szCs w:val="20"/>
              </w:rPr>
              <w:t xml:space="preserve"> </w:t>
            </w:r>
            <w:r w:rsidR="005C588A" w:rsidRPr="00596620">
              <w:rPr>
                <w:rFonts w:ascii="Arial" w:hAnsi="Arial" w:cs="Arial"/>
                <w:b/>
                <w:color w:val="000000"/>
                <w:sz w:val="20"/>
                <w:szCs w:val="20"/>
              </w:rPr>
              <w:t>–</w:t>
            </w:r>
            <w:r w:rsidRPr="00596620">
              <w:rPr>
                <w:rFonts w:ascii="Arial" w:hAnsi="Arial" w:cs="Arial"/>
                <w:b/>
                <w:color w:val="000000"/>
                <w:sz w:val="20"/>
                <w:szCs w:val="20"/>
              </w:rPr>
              <w:t xml:space="preserve"> 20</w:t>
            </w:r>
            <w:r w:rsidR="000B6485" w:rsidRPr="00596620">
              <w:rPr>
                <w:rFonts w:ascii="Arial" w:hAnsi="Arial" w:cs="Arial"/>
                <w:b/>
                <w:color w:val="000000"/>
                <w:sz w:val="20"/>
                <w:szCs w:val="20"/>
              </w:rPr>
              <w:t>30</w:t>
            </w:r>
            <w:r w:rsidR="005C588A" w:rsidRPr="00596620">
              <w:rPr>
                <w:rFonts w:ascii="Arial" w:hAnsi="Arial" w:cs="Arial"/>
                <w:b/>
                <w:color w:val="000000"/>
                <w:sz w:val="20"/>
                <w:szCs w:val="20"/>
              </w:rPr>
              <w:t>/</w:t>
            </w:r>
            <w:r w:rsidR="00022925" w:rsidRPr="00596620">
              <w:rPr>
                <w:rFonts w:ascii="Arial" w:hAnsi="Arial" w:cs="Arial"/>
                <w:b/>
                <w:color w:val="000000"/>
                <w:sz w:val="20"/>
                <w:szCs w:val="20"/>
              </w:rPr>
              <w:t>3</w:t>
            </w:r>
            <w:r w:rsidR="000B6485" w:rsidRPr="00596620">
              <w:rPr>
                <w:rFonts w:ascii="Arial" w:hAnsi="Arial" w:cs="Arial"/>
                <w:b/>
                <w:color w:val="000000"/>
                <w:sz w:val="20"/>
                <w:szCs w:val="20"/>
              </w:rPr>
              <w:t>1</w:t>
            </w:r>
          </w:p>
          <w:p w14:paraId="47D71E05" w14:textId="77777777" w:rsidR="00926566" w:rsidRPr="00596620" w:rsidRDefault="00926566">
            <w:pPr>
              <w:jc w:val="center"/>
              <w:rPr>
                <w:rFonts w:ascii="Arial" w:hAnsi="Arial" w:cs="Arial"/>
                <w:b/>
                <w:color w:val="000000"/>
                <w:sz w:val="20"/>
                <w:szCs w:val="20"/>
              </w:rPr>
            </w:pPr>
          </w:p>
          <w:p w14:paraId="0513B663" w14:textId="77777777" w:rsidR="00E41410" w:rsidRPr="00596620" w:rsidRDefault="00E41410">
            <w:pPr>
              <w:jc w:val="center"/>
              <w:rPr>
                <w:rFonts w:ascii="Arial" w:hAnsi="Arial" w:cs="Arial"/>
                <w:b/>
                <w:color w:val="000000"/>
                <w:sz w:val="20"/>
                <w:szCs w:val="20"/>
                <w:lang w:eastAsia="en-GB"/>
              </w:rPr>
            </w:pPr>
          </w:p>
        </w:tc>
      </w:tr>
      <w:tr w:rsidR="00CA78ED" w:rsidRPr="004B69EF" w14:paraId="221C55BB" w14:textId="77777777" w:rsidTr="00022925">
        <w:trPr>
          <w:trHeight w:val="300"/>
        </w:trPr>
        <w:tc>
          <w:tcPr>
            <w:tcW w:w="3861" w:type="dxa"/>
            <w:tcBorders>
              <w:top w:val="nil"/>
              <w:left w:val="nil"/>
              <w:bottom w:val="nil"/>
              <w:right w:val="nil"/>
            </w:tcBorders>
            <w:shd w:val="clear" w:color="auto" w:fill="FFFFFF"/>
            <w:vAlign w:val="center"/>
            <w:hideMark/>
          </w:tcPr>
          <w:p w14:paraId="5E01AF15" w14:textId="77777777" w:rsidR="00022925" w:rsidRPr="00596620" w:rsidRDefault="00022925" w:rsidP="00022925">
            <w:pPr>
              <w:jc w:val="center"/>
              <w:rPr>
                <w:rFonts w:ascii="Arial" w:hAnsi="Arial" w:cs="Arial"/>
                <w:color w:val="000000"/>
                <w:sz w:val="20"/>
                <w:szCs w:val="20"/>
              </w:rPr>
            </w:pPr>
            <w:r w:rsidRPr="00596620">
              <w:rPr>
                <w:rFonts w:ascii="Arial" w:hAnsi="Arial" w:cs="Arial"/>
                <w:color w:val="000000"/>
                <w:sz w:val="20"/>
                <w:szCs w:val="20"/>
              </w:rPr>
              <w:t> </w:t>
            </w:r>
          </w:p>
        </w:tc>
        <w:tc>
          <w:tcPr>
            <w:tcW w:w="1351" w:type="dxa"/>
            <w:tcBorders>
              <w:top w:val="nil"/>
              <w:left w:val="nil"/>
              <w:bottom w:val="nil"/>
              <w:right w:val="nil"/>
            </w:tcBorders>
            <w:shd w:val="clear" w:color="auto" w:fill="FFFFFF"/>
            <w:noWrap/>
            <w:vAlign w:val="center"/>
            <w:hideMark/>
          </w:tcPr>
          <w:p w14:paraId="01A6B072" w14:textId="3C62DD7C" w:rsidR="00022925" w:rsidRPr="00596620" w:rsidRDefault="005D0310" w:rsidP="00022925">
            <w:pPr>
              <w:jc w:val="center"/>
              <w:rPr>
                <w:rFonts w:ascii="Arial" w:hAnsi="Arial" w:cs="Arial"/>
                <w:b/>
                <w:color w:val="000000"/>
                <w:sz w:val="20"/>
                <w:szCs w:val="20"/>
              </w:rPr>
            </w:pPr>
            <w:r w:rsidRPr="00596620">
              <w:rPr>
                <w:rFonts w:ascii="Arial" w:hAnsi="Arial" w:cs="Arial"/>
                <w:b/>
                <w:color w:val="000000"/>
                <w:sz w:val="20"/>
                <w:szCs w:val="20"/>
              </w:rPr>
              <w:t>2026/27</w:t>
            </w:r>
          </w:p>
        </w:tc>
        <w:tc>
          <w:tcPr>
            <w:tcW w:w="1351" w:type="dxa"/>
            <w:tcBorders>
              <w:top w:val="nil"/>
              <w:left w:val="nil"/>
              <w:bottom w:val="nil"/>
              <w:right w:val="nil"/>
            </w:tcBorders>
            <w:shd w:val="clear" w:color="auto" w:fill="FFFFFF"/>
            <w:noWrap/>
            <w:vAlign w:val="center"/>
            <w:hideMark/>
          </w:tcPr>
          <w:p w14:paraId="72CBA388" w14:textId="69885334" w:rsidR="00022925" w:rsidRPr="00596620" w:rsidRDefault="005D0310" w:rsidP="00022925">
            <w:pPr>
              <w:jc w:val="center"/>
              <w:rPr>
                <w:rFonts w:ascii="Arial" w:hAnsi="Arial" w:cs="Arial"/>
                <w:b/>
                <w:color w:val="000000"/>
                <w:sz w:val="20"/>
                <w:szCs w:val="20"/>
              </w:rPr>
            </w:pPr>
            <w:r w:rsidRPr="00596620">
              <w:rPr>
                <w:rFonts w:ascii="Arial" w:hAnsi="Arial" w:cs="Arial"/>
                <w:b/>
                <w:color w:val="000000"/>
                <w:sz w:val="20"/>
                <w:szCs w:val="20"/>
              </w:rPr>
              <w:t>2027/28</w:t>
            </w:r>
          </w:p>
        </w:tc>
        <w:tc>
          <w:tcPr>
            <w:tcW w:w="1351" w:type="dxa"/>
            <w:tcBorders>
              <w:top w:val="nil"/>
              <w:left w:val="nil"/>
              <w:bottom w:val="nil"/>
              <w:right w:val="nil"/>
            </w:tcBorders>
            <w:shd w:val="clear" w:color="auto" w:fill="FFFFFF"/>
            <w:noWrap/>
            <w:vAlign w:val="center"/>
            <w:hideMark/>
          </w:tcPr>
          <w:p w14:paraId="094D995D" w14:textId="746127C9" w:rsidR="00022925" w:rsidRPr="00596620" w:rsidRDefault="005D0310" w:rsidP="00022925">
            <w:pPr>
              <w:jc w:val="center"/>
              <w:rPr>
                <w:rFonts w:ascii="Arial" w:hAnsi="Arial" w:cs="Arial"/>
                <w:b/>
                <w:color w:val="000000"/>
                <w:sz w:val="20"/>
                <w:szCs w:val="20"/>
              </w:rPr>
            </w:pPr>
            <w:r w:rsidRPr="00596620">
              <w:rPr>
                <w:rFonts w:ascii="Arial" w:hAnsi="Arial" w:cs="Arial"/>
                <w:b/>
                <w:color w:val="000000"/>
                <w:sz w:val="20"/>
                <w:szCs w:val="20"/>
              </w:rPr>
              <w:t>2028/29</w:t>
            </w:r>
          </w:p>
        </w:tc>
        <w:tc>
          <w:tcPr>
            <w:tcW w:w="1351" w:type="dxa"/>
            <w:tcBorders>
              <w:top w:val="nil"/>
              <w:left w:val="nil"/>
              <w:bottom w:val="nil"/>
              <w:right w:val="nil"/>
            </w:tcBorders>
            <w:shd w:val="clear" w:color="auto" w:fill="FFFFFF"/>
            <w:noWrap/>
            <w:vAlign w:val="center"/>
            <w:hideMark/>
          </w:tcPr>
          <w:p w14:paraId="010134AB" w14:textId="1401B7BB" w:rsidR="00022925" w:rsidRPr="00596620" w:rsidRDefault="005D0310" w:rsidP="00022925">
            <w:pPr>
              <w:jc w:val="center"/>
              <w:rPr>
                <w:rFonts w:ascii="Arial" w:hAnsi="Arial" w:cs="Arial"/>
                <w:b/>
                <w:color w:val="000000"/>
                <w:sz w:val="20"/>
                <w:szCs w:val="20"/>
              </w:rPr>
            </w:pPr>
            <w:r w:rsidRPr="00596620">
              <w:rPr>
                <w:rFonts w:ascii="Arial" w:hAnsi="Arial" w:cs="Arial"/>
                <w:b/>
                <w:color w:val="000000"/>
                <w:sz w:val="20"/>
                <w:szCs w:val="20"/>
              </w:rPr>
              <w:t>2029/30</w:t>
            </w:r>
          </w:p>
        </w:tc>
        <w:tc>
          <w:tcPr>
            <w:tcW w:w="1353" w:type="dxa"/>
            <w:tcBorders>
              <w:top w:val="nil"/>
              <w:left w:val="nil"/>
              <w:bottom w:val="nil"/>
              <w:right w:val="nil"/>
            </w:tcBorders>
            <w:shd w:val="clear" w:color="auto" w:fill="FFFFFF"/>
            <w:noWrap/>
            <w:vAlign w:val="center"/>
            <w:hideMark/>
          </w:tcPr>
          <w:p w14:paraId="264E3A39" w14:textId="5C007AEA" w:rsidR="00022925" w:rsidRPr="00596620" w:rsidRDefault="005D0310" w:rsidP="00022925">
            <w:pPr>
              <w:jc w:val="center"/>
              <w:rPr>
                <w:rFonts w:ascii="Arial" w:hAnsi="Arial" w:cs="Arial"/>
                <w:b/>
                <w:color w:val="000000"/>
                <w:sz w:val="20"/>
                <w:szCs w:val="20"/>
              </w:rPr>
            </w:pPr>
            <w:r w:rsidRPr="00596620">
              <w:rPr>
                <w:rFonts w:ascii="Arial" w:hAnsi="Arial" w:cs="Arial"/>
                <w:b/>
                <w:color w:val="000000"/>
                <w:sz w:val="20"/>
                <w:szCs w:val="20"/>
              </w:rPr>
              <w:t>2030/31</w:t>
            </w:r>
          </w:p>
        </w:tc>
      </w:tr>
      <w:tr w:rsidR="00CA78ED" w:rsidRPr="004B69EF" w14:paraId="2664151E" w14:textId="77777777" w:rsidTr="00022925">
        <w:trPr>
          <w:trHeight w:val="300"/>
        </w:trPr>
        <w:tc>
          <w:tcPr>
            <w:tcW w:w="3861" w:type="dxa"/>
            <w:tcBorders>
              <w:top w:val="nil"/>
              <w:left w:val="nil"/>
              <w:bottom w:val="nil"/>
              <w:right w:val="nil"/>
            </w:tcBorders>
            <w:shd w:val="clear" w:color="auto" w:fill="FFFFFF"/>
            <w:vAlign w:val="center"/>
            <w:hideMark/>
          </w:tcPr>
          <w:p w14:paraId="3411AEAE"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 </w:t>
            </w:r>
          </w:p>
        </w:tc>
        <w:tc>
          <w:tcPr>
            <w:tcW w:w="1351" w:type="dxa"/>
            <w:tcBorders>
              <w:top w:val="nil"/>
              <w:left w:val="nil"/>
              <w:bottom w:val="nil"/>
              <w:right w:val="nil"/>
            </w:tcBorders>
            <w:shd w:val="clear" w:color="auto" w:fill="FFFFFF"/>
            <w:noWrap/>
            <w:vAlign w:val="center"/>
            <w:hideMark/>
          </w:tcPr>
          <w:p w14:paraId="25670CD6" w14:textId="771E3799" w:rsidR="00022925" w:rsidRPr="00596620" w:rsidRDefault="00022925" w:rsidP="00022925">
            <w:pPr>
              <w:jc w:val="center"/>
              <w:rPr>
                <w:rFonts w:ascii="Arial" w:hAnsi="Arial" w:cs="Arial"/>
                <w:b/>
                <w:color w:val="000000"/>
                <w:sz w:val="20"/>
                <w:szCs w:val="20"/>
              </w:rPr>
            </w:pPr>
            <w:r w:rsidRPr="00596620">
              <w:rPr>
                <w:rFonts w:ascii="Arial" w:hAnsi="Arial" w:cs="Arial"/>
                <w:b/>
                <w:color w:val="000000"/>
                <w:sz w:val="20"/>
                <w:szCs w:val="20"/>
              </w:rPr>
              <w:t>Estimate</w:t>
            </w:r>
          </w:p>
        </w:tc>
        <w:tc>
          <w:tcPr>
            <w:tcW w:w="1351" w:type="dxa"/>
            <w:tcBorders>
              <w:top w:val="nil"/>
              <w:left w:val="nil"/>
              <w:bottom w:val="nil"/>
              <w:right w:val="nil"/>
            </w:tcBorders>
            <w:shd w:val="clear" w:color="auto" w:fill="FFFFFF"/>
            <w:noWrap/>
            <w:vAlign w:val="center"/>
            <w:hideMark/>
          </w:tcPr>
          <w:p w14:paraId="7D6431BC" w14:textId="29756775" w:rsidR="00022925" w:rsidRPr="00596620" w:rsidRDefault="00022925" w:rsidP="00022925">
            <w:pPr>
              <w:jc w:val="center"/>
              <w:rPr>
                <w:rFonts w:ascii="Arial" w:hAnsi="Arial" w:cs="Arial"/>
                <w:b/>
                <w:color w:val="000000"/>
                <w:sz w:val="20"/>
                <w:szCs w:val="20"/>
              </w:rPr>
            </w:pPr>
            <w:r w:rsidRPr="00596620">
              <w:rPr>
                <w:rFonts w:ascii="Arial" w:hAnsi="Arial" w:cs="Arial"/>
                <w:b/>
                <w:color w:val="000000"/>
                <w:sz w:val="20"/>
                <w:szCs w:val="20"/>
              </w:rPr>
              <w:t>Estimate</w:t>
            </w:r>
          </w:p>
        </w:tc>
        <w:tc>
          <w:tcPr>
            <w:tcW w:w="1351" w:type="dxa"/>
            <w:tcBorders>
              <w:top w:val="nil"/>
              <w:left w:val="nil"/>
              <w:bottom w:val="nil"/>
              <w:right w:val="nil"/>
            </w:tcBorders>
            <w:shd w:val="clear" w:color="auto" w:fill="FFFFFF"/>
            <w:noWrap/>
            <w:vAlign w:val="center"/>
            <w:hideMark/>
          </w:tcPr>
          <w:p w14:paraId="07D50681" w14:textId="07FA3C66" w:rsidR="00022925" w:rsidRPr="00596620" w:rsidRDefault="00022925" w:rsidP="00022925">
            <w:pPr>
              <w:jc w:val="center"/>
              <w:rPr>
                <w:rFonts w:ascii="Arial" w:hAnsi="Arial" w:cs="Arial"/>
                <w:b/>
                <w:color w:val="000000"/>
                <w:sz w:val="20"/>
                <w:szCs w:val="20"/>
              </w:rPr>
            </w:pPr>
            <w:r w:rsidRPr="00596620">
              <w:rPr>
                <w:rFonts w:ascii="Arial" w:hAnsi="Arial" w:cs="Arial"/>
                <w:b/>
                <w:color w:val="000000"/>
                <w:sz w:val="20"/>
                <w:szCs w:val="20"/>
              </w:rPr>
              <w:t>Estimate</w:t>
            </w:r>
          </w:p>
        </w:tc>
        <w:tc>
          <w:tcPr>
            <w:tcW w:w="1351" w:type="dxa"/>
            <w:tcBorders>
              <w:top w:val="nil"/>
              <w:left w:val="nil"/>
              <w:bottom w:val="nil"/>
              <w:right w:val="nil"/>
            </w:tcBorders>
            <w:shd w:val="clear" w:color="auto" w:fill="FFFFFF"/>
            <w:noWrap/>
            <w:vAlign w:val="center"/>
            <w:hideMark/>
          </w:tcPr>
          <w:p w14:paraId="12672ED9" w14:textId="619E3965" w:rsidR="00022925" w:rsidRPr="00596620" w:rsidRDefault="00022925" w:rsidP="00022925">
            <w:pPr>
              <w:jc w:val="center"/>
              <w:rPr>
                <w:rFonts w:ascii="Arial" w:hAnsi="Arial" w:cs="Arial"/>
                <w:b/>
                <w:color w:val="000000"/>
                <w:sz w:val="20"/>
                <w:szCs w:val="20"/>
              </w:rPr>
            </w:pPr>
            <w:r w:rsidRPr="00596620">
              <w:rPr>
                <w:rFonts w:ascii="Arial" w:hAnsi="Arial" w:cs="Arial"/>
                <w:b/>
                <w:color w:val="000000"/>
                <w:sz w:val="20"/>
                <w:szCs w:val="20"/>
              </w:rPr>
              <w:t>Estimate</w:t>
            </w:r>
          </w:p>
        </w:tc>
        <w:tc>
          <w:tcPr>
            <w:tcW w:w="1353" w:type="dxa"/>
            <w:tcBorders>
              <w:top w:val="nil"/>
              <w:left w:val="nil"/>
              <w:bottom w:val="nil"/>
              <w:right w:val="nil"/>
            </w:tcBorders>
            <w:shd w:val="clear" w:color="auto" w:fill="FFFFFF"/>
            <w:noWrap/>
            <w:vAlign w:val="center"/>
            <w:hideMark/>
          </w:tcPr>
          <w:p w14:paraId="1B7D0636" w14:textId="77777777" w:rsidR="00022925" w:rsidRPr="00596620" w:rsidRDefault="00022925" w:rsidP="00022925">
            <w:pPr>
              <w:jc w:val="center"/>
              <w:rPr>
                <w:rFonts w:ascii="Arial" w:hAnsi="Arial" w:cs="Arial"/>
                <w:b/>
                <w:color w:val="000000"/>
                <w:sz w:val="20"/>
                <w:szCs w:val="20"/>
              </w:rPr>
            </w:pPr>
            <w:r w:rsidRPr="00596620">
              <w:rPr>
                <w:rFonts w:ascii="Arial" w:hAnsi="Arial" w:cs="Arial"/>
                <w:b/>
                <w:color w:val="000000"/>
                <w:sz w:val="20"/>
                <w:szCs w:val="20"/>
              </w:rPr>
              <w:t>Estimate</w:t>
            </w:r>
          </w:p>
        </w:tc>
      </w:tr>
      <w:tr w:rsidR="00CA78ED" w:rsidRPr="004B69EF" w14:paraId="552F0F81" w14:textId="77777777" w:rsidTr="00022925">
        <w:trPr>
          <w:trHeight w:val="300"/>
        </w:trPr>
        <w:tc>
          <w:tcPr>
            <w:tcW w:w="3861" w:type="dxa"/>
            <w:tcBorders>
              <w:top w:val="nil"/>
              <w:left w:val="nil"/>
              <w:bottom w:val="nil"/>
              <w:right w:val="nil"/>
            </w:tcBorders>
            <w:shd w:val="clear" w:color="auto" w:fill="FFFFFF"/>
            <w:vAlign w:val="center"/>
            <w:hideMark/>
          </w:tcPr>
          <w:p w14:paraId="688AEF05"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 </w:t>
            </w:r>
          </w:p>
        </w:tc>
        <w:tc>
          <w:tcPr>
            <w:tcW w:w="1351" w:type="dxa"/>
            <w:tcBorders>
              <w:top w:val="nil"/>
              <w:left w:val="nil"/>
              <w:bottom w:val="nil"/>
              <w:right w:val="nil"/>
            </w:tcBorders>
            <w:shd w:val="clear" w:color="auto" w:fill="FFFFFF"/>
            <w:noWrap/>
            <w:vAlign w:val="center"/>
            <w:hideMark/>
          </w:tcPr>
          <w:p w14:paraId="35008BD4" w14:textId="77777777" w:rsidR="00022925" w:rsidRPr="00596620" w:rsidRDefault="00022925" w:rsidP="00022925">
            <w:pPr>
              <w:jc w:val="center"/>
              <w:rPr>
                <w:rFonts w:ascii="Arial" w:hAnsi="Arial" w:cs="Arial"/>
                <w:b/>
                <w:color w:val="000000"/>
                <w:sz w:val="20"/>
                <w:szCs w:val="20"/>
              </w:rPr>
            </w:pPr>
            <w:r w:rsidRPr="00596620">
              <w:rPr>
                <w:rFonts w:ascii="Arial" w:hAnsi="Arial" w:cs="Arial"/>
                <w:b/>
                <w:color w:val="000000"/>
                <w:sz w:val="20"/>
                <w:szCs w:val="20"/>
              </w:rPr>
              <w:t>£</w:t>
            </w:r>
          </w:p>
        </w:tc>
        <w:tc>
          <w:tcPr>
            <w:tcW w:w="1351" w:type="dxa"/>
            <w:tcBorders>
              <w:top w:val="nil"/>
              <w:left w:val="nil"/>
              <w:bottom w:val="nil"/>
              <w:right w:val="nil"/>
            </w:tcBorders>
            <w:shd w:val="clear" w:color="auto" w:fill="FFFFFF"/>
            <w:noWrap/>
            <w:vAlign w:val="center"/>
            <w:hideMark/>
          </w:tcPr>
          <w:p w14:paraId="710104E7" w14:textId="77777777" w:rsidR="00022925" w:rsidRPr="00596620" w:rsidRDefault="00022925" w:rsidP="00022925">
            <w:pPr>
              <w:jc w:val="center"/>
              <w:rPr>
                <w:rFonts w:ascii="Arial" w:hAnsi="Arial" w:cs="Arial"/>
                <w:b/>
                <w:color w:val="000000"/>
                <w:sz w:val="20"/>
                <w:szCs w:val="20"/>
              </w:rPr>
            </w:pPr>
            <w:r w:rsidRPr="00596620">
              <w:rPr>
                <w:rFonts w:ascii="Arial" w:hAnsi="Arial" w:cs="Arial"/>
                <w:b/>
                <w:color w:val="000000"/>
                <w:sz w:val="20"/>
                <w:szCs w:val="20"/>
              </w:rPr>
              <w:t>£</w:t>
            </w:r>
          </w:p>
        </w:tc>
        <w:tc>
          <w:tcPr>
            <w:tcW w:w="1351" w:type="dxa"/>
            <w:tcBorders>
              <w:top w:val="nil"/>
              <w:left w:val="nil"/>
              <w:bottom w:val="nil"/>
              <w:right w:val="nil"/>
            </w:tcBorders>
            <w:shd w:val="clear" w:color="auto" w:fill="FFFFFF"/>
            <w:noWrap/>
            <w:vAlign w:val="center"/>
            <w:hideMark/>
          </w:tcPr>
          <w:p w14:paraId="4F25F74C" w14:textId="77777777" w:rsidR="00022925" w:rsidRPr="00596620" w:rsidRDefault="00022925" w:rsidP="00022925">
            <w:pPr>
              <w:jc w:val="center"/>
              <w:rPr>
                <w:rFonts w:ascii="Arial" w:hAnsi="Arial" w:cs="Arial"/>
                <w:b/>
                <w:color w:val="000000"/>
                <w:sz w:val="20"/>
                <w:szCs w:val="20"/>
              </w:rPr>
            </w:pPr>
            <w:r w:rsidRPr="00596620">
              <w:rPr>
                <w:rFonts w:ascii="Arial" w:hAnsi="Arial" w:cs="Arial"/>
                <w:b/>
                <w:color w:val="000000"/>
                <w:sz w:val="20"/>
                <w:szCs w:val="20"/>
              </w:rPr>
              <w:t>£</w:t>
            </w:r>
          </w:p>
        </w:tc>
        <w:tc>
          <w:tcPr>
            <w:tcW w:w="1351" w:type="dxa"/>
            <w:tcBorders>
              <w:top w:val="nil"/>
              <w:left w:val="nil"/>
              <w:bottom w:val="nil"/>
              <w:right w:val="nil"/>
            </w:tcBorders>
            <w:shd w:val="clear" w:color="auto" w:fill="FFFFFF"/>
            <w:noWrap/>
            <w:vAlign w:val="center"/>
            <w:hideMark/>
          </w:tcPr>
          <w:p w14:paraId="7E8CEF4E" w14:textId="77777777" w:rsidR="00022925" w:rsidRPr="00596620" w:rsidRDefault="00022925" w:rsidP="00022925">
            <w:pPr>
              <w:jc w:val="center"/>
              <w:rPr>
                <w:rFonts w:ascii="Arial" w:hAnsi="Arial" w:cs="Arial"/>
                <w:b/>
                <w:color w:val="000000"/>
                <w:sz w:val="20"/>
                <w:szCs w:val="20"/>
              </w:rPr>
            </w:pPr>
            <w:r w:rsidRPr="00596620">
              <w:rPr>
                <w:rFonts w:ascii="Arial" w:hAnsi="Arial" w:cs="Arial"/>
                <w:b/>
                <w:color w:val="000000"/>
                <w:sz w:val="20"/>
                <w:szCs w:val="20"/>
              </w:rPr>
              <w:t>£</w:t>
            </w:r>
          </w:p>
        </w:tc>
        <w:tc>
          <w:tcPr>
            <w:tcW w:w="1353" w:type="dxa"/>
            <w:tcBorders>
              <w:top w:val="nil"/>
              <w:left w:val="nil"/>
              <w:bottom w:val="nil"/>
              <w:right w:val="nil"/>
            </w:tcBorders>
            <w:shd w:val="clear" w:color="auto" w:fill="FFFFFF"/>
            <w:noWrap/>
            <w:vAlign w:val="center"/>
            <w:hideMark/>
          </w:tcPr>
          <w:p w14:paraId="7FC57539" w14:textId="77777777" w:rsidR="00022925" w:rsidRPr="00596620" w:rsidRDefault="00022925" w:rsidP="00022925">
            <w:pPr>
              <w:jc w:val="center"/>
              <w:rPr>
                <w:rFonts w:ascii="Arial" w:hAnsi="Arial" w:cs="Arial"/>
                <w:b/>
                <w:color w:val="000000"/>
                <w:sz w:val="20"/>
                <w:szCs w:val="20"/>
              </w:rPr>
            </w:pPr>
            <w:r w:rsidRPr="00596620">
              <w:rPr>
                <w:rFonts w:ascii="Arial" w:hAnsi="Arial" w:cs="Arial"/>
                <w:b/>
                <w:color w:val="000000"/>
                <w:sz w:val="20"/>
                <w:szCs w:val="20"/>
              </w:rPr>
              <w:t>£</w:t>
            </w:r>
          </w:p>
        </w:tc>
      </w:tr>
      <w:tr w:rsidR="00CA78ED" w:rsidRPr="004B69EF" w14:paraId="2EFE3AFC" w14:textId="77777777" w:rsidTr="00022925">
        <w:trPr>
          <w:trHeight w:val="300"/>
        </w:trPr>
        <w:tc>
          <w:tcPr>
            <w:tcW w:w="3861" w:type="dxa"/>
            <w:tcBorders>
              <w:top w:val="nil"/>
              <w:left w:val="nil"/>
              <w:bottom w:val="nil"/>
              <w:right w:val="nil"/>
            </w:tcBorders>
            <w:shd w:val="clear" w:color="auto" w:fill="FFFFFF"/>
            <w:vAlign w:val="center"/>
            <w:hideMark/>
          </w:tcPr>
          <w:p w14:paraId="0972B530"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Income</w:t>
            </w:r>
          </w:p>
        </w:tc>
        <w:tc>
          <w:tcPr>
            <w:tcW w:w="1351" w:type="dxa"/>
            <w:tcBorders>
              <w:top w:val="nil"/>
              <w:left w:val="nil"/>
              <w:bottom w:val="nil"/>
              <w:right w:val="nil"/>
            </w:tcBorders>
            <w:shd w:val="clear" w:color="auto" w:fill="FFFFFF"/>
            <w:noWrap/>
            <w:vAlign w:val="center"/>
            <w:hideMark/>
          </w:tcPr>
          <w:p w14:paraId="109DA671"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 </w:t>
            </w:r>
          </w:p>
        </w:tc>
        <w:tc>
          <w:tcPr>
            <w:tcW w:w="1351" w:type="dxa"/>
            <w:tcBorders>
              <w:top w:val="nil"/>
              <w:left w:val="nil"/>
              <w:bottom w:val="nil"/>
              <w:right w:val="nil"/>
            </w:tcBorders>
            <w:shd w:val="clear" w:color="auto" w:fill="FFFFFF"/>
            <w:noWrap/>
            <w:vAlign w:val="center"/>
            <w:hideMark/>
          </w:tcPr>
          <w:p w14:paraId="0B06F2C7"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 </w:t>
            </w:r>
          </w:p>
        </w:tc>
        <w:tc>
          <w:tcPr>
            <w:tcW w:w="1351" w:type="dxa"/>
            <w:tcBorders>
              <w:top w:val="nil"/>
              <w:left w:val="nil"/>
              <w:bottom w:val="nil"/>
              <w:right w:val="nil"/>
            </w:tcBorders>
            <w:shd w:val="clear" w:color="auto" w:fill="FFFFFF"/>
            <w:noWrap/>
            <w:vAlign w:val="center"/>
            <w:hideMark/>
          </w:tcPr>
          <w:p w14:paraId="249C78D6"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 </w:t>
            </w:r>
          </w:p>
        </w:tc>
        <w:tc>
          <w:tcPr>
            <w:tcW w:w="1351" w:type="dxa"/>
            <w:tcBorders>
              <w:top w:val="nil"/>
              <w:left w:val="nil"/>
              <w:bottom w:val="nil"/>
              <w:right w:val="nil"/>
            </w:tcBorders>
            <w:shd w:val="clear" w:color="auto" w:fill="FFFFFF"/>
            <w:noWrap/>
            <w:vAlign w:val="center"/>
            <w:hideMark/>
          </w:tcPr>
          <w:p w14:paraId="21D47A98"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 </w:t>
            </w:r>
          </w:p>
        </w:tc>
        <w:tc>
          <w:tcPr>
            <w:tcW w:w="1353" w:type="dxa"/>
            <w:tcBorders>
              <w:top w:val="nil"/>
              <w:left w:val="nil"/>
              <w:bottom w:val="nil"/>
              <w:right w:val="nil"/>
            </w:tcBorders>
            <w:noWrap/>
            <w:vAlign w:val="bottom"/>
            <w:hideMark/>
          </w:tcPr>
          <w:p w14:paraId="6F6FCC51" w14:textId="77777777" w:rsidR="00022925" w:rsidRPr="00596620" w:rsidRDefault="00022925" w:rsidP="00022925">
            <w:pPr>
              <w:rPr>
                <w:rFonts w:ascii="Arial" w:hAnsi="Arial" w:cs="Arial"/>
                <w:b/>
                <w:color w:val="000000"/>
                <w:sz w:val="20"/>
                <w:szCs w:val="20"/>
              </w:rPr>
            </w:pPr>
          </w:p>
        </w:tc>
      </w:tr>
      <w:tr w:rsidR="00CA78ED" w:rsidRPr="004B69EF" w14:paraId="14A96BD6" w14:textId="77777777" w:rsidTr="00022925">
        <w:trPr>
          <w:trHeight w:val="300"/>
        </w:trPr>
        <w:tc>
          <w:tcPr>
            <w:tcW w:w="3861" w:type="dxa"/>
            <w:tcBorders>
              <w:top w:val="nil"/>
              <w:left w:val="nil"/>
              <w:bottom w:val="nil"/>
              <w:right w:val="nil"/>
            </w:tcBorders>
            <w:shd w:val="clear" w:color="auto" w:fill="FFFFFF"/>
            <w:vAlign w:val="center"/>
            <w:hideMark/>
          </w:tcPr>
          <w:p w14:paraId="6A299D40"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Gross Rental Income</w:t>
            </w:r>
          </w:p>
        </w:tc>
        <w:tc>
          <w:tcPr>
            <w:tcW w:w="1351" w:type="dxa"/>
            <w:tcBorders>
              <w:top w:val="nil"/>
              <w:left w:val="nil"/>
              <w:bottom w:val="nil"/>
              <w:right w:val="nil"/>
            </w:tcBorders>
            <w:shd w:val="clear" w:color="auto" w:fill="FFFFFF"/>
            <w:noWrap/>
            <w:vAlign w:val="center"/>
            <w:hideMark/>
          </w:tcPr>
          <w:p w14:paraId="598299EF"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 </w:t>
            </w:r>
          </w:p>
        </w:tc>
        <w:tc>
          <w:tcPr>
            <w:tcW w:w="1351" w:type="dxa"/>
            <w:tcBorders>
              <w:top w:val="nil"/>
              <w:left w:val="nil"/>
              <w:bottom w:val="nil"/>
              <w:right w:val="nil"/>
            </w:tcBorders>
            <w:shd w:val="clear" w:color="auto" w:fill="FFFFFF"/>
            <w:noWrap/>
            <w:vAlign w:val="center"/>
            <w:hideMark/>
          </w:tcPr>
          <w:p w14:paraId="02583F11"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 </w:t>
            </w:r>
          </w:p>
        </w:tc>
        <w:tc>
          <w:tcPr>
            <w:tcW w:w="1351" w:type="dxa"/>
            <w:tcBorders>
              <w:top w:val="nil"/>
              <w:left w:val="nil"/>
              <w:bottom w:val="nil"/>
              <w:right w:val="nil"/>
            </w:tcBorders>
            <w:shd w:val="clear" w:color="auto" w:fill="FFFFFF"/>
            <w:noWrap/>
            <w:vAlign w:val="center"/>
            <w:hideMark/>
          </w:tcPr>
          <w:p w14:paraId="0E782F78"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 </w:t>
            </w:r>
          </w:p>
        </w:tc>
        <w:tc>
          <w:tcPr>
            <w:tcW w:w="1351" w:type="dxa"/>
            <w:tcBorders>
              <w:top w:val="nil"/>
              <w:left w:val="nil"/>
              <w:bottom w:val="nil"/>
              <w:right w:val="nil"/>
            </w:tcBorders>
            <w:shd w:val="clear" w:color="auto" w:fill="FFFFFF"/>
            <w:noWrap/>
            <w:vAlign w:val="center"/>
            <w:hideMark/>
          </w:tcPr>
          <w:p w14:paraId="33C1BC3A"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 </w:t>
            </w:r>
          </w:p>
        </w:tc>
        <w:tc>
          <w:tcPr>
            <w:tcW w:w="1353" w:type="dxa"/>
            <w:tcBorders>
              <w:top w:val="nil"/>
              <w:left w:val="nil"/>
              <w:bottom w:val="nil"/>
              <w:right w:val="nil"/>
            </w:tcBorders>
            <w:noWrap/>
            <w:vAlign w:val="bottom"/>
            <w:hideMark/>
          </w:tcPr>
          <w:p w14:paraId="2A5EDF4E" w14:textId="77777777" w:rsidR="00022925" w:rsidRPr="00596620" w:rsidRDefault="00022925" w:rsidP="00022925">
            <w:pPr>
              <w:rPr>
                <w:rFonts w:ascii="Arial" w:hAnsi="Arial" w:cs="Arial"/>
                <w:color w:val="000000"/>
                <w:sz w:val="20"/>
                <w:szCs w:val="20"/>
              </w:rPr>
            </w:pPr>
          </w:p>
        </w:tc>
      </w:tr>
      <w:tr w:rsidR="00CA78ED" w:rsidRPr="004B69EF" w14:paraId="0C36E21A" w14:textId="77777777" w:rsidTr="00022925">
        <w:trPr>
          <w:trHeight w:val="300"/>
        </w:trPr>
        <w:tc>
          <w:tcPr>
            <w:tcW w:w="3861" w:type="dxa"/>
            <w:tcBorders>
              <w:top w:val="nil"/>
              <w:left w:val="nil"/>
              <w:bottom w:val="nil"/>
              <w:right w:val="nil"/>
            </w:tcBorders>
            <w:shd w:val="clear" w:color="auto" w:fill="FFFFFF"/>
            <w:vAlign w:val="center"/>
            <w:hideMark/>
          </w:tcPr>
          <w:p w14:paraId="429AA292"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 Dwellings rents</w:t>
            </w:r>
          </w:p>
        </w:tc>
        <w:tc>
          <w:tcPr>
            <w:tcW w:w="1351" w:type="dxa"/>
            <w:tcBorders>
              <w:top w:val="nil"/>
              <w:left w:val="nil"/>
              <w:bottom w:val="nil"/>
              <w:right w:val="nil"/>
            </w:tcBorders>
            <w:shd w:val="clear" w:color="auto" w:fill="FFFFFF"/>
            <w:noWrap/>
            <w:vAlign w:val="center"/>
            <w:hideMark/>
          </w:tcPr>
          <w:p w14:paraId="415B8CDC" w14:textId="7FE65AAC"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(3</w:t>
            </w:r>
            <w:r w:rsidR="006A6B7B" w:rsidRPr="00596620">
              <w:rPr>
                <w:rFonts w:ascii="Arial" w:hAnsi="Arial" w:cs="Arial"/>
                <w:color w:val="000000"/>
                <w:sz w:val="20"/>
                <w:szCs w:val="20"/>
              </w:rPr>
              <w:t>7,237,83</w:t>
            </w:r>
            <w:r w:rsidRPr="00596620">
              <w:rPr>
                <w:rFonts w:ascii="Arial" w:hAnsi="Arial" w:cs="Arial"/>
                <w:color w:val="000000"/>
                <w:sz w:val="20"/>
                <w:szCs w:val="20"/>
              </w:rPr>
              <w:t>0)</w:t>
            </w:r>
          </w:p>
        </w:tc>
        <w:tc>
          <w:tcPr>
            <w:tcW w:w="1351" w:type="dxa"/>
            <w:tcBorders>
              <w:top w:val="nil"/>
              <w:left w:val="nil"/>
              <w:bottom w:val="nil"/>
              <w:right w:val="nil"/>
            </w:tcBorders>
            <w:shd w:val="clear" w:color="auto" w:fill="FFFFFF"/>
            <w:noWrap/>
            <w:vAlign w:val="center"/>
            <w:hideMark/>
          </w:tcPr>
          <w:p w14:paraId="7037BB3F" w14:textId="308A0F74"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(3</w:t>
            </w:r>
            <w:r w:rsidR="006A6B7B" w:rsidRPr="00596620">
              <w:rPr>
                <w:rFonts w:ascii="Arial" w:hAnsi="Arial" w:cs="Arial"/>
                <w:color w:val="000000"/>
                <w:sz w:val="20"/>
                <w:szCs w:val="20"/>
              </w:rPr>
              <w:t>8</w:t>
            </w:r>
            <w:r w:rsidR="00DC3EBF" w:rsidRPr="00596620">
              <w:rPr>
                <w:rFonts w:ascii="Arial" w:hAnsi="Arial" w:cs="Arial"/>
                <w:color w:val="000000"/>
                <w:sz w:val="20"/>
                <w:szCs w:val="20"/>
              </w:rPr>
              <w:t>,666,95</w:t>
            </w:r>
            <w:r w:rsidRPr="00596620">
              <w:rPr>
                <w:rFonts w:ascii="Arial" w:hAnsi="Arial" w:cs="Arial"/>
                <w:color w:val="000000"/>
                <w:sz w:val="20"/>
                <w:szCs w:val="20"/>
              </w:rPr>
              <w:t>0)</w:t>
            </w:r>
          </w:p>
        </w:tc>
        <w:tc>
          <w:tcPr>
            <w:tcW w:w="1351" w:type="dxa"/>
            <w:tcBorders>
              <w:top w:val="nil"/>
              <w:left w:val="nil"/>
              <w:bottom w:val="nil"/>
              <w:right w:val="nil"/>
            </w:tcBorders>
            <w:shd w:val="clear" w:color="auto" w:fill="FFFFFF"/>
            <w:noWrap/>
            <w:vAlign w:val="center"/>
            <w:hideMark/>
          </w:tcPr>
          <w:p w14:paraId="25174C3C" w14:textId="6DCDA2B9"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(3</w:t>
            </w:r>
            <w:r w:rsidR="00DC3EBF" w:rsidRPr="00596620">
              <w:rPr>
                <w:rFonts w:ascii="Arial" w:hAnsi="Arial" w:cs="Arial"/>
                <w:color w:val="000000"/>
                <w:sz w:val="20"/>
                <w:szCs w:val="20"/>
              </w:rPr>
              <w:t>9,921,580</w:t>
            </w:r>
            <w:r w:rsidRPr="00596620">
              <w:rPr>
                <w:rFonts w:ascii="Arial" w:hAnsi="Arial" w:cs="Arial"/>
                <w:color w:val="000000"/>
                <w:sz w:val="20"/>
                <w:szCs w:val="20"/>
              </w:rPr>
              <w:t>)</w:t>
            </w:r>
          </w:p>
        </w:tc>
        <w:tc>
          <w:tcPr>
            <w:tcW w:w="1351" w:type="dxa"/>
            <w:tcBorders>
              <w:top w:val="nil"/>
              <w:left w:val="nil"/>
              <w:bottom w:val="nil"/>
              <w:right w:val="nil"/>
            </w:tcBorders>
            <w:shd w:val="clear" w:color="auto" w:fill="FFFFFF"/>
            <w:noWrap/>
            <w:vAlign w:val="center"/>
            <w:hideMark/>
          </w:tcPr>
          <w:p w14:paraId="09D46674" w14:textId="1E0BC815"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DC3EBF" w:rsidRPr="00596620">
              <w:rPr>
                <w:rFonts w:ascii="Arial" w:hAnsi="Arial" w:cs="Arial"/>
                <w:color w:val="000000"/>
                <w:sz w:val="20"/>
                <w:szCs w:val="20"/>
              </w:rPr>
              <w:t>41,073,460</w:t>
            </w:r>
            <w:r w:rsidRPr="00596620">
              <w:rPr>
                <w:rFonts w:ascii="Arial" w:hAnsi="Arial" w:cs="Arial"/>
                <w:color w:val="000000"/>
                <w:sz w:val="20"/>
                <w:szCs w:val="20"/>
              </w:rPr>
              <w:t>)</w:t>
            </w:r>
          </w:p>
        </w:tc>
        <w:tc>
          <w:tcPr>
            <w:tcW w:w="1353" w:type="dxa"/>
            <w:tcBorders>
              <w:top w:val="nil"/>
              <w:left w:val="nil"/>
              <w:bottom w:val="nil"/>
              <w:right w:val="nil"/>
            </w:tcBorders>
            <w:shd w:val="clear" w:color="auto" w:fill="FFFFFF"/>
            <w:noWrap/>
            <w:vAlign w:val="center"/>
            <w:hideMark/>
          </w:tcPr>
          <w:p w14:paraId="346B1CA6" w14:textId="0B19E812"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(4</w:t>
            </w:r>
            <w:r w:rsidR="00DC3EBF" w:rsidRPr="00596620">
              <w:rPr>
                <w:rFonts w:ascii="Arial" w:hAnsi="Arial" w:cs="Arial"/>
                <w:color w:val="000000"/>
                <w:sz w:val="20"/>
                <w:szCs w:val="20"/>
              </w:rPr>
              <w:t>2,258,670</w:t>
            </w:r>
            <w:r w:rsidRPr="00596620">
              <w:rPr>
                <w:rFonts w:ascii="Arial" w:hAnsi="Arial" w:cs="Arial"/>
                <w:color w:val="000000"/>
                <w:sz w:val="20"/>
                <w:szCs w:val="20"/>
              </w:rPr>
              <w:t>)</w:t>
            </w:r>
          </w:p>
        </w:tc>
      </w:tr>
      <w:tr w:rsidR="00CA78ED" w:rsidRPr="004B69EF" w14:paraId="75A7FF97" w14:textId="77777777" w:rsidTr="00022925">
        <w:trPr>
          <w:trHeight w:val="300"/>
        </w:trPr>
        <w:tc>
          <w:tcPr>
            <w:tcW w:w="3861" w:type="dxa"/>
            <w:tcBorders>
              <w:top w:val="nil"/>
              <w:left w:val="nil"/>
              <w:bottom w:val="nil"/>
              <w:right w:val="nil"/>
            </w:tcBorders>
            <w:shd w:val="clear" w:color="auto" w:fill="FFFFFF"/>
            <w:vAlign w:val="center"/>
            <w:hideMark/>
          </w:tcPr>
          <w:p w14:paraId="308CB219"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 Non-Dwelling rents</w:t>
            </w:r>
          </w:p>
        </w:tc>
        <w:tc>
          <w:tcPr>
            <w:tcW w:w="1351" w:type="dxa"/>
            <w:tcBorders>
              <w:top w:val="nil"/>
              <w:left w:val="nil"/>
              <w:bottom w:val="nil"/>
              <w:right w:val="nil"/>
            </w:tcBorders>
            <w:shd w:val="clear" w:color="auto" w:fill="FFFFFF"/>
            <w:noWrap/>
            <w:vAlign w:val="center"/>
            <w:hideMark/>
          </w:tcPr>
          <w:p w14:paraId="20993AD5" w14:textId="15FDBBF4"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9E73E0" w:rsidRPr="00596620">
              <w:rPr>
                <w:rFonts w:ascii="Arial" w:hAnsi="Arial" w:cs="Arial"/>
                <w:color w:val="000000"/>
                <w:sz w:val="20"/>
                <w:szCs w:val="20"/>
              </w:rPr>
              <w:t>505,94</w:t>
            </w:r>
            <w:r w:rsidRPr="00596620">
              <w:rPr>
                <w:rFonts w:ascii="Arial" w:hAnsi="Arial" w:cs="Arial"/>
                <w:color w:val="000000"/>
                <w:sz w:val="20"/>
                <w:szCs w:val="20"/>
              </w:rPr>
              <w:t>0)</w:t>
            </w:r>
          </w:p>
        </w:tc>
        <w:tc>
          <w:tcPr>
            <w:tcW w:w="1351" w:type="dxa"/>
            <w:tcBorders>
              <w:top w:val="nil"/>
              <w:left w:val="nil"/>
              <w:bottom w:val="nil"/>
              <w:right w:val="nil"/>
            </w:tcBorders>
            <w:shd w:val="clear" w:color="auto" w:fill="FFFFFF"/>
            <w:noWrap/>
            <w:vAlign w:val="center"/>
            <w:hideMark/>
          </w:tcPr>
          <w:p w14:paraId="3172B760" w14:textId="77E64171"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(5</w:t>
            </w:r>
            <w:r w:rsidR="009E73E0" w:rsidRPr="00596620">
              <w:rPr>
                <w:rFonts w:ascii="Arial" w:hAnsi="Arial" w:cs="Arial"/>
                <w:color w:val="000000"/>
                <w:sz w:val="20"/>
                <w:szCs w:val="20"/>
              </w:rPr>
              <w:t>20,23</w:t>
            </w:r>
            <w:r w:rsidRPr="00596620">
              <w:rPr>
                <w:rFonts w:ascii="Arial" w:hAnsi="Arial" w:cs="Arial"/>
                <w:color w:val="000000"/>
                <w:sz w:val="20"/>
                <w:szCs w:val="20"/>
              </w:rPr>
              <w:t>0)</w:t>
            </w:r>
          </w:p>
        </w:tc>
        <w:tc>
          <w:tcPr>
            <w:tcW w:w="1351" w:type="dxa"/>
            <w:tcBorders>
              <w:top w:val="nil"/>
              <w:left w:val="nil"/>
              <w:bottom w:val="nil"/>
              <w:right w:val="nil"/>
            </w:tcBorders>
            <w:shd w:val="clear" w:color="auto" w:fill="FFFFFF"/>
            <w:noWrap/>
            <w:vAlign w:val="center"/>
            <w:hideMark/>
          </w:tcPr>
          <w:p w14:paraId="18F1A7FB" w14:textId="01609BA8"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(5</w:t>
            </w:r>
            <w:r w:rsidR="009E73E0" w:rsidRPr="00596620">
              <w:rPr>
                <w:rFonts w:ascii="Arial" w:hAnsi="Arial" w:cs="Arial"/>
                <w:color w:val="000000"/>
                <w:sz w:val="20"/>
                <w:szCs w:val="20"/>
              </w:rPr>
              <w:t>34,9</w:t>
            </w:r>
            <w:r w:rsidRPr="00596620">
              <w:rPr>
                <w:rFonts w:ascii="Arial" w:hAnsi="Arial" w:cs="Arial"/>
                <w:color w:val="000000"/>
                <w:sz w:val="20"/>
                <w:szCs w:val="20"/>
              </w:rPr>
              <w:t>60)</w:t>
            </w:r>
          </w:p>
        </w:tc>
        <w:tc>
          <w:tcPr>
            <w:tcW w:w="1351" w:type="dxa"/>
            <w:tcBorders>
              <w:top w:val="nil"/>
              <w:left w:val="nil"/>
              <w:bottom w:val="nil"/>
              <w:right w:val="nil"/>
            </w:tcBorders>
            <w:shd w:val="clear" w:color="auto" w:fill="FFFFFF"/>
            <w:noWrap/>
            <w:vAlign w:val="center"/>
            <w:hideMark/>
          </w:tcPr>
          <w:p w14:paraId="09C61450" w14:textId="4AC35012"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(5</w:t>
            </w:r>
            <w:r w:rsidR="009E73E0" w:rsidRPr="00596620">
              <w:rPr>
                <w:rFonts w:ascii="Arial" w:hAnsi="Arial" w:cs="Arial"/>
                <w:color w:val="000000"/>
                <w:sz w:val="20"/>
                <w:szCs w:val="20"/>
              </w:rPr>
              <w:t>50,12</w:t>
            </w:r>
            <w:r w:rsidRPr="00596620">
              <w:rPr>
                <w:rFonts w:ascii="Arial" w:hAnsi="Arial" w:cs="Arial"/>
                <w:color w:val="000000"/>
                <w:sz w:val="20"/>
                <w:szCs w:val="20"/>
              </w:rPr>
              <w:t>0)</w:t>
            </w:r>
          </w:p>
        </w:tc>
        <w:tc>
          <w:tcPr>
            <w:tcW w:w="1353" w:type="dxa"/>
            <w:tcBorders>
              <w:top w:val="nil"/>
              <w:left w:val="nil"/>
              <w:bottom w:val="nil"/>
              <w:right w:val="nil"/>
            </w:tcBorders>
            <w:shd w:val="clear" w:color="auto" w:fill="FFFFFF"/>
            <w:noWrap/>
            <w:vAlign w:val="center"/>
            <w:hideMark/>
          </w:tcPr>
          <w:p w14:paraId="0F060985" w14:textId="592007A9"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(5</w:t>
            </w:r>
            <w:r w:rsidR="009E73E0" w:rsidRPr="00596620">
              <w:rPr>
                <w:rFonts w:ascii="Arial" w:hAnsi="Arial" w:cs="Arial"/>
                <w:color w:val="000000"/>
                <w:sz w:val="20"/>
                <w:szCs w:val="20"/>
              </w:rPr>
              <w:t>65,73</w:t>
            </w:r>
            <w:r w:rsidRPr="00596620">
              <w:rPr>
                <w:rFonts w:ascii="Arial" w:hAnsi="Arial" w:cs="Arial"/>
                <w:color w:val="000000"/>
                <w:sz w:val="20"/>
                <w:szCs w:val="20"/>
              </w:rPr>
              <w:t>0)</w:t>
            </w:r>
          </w:p>
        </w:tc>
      </w:tr>
      <w:tr w:rsidR="00CA78ED" w:rsidRPr="004B69EF" w14:paraId="0F199984" w14:textId="77777777" w:rsidTr="00022925">
        <w:trPr>
          <w:trHeight w:val="300"/>
        </w:trPr>
        <w:tc>
          <w:tcPr>
            <w:tcW w:w="3861" w:type="dxa"/>
            <w:tcBorders>
              <w:top w:val="nil"/>
              <w:left w:val="nil"/>
              <w:bottom w:val="nil"/>
              <w:right w:val="nil"/>
            </w:tcBorders>
            <w:shd w:val="clear" w:color="auto" w:fill="FFFFFF"/>
            <w:vAlign w:val="center"/>
            <w:hideMark/>
          </w:tcPr>
          <w:p w14:paraId="4905409C"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Charges for Services &amp; Facilities</w:t>
            </w:r>
          </w:p>
        </w:tc>
        <w:tc>
          <w:tcPr>
            <w:tcW w:w="1351" w:type="dxa"/>
            <w:tcBorders>
              <w:top w:val="nil"/>
              <w:left w:val="nil"/>
              <w:right w:val="nil"/>
            </w:tcBorders>
            <w:shd w:val="clear" w:color="auto" w:fill="FFFFFF"/>
            <w:noWrap/>
            <w:vAlign w:val="center"/>
            <w:hideMark/>
          </w:tcPr>
          <w:p w14:paraId="698C8B25" w14:textId="35A4279C"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9E73E0" w:rsidRPr="00596620">
              <w:rPr>
                <w:rFonts w:ascii="Arial" w:hAnsi="Arial" w:cs="Arial"/>
                <w:color w:val="000000"/>
                <w:sz w:val="20"/>
                <w:szCs w:val="20"/>
              </w:rPr>
              <w:t>791,19</w:t>
            </w:r>
            <w:r w:rsidRPr="00596620">
              <w:rPr>
                <w:rFonts w:ascii="Arial" w:hAnsi="Arial" w:cs="Arial"/>
                <w:color w:val="000000"/>
                <w:sz w:val="20"/>
                <w:szCs w:val="20"/>
              </w:rPr>
              <w:t>0)</w:t>
            </w:r>
          </w:p>
        </w:tc>
        <w:tc>
          <w:tcPr>
            <w:tcW w:w="1351" w:type="dxa"/>
            <w:tcBorders>
              <w:top w:val="nil"/>
              <w:left w:val="nil"/>
              <w:right w:val="nil"/>
            </w:tcBorders>
            <w:shd w:val="clear" w:color="auto" w:fill="FFFFFF"/>
            <w:noWrap/>
            <w:vAlign w:val="center"/>
            <w:hideMark/>
          </w:tcPr>
          <w:p w14:paraId="4FC2E88D" w14:textId="3E01B284"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9E73E0" w:rsidRPr="00596620">
              <w:rPr>
                <w:rFonts w:ascii="Arial" w:hAnsi="Arial" w:cs="Arial"/>
                <w:color w:val="000000"/>
                <w:sz w:val="20"/>
                <w:szCs w:val="20"/>
              </w:rPr>
              <w:t>824,76</w:t>
            </w:r>
            <w:r w:rsidRPr="00596620">
              <w:rPr>
                <w:rFonts w:ascii="Arial" w:hAnsi="Arial" w:cs="Arial"/>
                <w:color w:val="000000"/>
                <w:sz w:val="20"/>
                <w:szCs w:val="20"/>
              </w:rPr>
              <w:t>0)</w:t>
            </w:r>
          </w:p>
        </w:tc>
        <w:tc>
          <w:tcPr>
            <w:tcW w:w="1351" w:type="dxa"/>
            <w:tcBorders>
              <w:top w:val="nil"/>
              <w:left w:val="nil"/>
              <w:right w:val="nil"/>
            </w:tcBorders>
            <w:shd w:val="clear" w:color="auto" w:fill="FFFFFF"/>
            <w:noWrap/>
            <w:vAlign w:val="center"/>
            <w:hideMark/>
          </w:tcPr>
          <w:p w14:paraId="03604876" w14:textId="1019D576"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7E3ABB" w:rsidRPr="00596620">
              <w:rPr>
                <w:rFonts w:ascii="Arial" w:hAnsi="Arial" w:cs="Arial"/>
                <w:color w:val="000000"/>
                <w:sz w:val="20"/>
                <w:szCs w:val="20"/>
              </w:rPr>
              <w:t>849,04</w:t>
            </w:r>
            <w:r w:rsidRPr="00596620">
              <w:rPr>
                <w:rFonts w:ascii="Arial" w:hAnsi="Arial" w:cs="Arial"/>
                <w:color w:val="000000"/>
                <w:sz w:val="20"/>
                <w:szCs w:val="20"/>
              </w:rPr>
              <w:t>0)</w:t>
            </w:r>
          </w:p>
        </w:tc>
        <w:tc>
          <w:tcPr>
            <w:tcW w:w="1351" w:type="dxa"/>
            <w:tcBorders>
              <w:top w:val="nil"/>
              <w:left w:val="nil"/>
              <w:right w:val="nil"/>
            </w:tcBorders>
            <w:shd w:val="clear" w:color="auto" w:fill="FFFFFF"/>
            <w:noWrap/>
            <w:vAlign w:val="center"/>
            <w:hideMark/>
          </w:tcPr>
          <w:p w14:paraId="1FC8852D" w14:textId="1D656F26" w:rsidR="00022925" w:rsidRPr="00596620" w:rsidRDefault="00022925" w:rsidP="00022925">
            <w:pPr>
              <w:jc w:val="right"/>
              <w:rPr>
                <w:rFonts w:ascii="Arial" w:hAnsi="Arial" w:cs="Arial"/>
                <w:color w:val="000000"/>
                <w:sz w:val="20"/>
                <w:szCs w:val="20"/>
              </w:rPr>
            </w:pPr>
            <w:r w:rsidRPr="00596620">
              <w:rPr>
                <w:rFonts w:ascii="Arial" w:hAnsi="Arial" w:cs="Arial"/>
                <w:color w:val="000000"/>
                <w:sz w:val="20"/>
                <w:szCs w:val="20"/>
              </w:rPr>
              <w:t>(</w:t>
            </w:r>
            <w:r w:rsidR="007E3ABB" w:rsidRPr="00596620">
              <w:rPr>
                <w:rFonts w:ascii="Arial" w:hAnsi="Arial" w:cs="Arial"/>
                <w:color w:val="000000"/>
                <w:sz w:val="20"/>
                <w:szCs w:val="20"/>
              </w:rPr>
              <w:t>873</w:t>
            </w:r>
            <w:r w:rsidR="00D16292" w:rsidRPr="00596620">
              <w:rPr>
                <w:rFonts w:ascii="Arial" w:hAnsi="Arial" w:cs="Arial"/>
                <w:color w:val="000000"/>
                <w:sz w:val="20"/>
                <w:szCs w:val="20"/>
              </w:rPr>
              <w:t>,30</w:t>
            </w:r>
            <w:r w:rsidRPr="00596620">
              <w:rPr>
                <w:rFonts w:ascii="Arial" w:hAnsi="Arial" w:cs="Arial"/>
                <w:color w:val="000000"/>
                <w:sz w:val="20"/>
                <w:szCs w:val="20"/>
              </w:rPr>
              <w:t>0)</w:t>
            </w:r>
          </w:p>
        </w:tc>
        <w:tc>
          <w:tcPr>
            <w:tcW w:w="1353" w:type="dxa"/>
            <w:tcBorders>
              <w:top w:val="nil"/>
              <w:left w:val="nil"/>
              <w:right w:val="nil"/>
            </w:tcBorders>
            <w:shd w:val="clear" w:color="auto" w:fill="FFFFFF"/>
            <w:noWrap/>
            <w:vAlign w:val="center"/>
            <w:hideMark/>
          </w:tcPr>
          <w:p w14:paraId="6AA9CC90" w14:textId="2634B893"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FA13B9" w:rsidRPr="00596620">
              <w:rPr>
                <w:rFonts w:ascii="Arial" w:hAnsi="Arial" w:cs="Arial"/>
                <w:color w:val="000000"/>
                <w:sz w:val="20"/>
                <w:szCs w:val="20"/>
              </w:rPr>
              <w:t>897,640</w:t>
            </w:r>
            <w:r w:rsidRPr="00596620">
              <w:rPr>
                <w:rFonts w:ascii="Arial" w:hAnsi="Arial" w:cs="Arial"/>
                <w:color w:val="000000"/>
                <w:sz w:val="20"/>
                <w:szCs w:val="20"/>
              </w:rPr>
              <w:t>)</w:t>
            </w:r>
          </w:p>
        </w:tc>
      </w:tr>
      <w:tr w:rsidR="00CA78ED" w:rsidRPr="004B69EF" w14:paraId="52061CEB" w14:textId="77777777" w:rsidTr="00022925">
        <w:trPr>
          <w:trHeight w:val="300"/>
        </w:trPr>
        <w:tc>
          <w:tcPr>
            <w:tcW w:w="3861" w:type="dxa"/>
            <w:tcBorders>
              <w:top w:val="nil"/>
              <w:left w:val="nil"/>
              <w:bottom w:val="nil"/>
              <w:right w:val="nil"/>
            </w:tcBorders>
            <w:shd w:val="clear" w:color="auto" w:fill="FFFFFF"/>
            <w:vAlign w:val="center"/>
          </w:tcPr>
          <w:p w14:paraId="765E52AB" w14:textId="08E8057A"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Repairs Account Income</w:t>
            </w:r>
          </w:p>
        </w:tc>
        <w:tc>
          <w:tcPr>
            <w:tcW w:w="1351" w:type="dxa"/>
            <w:tcBorders>
              <w:top w:val="nil"/>
              <w:left w:val="nil"/>
              <w:right w:val="nil"/>
            </w:tcBorders>
            <w:shd w:val="clear" w:color="auto" w:fill="FFFFFF"/>
            <w:noWrap/>
            <w:vAlign w:val="center"/>
          </w:tcPr>
          <w:p w14:paraId="1B966EE6" w14:textId="76094A87" w:rsidR="00022925" w:rsidRPr="00596620" w:rsidRDefault="00022925" w:rsidP="00022925">
            <w:pPr>
              <w:jc w:val="right"/>
              <w:rPr>
                <w:rFonts w:ascii="Arial" w:hAnsi="Arial" w:cs="Arial"/>
                <w:color w:val="000000"/>
                <w:sz w:val="20"/>
                <w:szCs w:val="20"/>
              </w:rPr>
            </w:pPr>
            <w:r w:rsidRPr="00596620">
              <w:rPr>
                <w:rFonts w:ascii="Arial" w:hAnsi="Arial" w:cs="Arial"/>
                <w:color w:val="000000"/>
                <w:sz w:val="20"/>
                <w:szCs w:val="20"/>
              </w:rPr>
              <w:t>(</w:t>
            </w:r>
            <w:r w:rsidR="00D16292" w:rsidRPr="00596620">
              <w:rPr>
                <w:rFonts w:ascii="Arial" w:hAnsi="Arial" w:cs="Arial"/>
                <w:color w:val="000000"/>
                <w:sz w:val="20"/>
                <w:szCs w:val="20"/>
              </w:rPr>
              <w:t>90</w:t>
            </w:r>
            <w:r w:rsidRPr="00596620">
              <w:rPr>
                <w:rFonts w:ascii="Arial" w:hAnsi="Arial" w:cs="Arial"/>
                <w:color w:val="000000"/>
                <w:sz w:val="20"/>
                <w:szCs w:val="20"/>
              </w:rPr>
              <w:t>,000)</w:t>
            </w:r>
          </w:p>
        </w:tc>
        <w:tc>
          <w:tcPr>
            <w:tcW w:w="1351" w:type="dxa"/>
            <w:tcBorders>
              <w:top w:val="nil"/>
              <w:left w:val="nil"/>
              <w:right w:val="nil"/>
            </w:tcBorders>
            <w:shd w:val="clear" w:color="auto" w:fill="FFFFFF"/>
            <w:noWrap/>
            <w:vAlign w:val="center"/>
          </w:tcPr>
          <w:p w14:paraId="75291BEF" w14:textId="2373AE73" w:rsidR="00022925" w:rsidRPr="00596620" w:rsidRDefault="00D16292" w:rsidP="00022925">
            <w:pPr>
              <w:jc w:val="right"/>
              <w:rPr>
                <w:rFonts w:ascii="Arial" w:hAnsi="Arial" w:cs="Arial"/>
                <w:color w:val="000000"/>
                <w:sz w:val="20"/>
                <w:szCs w:val="20"/>
              </w:rPr>
            </w:pPr>
            <w:r w:rsidRPr="00596620">
              <w:rPr>
                <w:rFonts w:ascii="Arial" w:hAnsi="Arial" w:cs="Arial"/>
                <w:color w:val="000000"/>
                <w:sz w:val="20"/>
                <w:szCs w:val="20"/>
              </w:rPr>
              <w:t>(90,000)</w:t>
            </w:r>
          </w:p>
        </w:tc>
        <w:tc>
          <w:tcPr>
            <w:tcW w:w="1351" w:type="dxa"/>
            <w:tcBorders>
              <w:top w:val="nil"/>
              <w:left w:val="nil"/>
              <w:right w:val="nil"/>
            </w:tcBorders>
            <w:shd w:val="clear" w:color="auto" w:fill="FFFFFF"/>
            <w:noWrap/>
            <w:vAlign w:val="center"/>
          </w:tcPr>
          <w:p w14:paraId="45218A5F" w14:textId="75B4408A" w:rsidR="00022925" w:rsidRPr="00596620" w:rsidRDefault="00D16292" w:rsidP="00022925">
            <w:pPr>
              <w:jc w:val="right"/>
              <w:rPr>
                <w:rFonts w:ascii="Arial" w:hAnsi="Arial" w:cs="Arial"/>
                <w:color w:val="000000"/>
                <w:sz w:val="20"/>
                <w:szCs w:val="20"/>
              </w:rPr>
            </w:pPr>
            <w:r w:rsidRPr="00596620">
              <w:rPr>
                <w:rFonts w:ascii="Arial" w:hAnsi="Arial" w:cs="Arial"/>
                <w:color w:val="000000"/>
                <w:sz w:val="20"/>
                <w:szCs w:val="20"/>
              </w:rPr>
              <w:t>(90,000)</w:t>
            </w:r>
          </w:p>
        </w:tc>
        <w:tc>
          <w:tcPr>
            <w:tcW w:w="1351" w:type="dxa"/>
            <w:tcBorders>
              <w:top w:val="nil"/>
              <w:left w:val="nil"/>
              <w:right w:val="nil"/>
            </w:tcBorders>
            <w:shd w:val="clear" w:color="auto" w:fill="FFFFFF"/>
            <w:noWrap/>
            <w:vAlign w:val="center"/>
          </w:tcPr>
          <w:p w14:paraId="32C643BE" w14:textId="351B1D8A" w:rsidR="00022925" w:rsidRPr="00596620" w:rsidRDefault="00D16292" w:rsidP="00022925">
            <w:pPr>
              <w:jc w:val="right"/>
              <w:rPr>
                <w:rFonts w:ascii="Arial" w:hAnsi="Arial" w:cs="Arial"/>
                <w:color w:val="000000"/>
                <w:sz w:val="20"/>
                <w:szCs w:val="20"/>
              </w:rPr>
            </w:pPr>
            <w:r w:rsidRPr="00596620">
              <w:rPr>
                <w:rFonts w:ascii="Arial" w:hAnsi="Arial" w:cs="Arial"/>
                <w:color w:val="000000"/>
                <w:sz w:val="20"/>
                <w:szCs w:val="20"/>
              </w:rPr>
              <w:t>(90,000)</w:t>
            </w:r>
          </w:p>
        </w:tc>
        <w:tc>
          <w:tcPr>
            <w:tcW w:w="1353" w:type="dxa"/>
            <w:tcBorders>
              <w:top w:val="nil"/>
              <w:left w:val="nil"/>
              <w:right w:val="nil"/>
            </w:tcBorders>
            <w:shd w:val="clear" w:color="auto" w:fill="FFFFFF"/>
            <w:noWrap/>
            <w:vAlign w:val="center"/>
          </w:tcPr>
          <w:p w14:paraId="7B2192B5" w14:textId="4A1A1242" w:rsidR="00022925" w:rsidRPr="00596620" w:rsidRDefault="00D16292" w:rsidP="00022925">
            <w:pPr>
              <w:jc w:val="right"/>
              <w:rPr>
                <w:rFonts w:ascii="Arial" w:hAnsi="Arial" w:cs="Arial"/>
                <w:color w:val="000000"/>
                <w:sz w:val="20"/>
                <w:szCs w:val="20"/>
              </w:rPr>
            </w:pPr>
            <w:r w:rsidRPr="00596620">
              <w:rPr>
                <w:rFonts w:ascii="Arial" w:hAnsi="Arial" w:cs="Arial"/>
                <w:color w:val="000000"/>
                <w:sz w:val="20"/>
                <w:szCs w:val="20"/>
              </w:rPr>
              <w:t>(90,000)</w:t>
            </w:r>
          </w:p>
        </w:tc>
      </w:tr>
      <w:tr w:rsidR="00CA78ED" w:rsidRPr="004B69EF" w14:paraId="5C2BB343" w14:textId="77777777" w:rsidTr="00022925">
        <w:trPr>
          <w:trHeight w:val="315"/>
        </w:trPr>
        <w:tc>
          <w:tcPr>
            <w:tcW w:w="3861" w:type="dxa"/>
            <w:tcBorders>
              <w:top w:val="nil"/>
              <w:left w:val="nil"/>
              <w:bottom w:val="nil"/>
              <w:right w:val="nil"/>
            </w:tcBorders>
            <w:shd w:val="clear" w:color="auto" w:fill="FFFFFF"/>
            <w:noWrap/>
            <w:vAlign w:val="center"/>
          </w:tcPr>
          <w:p w14:paraId="0BD02125" w14:textId="38F072D3"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General Income</w:t>
            </w:r>
          </w:p>
        </w:tc>
        <w:tc>
          <w:tcPr>
            <w:tcW w:w="1351" w:type="dxa"/>
            <w:tcBorders>
              <w:top w:val="nil"/>
              <w:left w:val="nil"/>
              <w:right w:val="nil"/>
            </w:tcBorders>
            <w:shd w:val="clear" w:color="auto" w:fill="FFFFFF"/>
            <w:noWrap/>
            <w:vAlign w:val="center"/>
          </w:tcPr>
          <w:p w14:paraId="4A9434F3" w14:textId="76C36F3A"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CF25B0" w:rsidRPr="00596620">
              <w:rPr>
                <w:rFonts w:ascii="Arial" w:hAnsi="Arial" w:cs="Arial"/>
                <w:color w:val="000000"/>
                <w:sz w:val="20"/>
                <w:szCs w:val="20"/>
              </w:rPr>
              <w:t>756,750</w:t>
            </w:r>
            <w:r w:rsidRPr="00596620">
              <w:rPr>
                <w:rFonts w:ascii="Arial" w:hAnsi="Arial" w:cs="Arial"/>
                <w:color w:val="000000"/>
                <w:sz w:val="20"/>
                <w:szCs w:val="20"/>
              </w:rPr>
              <w:t>)</w:t>
            </w:r>
          </w:p>
        </w:tc>
        <w:tc>
          <w:tcPr>
            <w:tcW w:w="1351" w:type="dxa"/>
            <w:tcBorders>
              <w:top w:val="nil"/>
              <w:left w:val="nil"/>
              <w:right w:val="nil"/>
            </w:tcBorders>
            <w:shd w:val="clear" w:color="auto" w:fill="FFFFFF"/>
            <w:noWrap/>
            <w:vAlign w:val="center"/>
          </w:tcPr>
          <w:p w14:paraId="32C02412" w14:textId="45C21D2B"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CF25B0" w:rsidRPr="00596620">
              <w:rPr>
                <w:rFonts w:ascii="Arial" w:hAnsi="Arial" w:cs="Arial"/>
                <w:color w:val="000000"/>
                <w:sz w:val="20"/>
                <w:szCs w:val="20"/>
              </w:rPr>
              <w:t>775,84</w:t>
            </w:r>
            <w:r w:rsidRPr="00596620">
              <w:rPr>
                <w:rFonts w:ascii="Arial" w:hAnsi="Arial" w:cs="Arial"/>
                <w:color w:val="000000"/>
                <w:sz w:val="20"/>
                <w:szCs w:val="20"/>
              </w:rPr>
              <w:t>0)</w:t>
            </w:r>
          </w:p>
        </w:tc>
        <w:tc>
          <w:tcPr>
            <w:tcW w:w="1351" w:type="dxa"/>
            <w:tcBorders>
              <w:top w:val="nil"/>
              <w:left w:val="nil"/>
              <w:right w:val="nil"/>
            </w:tcBorders>
            <w:shd w:val="clear" w:color="auto" w:fill="FFFFFF"/>
            <w:noWrap/>
            <w:vAlign w:val="center"/>
          </w:tcPr>
          <w:p w14:paraId="10349F8F" w14:textId="104E6613"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CF25B0" w:rsidRPr="00596620">
              <w:rPr>
                <w:rFonts w:ascii="Arial" w:hAnsi="Arial" w:cs="Arial"/>
                <w:color w:val="000000"/>
                <w:sz w:val="20"/>
                <w:szCs w:val="20"/>
              </w:rPr>
              <w:t>794,09</w:t>
            </w:r>
            <w:r w:rsidRPr="00596620">
              <w:rPr>
                <w:rFonts w:ascii="Arial" w:hAnsi="Arial" w:cs="Arial"/>
                <w:color w:val="000000"/>
                <w:sz w:val="20"/>
                <w:szCs w:val="20"/>
              </w:rPr>
              <w:t>0)</w:t>
            </w:r>
          </w:p>
        </w:tc>
        <w:tc>
          <w:tcPr>
            <w:tcW w:w="1351" w:type="dxa"/>
            <w:tcBorders>
              <w:top w:val="nil"/>
              <w:left w:val="nil"/>
              <w:right w:val="nil"/>
            </w:tcBorders>
            <w:shd w:val="clear" w:color="auto" w:fill="FFFFFF"/>
            <w:noWrap/>
            <w:vAlign w:val="center"/>
          </w:tcPr>
          <w:p w14:paraId="4DD9DC55" w14:textId="16F9649E"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CF25B0" w:rsidRPr="00596620">
              <w:rPr>
                <w:rFonts w:ascii="Arial" w:hAnsi="Arial" w:cs="Arial"/>
                <w:color w:val="000000"/>
                <w:sz w:val="20"/>
                <w:szCs w:val="20"/>
              </w:rPr>
              <w:t>811,89</w:t>
            </w:r>
            <w:r w:rsidRPr="00596620">
              <w:rPr>
                <w:rFonts w:ascii="Arial" w:hAnsi="Arial" w:cs="Arial"/>
                <w:color w:val="000000"/>
                <w:sz w:val="20"/>
                <w:szCs w:val="20"/>
              </w:rPr>
              <w:t>0)</w:t>
            </w:r>
          </w:p>
        </w:tc>
        <w:tc>
          <w:tcPr>
            <w:tcW w:w="1353" w:type="dxa"/>
            <w:tcBorders>
              <w:top w:val="nil"/>
              <w:left w:val="nil"/>
              <w:right w:val="nil"/>
            </w:tcBorders>
            <w:shd w:val="clear" w:color="auto" w:fill="FFFFFF"/>
            <w:noWrap/>
            <w:vAlign w:val="center"/>
          </w:tcPr>
          <w:p w14:paraId="39E6893D" w14:textId="545AC7A1"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CF25B0" w:rsidRPr="00596620">
              <w:rPr>
                <w:rFonts w:ascii="Arial" w:hAnsi="Arial" w:cs="Arial"/>
                <w:color w:val="000000"/>
                <w:sz w:val="20"/>
                <w:szCs w:val="20"/>
              </w:rPr>
              <w:t>828,41</w:t>
            </w:r>
            <w:r w:rsidRPr="00596620">
              <w:rPr>
                <w:rFonts w:ascii="Arial" w:hAnsi="Arial" w:cs="Arial"/>
                <w:color w:val="000000"/>
                <w:sz w:val="20"/>
                <w:szCs w:val="20"/>
              </w:rPr>
              <w:t>0)</w:t>
            </w:r>
          </w:p>
        </w:tc>
      </w:tr>
      <w:tr w:rsidR="00CA78ED" w:rsidRPr="004B69EF" w14:paraId="704494DB" w14:textId="77777777" w:rsidTr="00022925">
        <w:trPr>
          <w:trHeight w:val="315"/>
        </w:trPr>
        <w:tc>
          <w:tcPr>
            <w:tcW w:w="3861" w:type="dxa"/>
            <w:tcBorders>
              <w:top w:val="nil"/>
              <w:left w:val="nil"/>
              <w:bottom w:val="nil"/>
              <w:right w:val="nil"/>
            </w:tcBorders>
            <w:shd w:val="clear" w:color="auto" w:fill="FFFFFF"/>
            <w:noWrap/>
            <w:vAlign w:val="center"/>
          </w:tcPr>
          <w:p w14:paraId="5B318E86" w14:textId="5C76E1A9"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Special Income</w:t>
            </w:r>
          </w:p>
        </w:tc>
        <w:tc>
          <w:tcPr>
            <w:tcW w:w="1351" w:type="dxa"/>
            <w:tcBorders>
              <w:top w:val="nil"/>
              <w:left w:val="nil"/>
              <w:right w:val="nil"/>
            </w:tcBorders>
            <w:shd w:val="clear" w:color="auto" w:fill="FFFFFF"/>
            <w:noWrap/>
            <w:vAlign w:val="center"/>
          </w:tcPr>
          <w:p w14:paraId="173592FC" w14:textId="3EE4616E"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(1</w:t>
            </w:r>
            <w:r w:rsidR="00CF25B0" w:rsidRPr="00596620">
              <w:rPr>
                <w:rFonts w:ascii="Arial" w:hAnsi="Arial" w:cs="Arial"/>
                <w:color w:val="000000"/>
                <w:sz w:val="20"/>
                <w:szCs w:val="20"/>
              </w:rPr>
              <w:t>36,41</w:t>
            </w:r>
            <w:r w:rsidRPr="00596620">
              <w:rPr>
                <w:rFonts w:ascii="Arial" w:hAnsi="Arial" w:cs="Arial"/>
                <w:color w:val="000000"/>
                <w:sz w:val="20"/>
                <w:szCs w:val="20"/>
              </w:rPr>
              <w:t>0)</w:t>
            </w:r>
          </w:p>
        </w:tc>
        <w:tc>
          <w:tcPr>
            <w:tcW w:w="1351" w:type="dxa"/>
            <w:tcBorders>
              <w:top w:val="nil"/>
              <w:left w:val="nil"/>
              <w:right w:val="nil"/>
            </w:tcBorders>
            <w:shd w:val="clear" w:color="auto" w:fill="FFFFFF"/>
            <w:noWrap/>
            <w:vAlign w:val="center"/>
          </w:tcPr>
          <w:p w14:paraId="7D547B06" w14:textId="3D8689F8"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CF25B0" w:rsidRPr="00596620">
              <w:rPr>
                <w:rFonts w:ascii="Arial" w:hAnsi="Arial" w:cs="Arial"/>
                <w:color w:val="000000"/>
                <w:sz w:val="20"/>
                <w:szCs w:val="20"/>
              </w:rPr>
              <w:t>141,42</w:t>
            </w:r>
            <w:r w:rsidRPr="00596620">
              <w:rPr>
                <w:rFonts w:ascii="Arial" w:hAnsi="Arial" w:cs="Arial"/>
                <w:color w:val="000000"/>
                <w:sz w:val="20"/>
                <w:szCs w:val="20"/>
              </w:rPr>
              <w:t>0)</w:t>
            </w:r>
          </w:p>
        </w:tc>
        <w:tc>
          <w:tcPr>
            <w:tcW w:w="1351" w:type="dxa"/>
            <w:tcBorders>
              <w:top w:val="nil"/>
              <w:left w:val="nil"/>
              <w:right w:val="nil"/>
            </w:tcBorders>
            <w:shd w:val="clear" w:color="auto" w:fill="FFFFFF"/>
            <w:noWrap/>
            <w:vAlign w:val="center"/>
          </w:tcPr>
          <w:p w14:paraId="2D009F33" w14:textId="449B9EF2"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FB495D" w:rsidRPr="00596620">
              <w:rPr>
                <w:rFonts w:ascii="Arial" w:hAnsi="Arial" w:cs="Arial"/>
                <w:color w:val="000000"/>
                <w:sz w:val="20"/>
                <w:szCs w:val="20"/>
              </w:rPr>
              <w:t>146,680)</w:t>
            </w:r>
          </w:p>
        </w:tc>
        <w:tc>
          <w:tcPr>
            <w:tcW w:w="1351" w:type="dxa"/>
            <w:tcBorders>
              <w:top w:val="nil"/>
              <w:left w:val="nil"/>
              <w:right w:val="nil"/>
            </w:tcBorders>
            <w:shd w:val="clear" w:color="auto" w:fill="FFFFFF"/>
            <w:noWrap/>
            <w:vAlign w:val="center"/>
          </w:tcPr>
          <w:p w14:paraId="0BE8317C" w14:textId="0ED68E8E"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FB495D" w:rsidRPr="00596620">
              <w:rPr>
                <w:rFonts w:ascii="Arial" w:hAnsi="Arial" w:cs="Arial"/>
                <w:color w:val="000000"/>
                <w:sz w:val="20"/>
                <w:szCs w:val="20"/>
              </w:rPr>
              <w:t>152,19</w:t>
            </w:r>
            <w:r w:rsidRPr="00596620">
              <w:rPr>
                <w:rFonts w:ascii="Arial" w:hAnsi="Arial" w:cs="Arial"/>
                <w:color w:val="000000"/>
                <w:sz w:val="20"/>
                <w:szCs w:val="20"/>
              </w:rPr>
              <w:t>0)</w:t>
            </w:r>
          </w:p>
        </w:tc>
        <w:tc>
          <w:tcPr>
            <w:tcW w:w="1353" w:type="dxa"/>
            <w:tcBorders>
              <w:top w:val="nil"/>
              <w:left w:val="nil"/>
              <w:right w:val="nil"/>
            </w:tcBorders>
            <w:shd w:val="clear" w:color="auto" w:fill="FFFFFF"/>
            <w:noWrap/>
            <w:vAlign w:val="center"/>
          </w:tcPr>
          <w:p w14:paraId="65BF203C" w14:textId="06BDD2CF"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(1</w:t>
            </w:r>
            <w:r w:rsidR="00FB495D" w:rsidRPr="00596620">
              <w:rPr>
                <w:rFonts w:ascii="Arial" w:hAnsi="Arial" w:cs="Arial"/>
                <w:color w:val="000000"/>
                <w:sz w:val="20"/>
                <w:szCs w:val="20"/>
              </w:rPr>
              <w:t>57,97</w:t>
            </w:r>
            <w:r w:rsidRPr="00596620">
              <w:rPr>
                <w:rFonts w:ascii="Arial" w:hAnsi="Arial" w:cs="Arial"/>
                <w:color w:val="000000"/>
                <w:sz w:val="20"/>
                <w:szCs w:val="20"/>
              </w:rPr>
              <w:t>0)</w:t>
            </w:r>
          </w:p>
        </w:tc>
      </w:tr>
      <w:tr w:rsidR="00CA78ED" w:rsidRPr="004B69EF" w14:paraId="66B804D7" w14:textId="77777777" w:rsidTr="00022925">
        <w:trPr>
          <w:trHeight w:val="315"/>
        </w:trPr>
        <w:tc>
          <w:tcPr>
            <w:tcW w:w="3861" w:type="dxa"/>
            <w:tcBorders>
              <w:top w:val="nil"/>
              <w:left w:val="nil"/>
              <w:bottom w:val="nil"/>
              <w:right w:val="nil"/>
            </w:tcBorders>
            <w:shd w:val="clear" w:color="auto" w:fill="FFFFFF"/>
            <w:noWrap/>
            <w:vAlign w:val="center"/>
            <w:hideMark/>
          </w:tcPr>
          <w:p w14:paraId="64231153"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Contributions towards Expenditure</w:t>
            </w:r>
          </w:p>
        </w:tc>
        <w:tc>
          <w:tcPr>
            <w:tcW w:w="1351" w:type="dxa"/>
            <w:tcBorders>
              <w:left w:val="nil"/>
              <w:bottom w:val="single" w:sz="8" w:space="0" w:color="auto"/>
              <w:right w:val="nil"/>
            </w:tcBorders>
            <w:shd w:val="clear" w:color="auto" w:fill="FFFFFF"/>
            <w:noWrap/>
            <w:vAlign w:val="center"/>
            <w:hideMark/>
          </w:tcPr>
          <w:p w14:paraId="305C9C15" w14:textId="54BF304E" w:rsidR="00022925" w:rsidRPr="00596620" w:rsidRDefault="00022925" w:rsidP="00022925">
            <w:pPr>
              <w:jc w:val="right"/>
              <w:rPr>
                <w:rFonts w:ascii="Arial" w:hAnsi="Arial" w:cs="Arial"/>
                <w:color w:val="000000"/>
                <w:sz w:val="20"/>
                <w:szCs w:val="20"/>
              </w:rPr>
            </w:pPr>
            <w:r w:rsidRPr="00596620">
              <w:rPr>
                <w:rFonts w:ascii="Arial" w:hAnsi="Arial" w:cs="Arial"/>
                <w:color w:val="000000"/>
                <w:sz w:val="20"/>
                <w:szCs w:val="20"/>
              </w:rPr>
              <w:t>(</w:t>
            </w:r>
            <w:r w:rsidR="008E6802" w:rsidRPr="00596620">
              <w:rPr>
                <w:rFonts w:ascii="Arial" w:hAnsi="Arial" w:cs="Arial"/>
                <w:color w:val="000000"/>
                <w:sz w:val="20"/>
                <w:szCs w:val="20"/>
              </w:rPr>
              <w:t>15</w:t>
            </w:r>
            <w:r w:rsidRPr="00596620">
              <w:rPr>
                <w:rFonts w:ascii="Arial" w:hAnsi="Arial" w:cs="Arial"/>
                <w:color w:val="000000"/>
                <w:sz w:val="20"/>
                <w:szCs w:val="20"/>
              </w:rPr>
              <w:t>,000)</w:t>
            </w:r>
          </w:p>
        </w:tc>
        <w:tc>
          <w:tcPr>
            <w:tcW w:w="1351" w:type="dxa"/>
            <w:tcBorders>
              <w:left w:val="nil"/>
              <w:bottom w:val="single" w:sz="8" w:space="0" w:color="auto"/>
              <w:right w:val="nil"/>
            </w:tcBorders>
            <w:shd w:val="clear" w:color="auto" w:fill="FFFFFF"/>
            <w:noWrap/>
            <w:vAlign w:val="center"/>
            <w:hideMark/>
          </w:tcPr>
          <w:p w14:paraId="6BDC9FED" w14:textId="60F55123" w:rsidR="00022925" w:rsidRPr="00596620" w:rsidRDefault="008E6802" w:rsidP="00022925">
            <w:pPr>
              <w:jc w:val="right"/>
              <w:rPr>
                <w:rFonts w:ascii="Arial" w:hAnsi="Arial" w:cs="Arial"/>
                <w:color w:val="000000"/>
                <w:sz w:val="20"/>
                <w:szCs w:val="20"/>
              </w:rPr>
            </w:pPr>
            <w:r w:rsidRPr="00596620">
              <w:rPr>
                <w:rFonts w:ascii="Arial" w:hAnsi="Arial" w:cs="Arial"/>
                <w:color w:val="000000"/>
                <w:sz w:val="20"/>
                <w:szCs w:val="20"/>
              </w:rPr>
              <w:t>(15,000)</w:t>
            </w:r>
          </w:p>
        </w:tc>
        <w:tc>
          <w:tcPr>
            <w:tcW w:w="1351" w:type="dxa"/>
            <w:tcBorders>
              <w:left w:val="nil"/>
              <w:bottom w:val="single" w:sz="8" w:space="0" w:color="auto"/>
              <w:right w:val="nil"/>
            </w:tcBorders>
            <w:shd w:val="clear" w:color="auto" w:fill="FFFFFF"/>
            <w:noWrap/>
            <w:vAlign w:val="center"/>
            <w:hideMark/>
          </w:tcPr>
          <w:p w14:paraId="09F0402F" w14:textId="4C4F8E86" w:rsidR="00022925" w:rsidRPr="00596620" w:rsidRDefault="008E6802" w:rsidP="00022925">
            <w:pPr>
              <w:jc w:val="right"/>
              <w:rPr>
                <w:rFonts w:ascii="Arial" w:hAnsi="Arial" w:cs="Arial"/>
                <w:color w:val="000000"/>
                <w:sz w:val="20"/>
                <w:szCs w:val="20"/>
              </w:rPr>
            </w:pPr>
            <w:r w:rsidRPr="00596620">
              <w:rPr>
                <w:rFonts w:ascii="Arial" w:hAnsi="Arial" w:cs="Arial"/>
                <w:color w:val="000000"/>
                <w:sz w:val="20"/>
                <w:szCs w:val="20"/>
              </w:rPr>
              <w:t>(15,000)</w:t>
            </w:r>
          </w:p>
        </w:tc>
        <w:tc>
          <w:tcPr>
            <w:tcW w:w="1351" w:type="dxa"/>
            <w:tcBorders>
              <w:left w:val="nil"/>
              <w:bottom w:val="single" w:sz="8" w:space="0" w:color="auto"/>
              <w:right w:val="nil"/>
            </w:tcBorders>
            <w:shd w:val="clear" w:color="auto" w:fill="FFFFFF"/>
            <w:noWrap/>
            <w:vAlign w:val="center"/>
            <w:hideMark/>
          </w:tcPr>
          <w:p w14:paraId="60DB12EE" w14:textId="74C870AE" w:rsidR="00022925" w:rsidRPr="00596620" w:rsidRDefault="008E6802" w:rsidP="00022925">
            <w:pPr>
              <w:jc w:val="right"/>
              <w:rPr>
                <w:rFonts w:ascii="Arial" w:hAnsi="Arial" w:cs="Arial"/>
                <w:color w:val="000000"/>
                <w:sz w:val="20"/>
                <w:szCs w:val="20"/>
              </w:rPr>
            </w:pPr>
            <w:r w:rsidRPr="00596620">
              <w:rPr>
                <w:rFonts w:ascii="Arial" w:hAnsi="Arial" w:cs="Arial"/>
                <w:color w:val="000000"/>
                <w:sz w:val="20"/>
                <w:szCs w:val="20"/>
              </w:rPr>
              <w:t>(15,000)</w:t>
            </w:r>
          </w:p>
        </w:tc>
        <w:tc>
          <w:tcPr>
            <w:tcW w:w="1353" w:type="dxa"/>
            <w:tcBorders>
              <w:left w:val="nil"/>
              <w:bottom w:val="single" w:sz="8" w:space="0" w:color="auto"/>
              <w:right w:val="nil"/>
            </w:tcBorders>
            <w:shd w:val="clear" w:color="auto" w:fill="FFFFFF"/>
            <w:noWrap/>
            <w:vAlign w:val="center"/>
            <w:hideMark/>
          </w:tcPr>
          <w:p w14:paraId="4F7215B8" w14:textId="7F3F41B3" w:rsidR="00022925" w:rsidRPr="00596620" w:rsidRDefault="008E6802" w:rsidP="00022925">
            <w:pPr>
              <w:jc w:val="right"/>
              <w:rPr>
                <w:rFonts w:ascii="Arial" w:hAnsi="Arial" w:cs="Arial"/>
                <w:color w:val="000000"/>
                <w:sz w:val="20"/>
                <w:szCs w:val="20"/>
              </w:rPr>
            </w:pPr>
            <w:r w:rsidRPr="00596620">
              <w:rPr>
                <w:rFonts w:ascii="Arial" w:hAnsi="Arial" w:cs="Arial"/>
                <w:color w:val="000000"/>
                <w:sz w:val="20"/>
                <w:szCs w:val="20"/>
              </w:rPr>
              <w:t>(15,000)</w:t>
            </w:r>
          </w:p>
        </w:tc>
      </w:tr>
      <w:tr w:rsidR="00CA78ED" w:rsidRPr="004B69EF" w14:paraId="588898E9" w14:textId="77777777" w:rsidTr="00022925">
        <w:trPr>
          <w:trHeight w:val="300"/>
        </w:trPr>
        <w:tc>
          <w:tcPr>
            <w:tcW w:w="3861" w:type="dxa"/>
            <w:tcBorders>
              <w:top w:val="nil"/>
              <w:left w:val="nil"/>
              <w:bottom w:val="nil"/>
              <w:right w:val="nil"/>
            </w:tcBorders>
            <w:shd w:val="clear" w:color="auto" w:fill="FFFFFF"/>
            <w:vAlign w:val="center"/>
            <w:hideMark/>
          </w:tcPr>
          <w:p w14:paraId="3C9E9382"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Total Income</w:t>
            </w:r>
          </w:p>
        </w:tc>
        <w:tc>
          <w:tcPr>
            <w:tcW w:w="1351" w:type="dxa"/>
            <w:tcBorders>
              <w:top w:val="nil"/>
              <w:left w:val="nil"/>
              <w:bottom w:val="nil"/>
              <w:right w:val="nil"/>
            </w:tcBorders>
            <w:shd w:val="clear" w:color="auto" w:fill="FFFFFF"/>
            <w:noWrap/>
            <w:vAlign w:val="center"/>
            <w:hideMark/>
          </w:tcPr>
          <w:p w14:paraId="2A8DAF2E" w14:textId="0F762453" w:rsidR="00022925" w:rsidRPr="00596620" w:rsidRDefault="005D0310" w:rsidP="00022925">
            <w:pPr>
              <w:jc w:val="right"/>
              <w:rPr>
                <w:rFonts w:ascii="Arial" w:hAnsi="Arial" w:cs="Arial"/>
                <w:b/>
                <w:color w:val="000000"/>
                <w:sz w:val="20"/>
                <w:szCs w:val="20"/>
              </w:rPr>
            </w:pPr>
            <w:r w:rsidRPr="00596620">
              <w:rPr>
                <w:rFonts w:ascii="Arial" w:hAnsi="Arial" w:cs="Arial"/>
                <w:b/>
                <w:color w:val="000000"/>
                <w:sz w:val="20"/>
                <w:szCs w:val="20"/>
              </w:rPr>
              <w:t>(3</w:t>
            </w:r>
            <w:r w:rsidR="004F2FDB" w:rsidRPr="00596620">
              <w:rPr>
                <w:rFonts w:ascii="Arial" w:hAnsi="Arial" w:cs="Arial"/>
                <w:b/>
                <w:color w:val="000000"/>
                <w:sz w:val="20"/>
                <w:szCs w:val="20"/>
              </w:rPr>
              <w:t>9,533,120</w:t>
            </w:r>
            <w:r w:rsidRPr="00596620">
              <w:rPr>
                <w:rFonts w:ascii="Arial" w:hAnsi="Arial" w:cs="Arial"/>
                <w:b/>
                <w:color w:val="000000"/>
                <w:sz w:val="20"/>
                <w:szCs w:val="20"/>
              </w:rPr>
              <w:t>)</w:t>
            </w:r>
          </w:p>
        </w:tc>
        <w:tc>
          <w:tcPr>
            <w:tcW w:w="1351" w:type="dxa"/>
            <w:tcBorders>
              <w:top w:val="nil"/>
              <w:left w:val="nil"/>
              <w:bottom w:val="nil"/>
              <w:right w:val="nil"/>
            </w:tcBorders>
            <w:shd w:val="clear" w:color="auto" w:fill="FFFFFF"/>
            <w:noWrap/>
            <w:vAlign w:val="center"/>
            <w:hideMark/>
          </w:tcPr>
          <w:p w14:paraId="18864018" w14:textId="1C08288A" w:rsidR="00022925" w:rsidRPr="00596620" w:rsidRDefault="005D0310" w:rsidP="00022925">
            <w:pPr>
              <w:jc w:val="right"/>
              <w:rPr>
                <w:rFonts w:ascii="Arial" w:hAnsi="Arial" w:cs="Arial"/>
                <w:b/>
                <w:color w:val="000000"/>
                <w:sz w:val="20"/>
                <w:szCs w:val="20"/>
              </w:rPr>
            </w:pPr>
            <w:r w:rsidRPr="00596620">
              <w:rPr>
                <w:rFonts w:ascii="Arial" w:hAnsi="Arial" w:cs="Arial"/>
                <w:b/>
                <w:color w:val="000000"/>
                <w:sz w:val="20"/>
                <w:szCs w:val="20"/>
              </w:rPr>
              <w:t>(</w:t>
            </w:r>
            <w:r w:rsidR="004F2FDB" w:rsidRPr="00596620">
              <w:rPr>
                <w:rFonts w:ascii="Arial" w:hAnsi="Arial" w:cs="Arial"/>
                <w:b/>
                <w:color w:val="000000"/>
                <w:sz w:val="20"/>
                <w:szCs w:val="20"/>
              </w:rPr>
              <w:t>41,034,200</w:t>
            </w:r>
            <w:r w:rsidRPr="00596620">
              <w:rPr>
                <w:rFonts w:ascii="Arial" w:hAnsi="Arial" w:cs="Arial"/>
                <w:b/>
                <w:color w:val="000000"/>
                <w:sz w:val="20"/>
                <w:szCs w:val="20"/>
              </w:rPr>
              <w:t>)</w:t>
            </w:r>
          </w:p>
        </w:tc>
        <w:tc>
          <w:tcPr>
            <w:tcW w:w="1351" w:type="dxa"/>
            <w:tcBorders>
              <w:top w:val="nil"/>
              <w:left w:val="nil"/>
              <w:bottom w:val="nil"/>
              <w:right w:val="nil"/>
            </w:tcBorders>
            <w:shd w:val="clear" w:color="auto" w:fill="FFFFFF"/>
            <w:noWrap/>
            <w:vAlign w:val="center"/>
            <w:hideMark/>
          </w:tcPr>
          <w:p w14:paraId="71559E06" w14:textId="11991DBA" w:rsidR="00022925" w:rsidRPr="00596620" w:rsidRDefault="005D0310" w:rsidP="00022925">
            <w:pPr>
              <w:jc w:val="right"/>
              <w:rPr>
                <w:rFonts w:ascii="Arial" w:hAnsi="Arial" w:cs="Arial"/>
                <w:b/>
                <w:color w:val="000000"/>
                <w:sz w:val="20"/>
                <w:szCs w:val="20"/>
              </w:rPr>
            </w:pPr>
            <w:r w:rsidRPr="00596620">
              <w:rPr>
                <w:rFonts w:ascii="Arial" w:hAnsi="Arial" w:cs="Arial"/>
                <w:b/>
                <w:color w:val="000000"/>
                <w:sz w:val="20"/>
                <w:szCs w:val="20"/>
              </w:rPr>
              <w:t>(4</w:t>
            </w:r>
            <w:r w:rsidR="004F2FDB" w:rsidRPr="00596620">
              <w:rPr>
                <w:rFonts w:ascii="Arial" w:hAnsi="Arial" w:cs="Arial"/>
                <w:b/>
                <w:color w:val="000000"/>
                <w:sz w:val="20"/>
                <w:szCs w:val="20"/>
              </w:rPr>
              <w:t>2</w:t>
            </w:r>
            <w:r w:rsidR="00AC4A3B" w:rsidRPr="00596620">
              <w:rPr>
                <w:rFonts w:ascii="Arial" w:hAnsi="Arial" w:cs="Arial"/>
                <w:b/>
                <w:color w:val="000000"/>
                <w:sz w:val="20"/>
                <w:szCs w:val="20"/>
              </w:rPr>
              <w:t>,351,350</w:t>
            </w:r>
            <w:r w:rsidRPr="00596620">
              <w:rPr>
                <w:rFonts w:ascii="Arial" w:hAnsi="Arial" w:cs="Arial"/>
                <w:b/>
                <w:color w:val="000000"/>
                <w:sz w:val="20"/>
                <w:szCs w:val="20"/>
              </w:rPr>
              <w:t>)</w:t>
            </w:r>
          </w:p>
        </w:tc>
        <w:tc>
          <w:tcPr>
            <w:tcW w:w="1351" w:type="dxa"/>
            <w:tcBorders>
              <w:top w:val="nil"/>
              <w:left w:val="nil"/>
              <w:bottom w:val="nil"/>
              <w:right w:val="nil"/>
            </w:tcBorders>
            <w:shd w:val="clear" w:color="auto" w:fill="FFFFFF"/>
            <w:noWrap/>
            <w:vAlign w:val="center"/>
            <w:hideMark/>
          </w:tcPr>
          <w:p w14:paraId="7C9C4D0E" w14:textId="48FC7AC4" w:rsidR="00022925" w:rsidRPr="00596620" w:rsidRDefault="005D0310" w:rsidP="00022925">
            <w:pPr>
              <w:jc w:val="right"/>
              <w:rPr>
                <w:rFonts w:ascii="Arial" w:hAnsi="Arial" w:cs="Arial"/>
                <w:b/>
                <w:color w:val="000000"/>
                <w:sz w:val="20"/>
                <w:szCs w:val="20"/>
              </w:rPr>
            </w:pPr>
            <w:r w:rsidRPr="00596620">
              <w:rPr>
                <w:rFonts w:ascii="Arial" w:hAnsi="Arial" w:cs="Arial"/>
                <w:b/>
                <w:color w:val="000000"/>
                <w:sz w:val="20"/>
                <w:szCs w:val="20"/>
              </w:rPr>
              <w:t>(4</w:t>
            </w:r>
            <w:r w:rsidR="00AC4A3B" w:rsidRPr="00596620">
              <w:rPr>
                <w:rFonts w:ascii="Arial" w:hAnsi="Arial" w:cs="Arial"/>
                <w:b/>
                <w:color w:val="000000"/>
                <w:sz w:val="20"/>
                <w:szCs w:val="20"/>
              </w:rPr>
              <w:t>3,</w:t>
            </w:r>
            <w:r w:rsidR="00316BA1" w:rsidRPr="00596620">
              <w:rPr>
                <w:rFonts w:ascii="Arial" w:hAnsi="Arial" w:cs="Arial"/>
                <w:b/>
                <w:color w:val="000000"/>
                <w:sz w:val="20"/>
                <w:szCs w:val="20"/>
              </w:rPr>
              <w:t>5</w:t>
            </w:r>
            <w:r w:rsidR="00AC4A3B" w:rsidRPr="00596620">
              <w:rPr>
                <w:rFonts w:ascii="Arial" w:hAnsi="Arial" w:cs="Arial"/>
                <w:b/>
                <w:color w:val="000000"/>
                <w:sz w:val="20"/>
                <w:szCs w:val="20"/>
              </w:rPr>
              <w:t>65,96</w:t>
            </w:r>
            <w:r w:rsidRPr="00596620">
              <w:rPr>
                <w:rFonts w:ascii="Arial" w:hAnsi="Arial" w:cs="Arial"/>
                <w:b/>
                <w:color w:val="000000"/>
                <w:sz w:val="20"/>
                <w:szCs w:val="20"/>
              </w:rPr>
              <w:t>0)</w:t>
            </w:r>
          </w:p>
        </w:tc>
        <w:tc>
          <w:tcPr>
            <w:tcW w:w="1353" w:type="dxa"/>
            <w:tcBorders>
              <w:top w:val="nil"/>
              <w:left w:val="nil"/>
              <w:bottom w:val="nil"/>
              <w:right w:val="nil"/>
            </w:tcBorders>
            <w:shd w:val="clear" w:color="auto" w:fill="FFFFFF"/>
            <w:noWrap/>
            <w:vAlign w:val="center"/>
            <w:hideMark/>
          </w:tcPr>
          <w:p w14:paraId="1344FC1D" w14:textId="43439892" w:rsidR="00022925" w:rsidRPr="00596620" w:rsidRDefault="005D0310" w:rsidP="00022925">
            <w:pPr>
              <w:jc w:val="right"/>
              <w:rPr>
                <w:rFonts w:ascii="Arial" w:hAnsi="Arial" w:cs="Arial"/>
                <w:b/>
                <w:color w:val="000000"/>
                <w:sz w:val="20"/>
                <w:szCs w:val="20"/>
              </w:rPr>
            </w:pPr>
            <w:r w:rsidRPr="00596620">
              <w:rPr>
                <w:rFonts w:ascii="Arial" w:hAnsi="Arial" w:cs="Arial"/>
                <w:b/>
                <w:color w:val="000000"/>
                <w:sz w:val="20"/>
                <w:szCs w:val="20"/>
              </w:rPr>
              <w:t>(4</w:t>
            </w:r>
            <w:r w:rsidR="00CC19C7" w:rsidRPr="00596620">
              <w:rPr>
                <w:rFonts w:ascii="Arial" w:hAnsi="Arial" w:cs="Arial"/>
                <w:b/>
                <w:color w:val="000000"/>
                <w:sz w:val="20"/>
                <w:szCs w:val="20"/>
              </w:rPr>
              <w:t>4,813,420</w:t>
            </w:r>
            <w:r w:rsidRPr="00596620">
              <w:rPr>
                <w:rFonts w:ascii="Arial" w:hAnsi="Arial" w:cs="Arial"/>
                <w:b/>
                <w:color w:val="000000"/>
                <w:sz w:val="20"/>
                <w:szCs w:val="20"/>
              </w:rPr>
              <w:t>)</w:t>
            </w:r>
          </w:p>
        </w:tc>
      </w:tr>
      <w:tr w:rsidR="00CA78ED" w:rsidRPr="004B69EF" w14:paraId="454F6D78" w14:textId="77777777" w:rsidTr="00E42649">
        <w:trPr>
          <w:trHeight w:val="131"/>
        </w:trPr>
        <w:tc>
          <w:tcPr>
            <w:tcW w:w="3861" w:type="dxa"/>
            <w:tcBorders>
              <w:top w:val="nil"/>
              <w:left w:val="nil"/>
              <w:bottom w:val="nil"/>
              <w:right w:val="nil"/>
            </w:tcBorders>
            <w:shd w:val="clear" w:color="auto" w:fill="FFFFFF"/>
            <w:vAlign w:val="center"/>
            <w:hideMark/>
          </w:tcPr>
          <w:p w14:paraId="0B5EFB37" w14:textId="77777777" w:rsidR="00022925" w:rsidRPr="00596620" w:rsidRDefault="00022925" w:rsidP="00022925">
            <w:pPr>
              <w:rPr>
                <w:rFonts w:ascii="Arial" w:hAnsi="Arial" w:cs="Arial"/>
                <w:b/>
                <w:color w:val="000000"/>
                <w:sz w:val="10"/>
                <w:szCs w:val="10"/>
              </w:rPr>
            </w:pPr>
            <w:r w:rsidRPr="00596620">
              <w:rPr>
                <w:rFonts w:ascii="Arial" w:hAnsi="Arial" w:cs="Arial"/>
                <w:b/>
                <w:color w:val="000000"/>
                <w:sz w:val="10"/>
                <w:szCs w:val="10"/>
              </w:rPr>
              <w:t> </w:t>
            </w:r>
          </w:p>
        </w:tc>
        <w:tc>
          <w:tcPr>
            <w:tcW w:w="1351" w:type="dxa"/>
            <w:tcBorders>
              <w:top w:val="nil"/>
              <w:left w:val="nil"/>
              <w:bottom w:val="nil"/>
              <w:right w:val="nil"/>
            </w:tcBorders>
            <w:shd w:val="clear" w:color="auto" w:fill="FFFFFF"/>
            <w:noWrap/>
            <w:vAlign w:val="center"/>
            <w:hideMark/>
          </w:tcPr>
          <w:p w14:paraId="55D814EB" w14:textId="77777777" w:rsidR="00022925" w:rsidRPr="00596620" w:rsidRDefault="00022925" w:rsidP="00022925">
            <w:pPr>
              <w:rPr>
                <w:rFonts w:ascii="Arial" w:hAnsi="Arial" w:cs="Arial"/>
                <w:color w:val="00FF00"/>
                <w:sz w:val="10"/>
                <w:szCs w:val="10"/>
              </w:rPr>
            </w:pPr>
            <w:r w:rsidRPr="00596620">
              <w:rPr>
                <w:rFonts w:ascii="Arial" w:hAnsi="Arial" w:cs="Arial"/>
                <w:color w:val="00FF00"/>
                <w:sz w:val="10"/>
                <w:szCs w:val="10"/>
              </w:rPr>
              <w:t> </w:t>
            </w:r>
          </w:p>
        </w:tc>
        <w:tc>
          <w:tcPr>
            <w:tcW w:w="1351" w:type="dxa"/>
            <w:tcBorders>
              <w:top w:val="nil"/>
              <w:left w:val="nil"/>
              <w:bottom w:val="nil"/>
              <w:right w:val="nil"/>
            </w:tcBorders>
            <w:shd w:val="clear" w:color="auto" w:fill="FFFFFF"/>
            <w:noWrap/>
            <w:vAlign w:val="center"/>
            <w:hideMark/>
          </w:tcPr>
          <w:p w14:paraId="5DA74E17" w14:textId="77777777" w:rsidR="00022925" w:rsidRPr="00596620" w:rsidRDefault="00022925" w:rsidP="00022925">
            <w:pPr>
              <w:rPr>
                <w:rFonts w:ascii="Arial" w:hAnsi="Arial" w:cs="Arial"/>
                <w:color w:val="00FF00"/>
                <w:sz w:val="10"/>
                <w:szCs w:val="10"/>
              </w:rPr>
            </w:pPr>
            <w:r w:rsidRPr="00596620">
              <w:rPr>
                <w:rFonts w:ascii="Arial" w:hAnsi="Arial" w:cs="Arial"/>
                <w:color w:val="00FF00"/>
                <w:sz w:val="10"/>
                <w:szCs w:val="10"/>
              </w:rPr>
              <w:t> </w:t>
            </w:r>
          </w:p>
        </w:tc>
        <w:tc>
          <w:tcPr>
            <w:tcW w:w="1351" w:type="dxa"/>
            <w:tcBorders>
              <w:top w:val="nil"/>
              <w:left w:val="nil"/>
              <w:bottom w:val="nil"/>
              <w:right w:val="nil"/>
            </w:tcBorders>
            <w:shd w:val="clear" w:color="auto" w:fill="FFFFFF"/>
            <w:noWrap/>
            <w:vAlign w:val="center"/>
            <w:hideMark/>
          </w:tcPr>
          <w:p w14:paraId="766BB692" w14:textId="77777777" w:rsidR="00022925" w:rsidRPr="00596620" w:rsidRDefault="00022925" w:rsidP="00022925">
            <w:pPr>
              <w:rPr>
                <w:rFonts w:ascii="Arial" w:hAnsi="Arial" w:cs="Arial"/>
                <w:color w:val="00FF00"/>
                <w:sz w:val="10"/>
                <w:szCs w:val="10"/>
              </w:rPr>
            </w:pPr>
            <w:r w:rsidRPr="00596620">
              <w:rPr>
                <w:rFonts w:ascii="Arial" w:hAnsi="Arial" w:cs="Arial"/>
                <w:color w:val="00FF00"/>
                <w:sz w:val="10"/>
                <w:szCs w:val="10"/>
              </w:rPr>
              <w:t> </w:t>
            </w:r>
          </w:p>
        </w:tc>
        <w:tc>
          <w:tcPr>
            <w:tcW w:w="1351" w:type="dxa"/>
            <w:tcBorders>
              <w:top w:val="nil"/>
              <w:left w:val="nil"/>
              <w:bottom w:val="nil"/>
              <w:right w:val="nil"/>
            </w:tcBorders>
            <w:shd w:val="clear" w:color="auto" w:fill="FFFFFF"/>
            <w:noWrap/>
            <w:vAlign w:val="center"/>
            <w:hideMark/>
          </w:tcPr>
          <w:p w14:paraId="1D4806A9" w14:textId="77777777" w:rsidR="00022925" w:rsidRPr="00596620" w:rsidRDefault="00022925" w:rsidP="00022925">
            <w:pPr>
              <w:rPr>
                <w:rFonts w:ascii="Arial" w:hAnsi="Arial" w:cs="Arial"/>
                <w:color w:val="00FF00"/>
                <w:sz w:val="10"/>
                <w:szCs w:val="10"/>
              </w:rPr>
            </w:pPr>
            <w:r w:rsidRPr="00596620">
              <w:rPr>
                <w:rFonts w:ascii="Arial" w:hAnsi="Arial" w:cs="Arial"/>
                <w:color w:val="00FF00"/>
                <w:sz w:val="10"/>
                <w:szCs w:val="10"/>
              </w:rPr>
              <w:t> </w:t>
            </w:r>
          </w:p>
        </w:tc>
        <w:tc>
          <w:tcPr>
            <w:tcW w:w="1353" w:type="dxa"/>
            <w:tcBorders>
              <w:top w:val="nil"/>
              <w:left w:val="nil"/>
              <w:bottom w:val="nil"/>
              <w:right w:val="nil"/>
            </w:tcBorders>
            <w:noWrap/>
            <w:vAlign w:val="bottom"/>
            <w:hideMark/>
          </w:tcPr>
          <w:p w14:paraId="6F34528A" w14:textId="77777777" w:rsidR="00022925" w:rsidRPr="00596620" w:rsidRDefault="00022925" w:rsidP="00022925">
            <w:pPr>
              <w:rPr>
                <w:rFonts w:ascii="Arial" w:hAnsi="Arial" w:cs="Arial"/>
                <w:color w:val="00FF00"/>
                <w:sz w:val="10"/>
                <w:szCs w:val="10"/>
              </w:rPr>
            </w:pPr>
          </w:p>
        </w:tc>
      </w:tr>
      <w:tr w:rsidR="00CA78ED" w:rsidRPr="004B69EF" w14:paraId="6472DF03" w14:textId="77777777" w:rsidTr="00022925">
        <w:trPr>
          <w:trHeight w:val="300"/>
        </w:trPr>
        <w:tc>
          <w:tcPr>
            <w:tcW w:w="3861" w:type="dxa"/>
            <w:tcBorders>
              <w:top w:val="nil"/>
              <w:left w:val="nil"/>
              <w:bottom w:val="nil"/>
              <w:right w:val="nil"/>
            </w:tcBorders>
            <w:shd w:val="clear" w:color="auto" w:fill="FFFFFF"/>
            <w:vAlign w:val="center"/>
            <w:hideMark/>
          </w:tcPr>
          <w:p w14:paraId="13277FD2"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Expenditure</w:t>
            </w:r>
          </w:p>
        </w:tc>
        <w:tc>
          <w:tcPr>
            <w:tcW w:w="1351" w:type="dxa"/>
            <w:tcBorders>
              <w:top w:val="nil"/>
              <w:left w:val="nil"/>
              <w:bottom w:val="nil"/>
              <w:right w:val="nil"/>
            </w:tcBorders>
            <w:shd w:val="clear" w:color="auto" w:fill="FFFFFF"/>
            <w:noWrap/>
            <w:vAlign w:val="center"/>
            <w:hideMark/>
          </w:tcPr>
          <w:p w14:paraId="6D5F4BFD"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 </w:t>
            </w:r>
          </w:p>
        </w:tc>
        <w:tc>
          <w:tcPr>
            <w:tcW w:w="1351" w:type="dxa"/>
            <w:tcBorders>
              <w:top w:val="nil"/>
              <w:left w:val="nil"/>
              <w:bottom w:val="nil"/>
              <w:right w:val="nil"/>
            </w:tcBorders>
            <w:shd w:val="clear" w:color="auto" w:fill="FFFFFF"/>
            <w:noWrap/>
            <w:vAlign w:val="center"/>
            <w:hideMark/>
          </w:tcPr>
          <w:p w14:paraId="7BF32BA8"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 </w:t>
            </w:r>
          </w:p>
        </w:tc>
        <w:tc>
          <w:tcPr>
            <w:tcW w:w="1351" w:type="dxa"/>
            <w:tcBorders>
              <w:top w:val="nil"/>
              <w:left w:val="nil"/>
              <w:bottom w:val="nil"/>
              <w:right w:val="nil"/>
            </w:tcBorders>
            <w:shd w:val="clear" w:color="auto" w:fill="FFFFFF"/>
            <w:noWrap/>
            <w:vAlign w:val="center"/>
            <w:hideMark/>
          </w:tcPr>
          <w:p w14:paraId="3ADECAE3"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 </w:t>
            </w:r>
          </w:p>
        </w:tc>
        <w:tc>
          <w:tcPr>
            <w:tcW w:w="1351" w:type="dxa"/>
            <w:tcBorders>
              <w:top w:val="nil"/>
              <w:left w:val="nil"/>
              <w:bottom w:val="nil"/>
              <w:right w:val="nil"/>
            </w:tcBorders>
            <w:shd w:val="clear" w:color="auto" w:fill="FFFFFF"/>
            <w:noWrap/>
            <w:vAlign w:val="center"/>
            <w:hideMark/>
          </w:tcPr>
          <w:p w14:paraId="101A2DE0"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 </w:t>
            </w:r>
          </w:p>
        </w:tc>
        <w:tc>
          <w:tcPr>
            <w:tcW w:w="1353" w:type="dxa"/>
            <w:tcBorders>
              <w:top w:val="nil"/>
              <w:left w:val="nil"/>
              <w:bottom w:val="nil"/>
              <w:right w:val="nil"/>
            </w:tcBorders>
            <w:noWrap/>
            <w:vAlign w:val="bottom"/>
            <w:hideMark/>
          </w:tcPr>
          <w:p w14:paraId="575EA1D2" w14:textId="77777777" w:rsidR="00022925" w:rsidRPr="00596620" w:rsidRDefault="00022925" w:rsidP="00022925">
            <w:pPr>
              <w:rPr>
                <w:rFonts w:ascii="Arial" w:hAnsi="Arial" w:cs="Arial"/>
                <w:b/>
                <w:color w:val="000000"/>
                <w:sz w:val="20"/>
                <w:szCs w:val="20"/>
              </w:rPr>
            </w:pPr>
          </w:p>
        </w:tc>
      </w:tr>
      <w:tr w:rsidR="00CA78ED" w:rsidRPr="004B69EF" w14:paraId="7607F7B3" w14:textId="77777777" w:rsidTr="00022925">
        <w:trPr>
          <w:trHeight w:val="300"/>
        </w:trPr>
        <w:tc>
          <w:tcPr>
            <w:tcW w:w="3861" w:type="dxa"/>
            <w:tcBorders>
              <w:top w:val="nil"/>
              <w:left w:val="nil"/>
              <w:bottom w:val="nil"/>
              <w:right w:val="nil"/>
            </w:tcBorders>
            <w:shd w:val="clear" w:color="auto" w:fill="FFFFFF"/>
            <w:vAlign w:val="center"/>
            <w:hideMark/>
          </w:tcPr>
          <w:p w14:paraId="25E25B3F"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Repairs Account Expenditure</w:t>
            </w:r>
          </w:p>
        </w:tc>
        <w:tc>
          <w:tcPr>
            <w:tcW w:w="1351" w:type="dxa"/>
            <w:tcBorders>
              <w:top w:val="nil"/>
              <w:left w:val="nil"/>
              <w:bottom w:val="nil"/>
              <w:right w:val="nil"/>
            </w:tcBorders>
            <w:shd w:val="clear" w:color="auto" w:fill="FFFFFF"/>
            <w:noWrap/>
            <w:vAlign w:val="center"/>
            <w:hideMark/>
          </w:tcPr>
          <w:p w14:paraId="77D33B9A" w14:textId="4E58F9D4" w:rsidR="00022925" w:rsidRPr="00596620" w:rsidRDefault="00B95119" w:rsidP="00022925">
            <w:pPr>
              <w:jc w:val="right"/>
              <w:rPr>
                <w:rFonts w:ascii="Arial" w:hAnsi="Arial" w:cs="Arial"/>
                <w:color w:val="000000"/>
                <w:sz w:val="20"/>
                <w:szCs w:val="20"/>
              </w:rPr>
            </w:pPr>
            <w:r w:rsidRPr="00596620">
              <w:rPr>
                <w:rFonts w:ascii="Arial" w:hAnsi="Arial" w:cs="Arial"/>
                <w:color w:val="000000"/>
                <w:sz w:val="20"/>
                <w:szCs w:val="20"/>
              </w:rPr>
              <w:t>12,415,010</w:t>
            </w:r>
          </w:p>
        </w:tc>
        <w:tc>
          <w:tcPr>
            <w:tcW w:w="1351" w:type="dxa"/>
            <w:tcBorders>
              <w:top w:val="nil"/>
              <w:left w:val="nil"/>
              <w:bottom w:val="nil"/>
              <w:right w:val="nil"/>
            </w:tcBorders>
            <w:shd w:val="clear" w:color="auto" w:fill="FFFFFF"/>
            <w:noWrap/>
            <w:vAlign w:val="center"/>
            <w:hideMark/>
          </w:tcPr>
          <w:p w14:paraId="7DA27A3A" w14:textId="307E9458" w:rsidR="00022925" w:rsidRPr="00596620" w:rsidRDefault="00B95119" w:rsidP="00022925">
            <w:pPr>
              <w:jc w:val="right"/>
              <w:rPr>
                <w:rFonts w:ascii="Arial" w:hAnsi="Arial" w:cs="Arial"/>
                <w:color w:val="000000"/>
                <w:sz w:val="20"/>
                <w:szCs w:val="20"/>
              </w:rPr>
            </w:pPr>
            <w:r w:rsidRPr="00596620">
              <w:rPr>
                <w:rFonts w:ascii="Arial" w:hAnsi="Arial" w:cs="Arial"/>
                <w:color w:val="000000"/>
                <w:sz w:val="20"/>
                <w:szCs w:val="20"/>
              </w:rPr>
              <w:t>12,667,350</w:t>
            </w:r>
          </w:p>
        </w:tc>
        <w:tc>
          <w:tcPr>
            <w:tcW w:w="1351" w:type="dxa"/>
            <w:tcBorders>
              <w:top w:val="nil"/>
              <w:left w:val="nil"/>
              <w:bottom w:val="nil"/>
              <w:right w:val="nil"/>
            </w:tcBorders>
            <w:shd w:val="clear" w:color="auto" w:fill="FFFFFF"/>
            <w:noWrap/>
            <w:vAlign w:val="center"/>
            <w:hideMark/>
          </w:tcPr>
          <w:p w14:paraId="5D3809DD" w14:textId="28D2A2E0" w:rsidR="00022925" w:rsidRPr="00596620" w:rsidRDefault="00B95119" w:rsidP="00022925">
            <w:pPr>
              <w:jc w:val="right"/>
              <w:rPr>
                <w:rFonts w:ascii="Arial" w:hAnsi="Arial" w:cs="Arial"/>
                <w:color w:val="000000"/>
                <w:sz w:val="20"/>
                <w:szCs w:val="20"/>
              </w:rPr>
            </w:pPr>
            <w:r w:rsidRPr="00596620">
              <w:rPr>
                <w:rFonts w:ascii="Arial" w:hAnsi="Arial" w:cs="Arial"/>
                <w:color w:val="000000"/>
                <w:sz w:val="20"/>
                <w:szCs w:val="20"/>
              </w:rPr>
              <w:t>12,971,450</w:t>
            </w:r>
          </w:p>
        </w:tc>
        <w:tc>
          <w:tcPr>
            <w:tcW w:w="1351" w:type="dxa"/>
            <w:tcBorders>
              <w:top w:val="nil"/>
              <w:left w:val="nil"/>
              <w:bottom w:val="nil"/>
              <w:right w:val="nil"/>
            </w:tcBorders>
            <w:shd w:val="clear" w:color="auto" w:fill="FFFFFF"/>
            <w:noWrap/>
            <w:vAlign w:val="center"/>
            <w:hideMark/>
          </w:tcPr>
          <w:p w14:paraId="49DF5ACC" w14:textId="25A24848" w:rsidR="00022925" w:rsidRPr="00596620" w:rsidRDefault="00B95119" w:rsidP="00022925">
            <w:pPr>
              <w:jc w:val="right"/>
              <w:rPr>
                <w:rFonts w:ascii="Arial" w:hAnsi="Arial" w:cs="Arial"/>
                <w:color w:val="000000"/>
                <w:sz w:val="20"/>
                <w:szCs w:val="20"/>
              </w:rPr>
            </w:pPr>
            <w:r w:rsidRPr="00596620">
              <w:rPr>
                <w:rFonts w:ascii="Arial" w:hAnsi="Arial" w:cs="Arial"/>
                <w:color w:val="000000"/>
                <w:sz w:val="20"/>
                <w:szCs w:val="20"/>
              </w:rPr>
              <w:t>13,262,740</w:t>
            </w:r>
          </w:p>
        </w:tc>
        <w:tc>
          <w:tcPr>
            <w:tcW w:w="1353" w:type="dxa"/>
            <w:tcBorders>
              <w:top w:val="nil"/>
              <w:left w:val="nil"/>
              <w:bottom w:val="nil"/>
              <w:right w:val="nil"/>
            </w:tcBorders>
            <w:shd w:val="clear" w:color="auto" w:fill="FFFFFF"/>
            <w:noWrap/>
            <w:vAlign w:val="center"/>
            <w:hideMark/>
          </w:tcPr>
          <w:p w14:paraId="18AB1316" w14:textId="1FE7F10A" w:rsidR="00022925" w:rsidRPr="00596620" w:rsidRDefault="00B95119" w:rsidP="00022925">
            <w:pPr>
              <w:jc w:val="right"/>
              <w:rPr>
                <w:rFonts w:ascii="Arial" w:hAnsi="Arial" w:cs="Arial"/>
                <w:color w:val="000000"/>
                <w:sz w:val="20"/>
                <w:szCs w:val="20"/>
              </w:rPr>
            </w:pPr>
            <w:r w:rsidRPr="00596620">
              <w:rPr>
                <w:rFonts w:ascii="Arial" w:hAnsi="Arial" w:cs="Arial"/>
                <w:color w:val="000000"/>
                <w:sz w:val="20"/>
                <w:szCs w:val="20"/>
              </w:rPr>
              <w:t>13,571,070</w:t>
            </w:r>
          </w:p>
        </w:tc>
      </w:tr>
      <w:tr w:rsidR="00CA78ED" w:rsidRPr="004B69EF" w14:paraId="5CCA7990" w14:textId="77777777" w:rsidTr="00022925">
        <w:trPr>
          <w:trHeight w:val="300"/>
        </w:trPr>
        <w:tc>
          <w:tcPr>
            <w:tcW w:w="3861" w:type="dxa"/>
            <w:tcBorders>
              <w:top w:val="nil"/>
              <w:left w:val="nil"/>
              <w:bottom w:val="nil"/>
              <w:right w:val="nil"/>
            </w:tcBorders>
            <w:shd w:val="clear" w:color="auto" w:fill="FFFFFF"/>
            <w:vAlign w:val="center"/>
            <w:hideMark/>
          </w:tcPr>
          <w:p w14:paraId="2AB67D86" w14:textId="367EC765"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Supervision &amp; Management - General:</w:t>
            </w:r>
          </w:p>
        </w:tc>
        <w:tc>
          <w:tcPr>
            <w:tcW w:w="1351" w:type="dxa"/>
            <w:tcBorders>
              <w:top w:val="nil"/>
              <w:left w:val="nil"/>
              <w:bottom w:val="nil"/>
              <w:right w:val="nil"/>
            </w:tcBorders>
            <w:shd w:val="clear" w:color="auto" w:fill="FFFFFF"/>
            <w:noWrap/>
            <w:vAlign w:val="center"/>
            <w:hideMark/>
          </w:tcPr>
          <w:p w14:paraId="35FA3BF2" w14:textId="4B489D14" w:rsidR="00022925" w:rsidRPr="00596620" w:rsidRDefault="0016266F" w:rsidP="00022925">
            <w:pPr>
              <w:jc w:val="right"/>
              <w:rPr>
                <w:rFonts w:ascii="Arial" w:hAnsi="Arial" w:cs="Arial"/>
                <w:color w:val="000000"/>
                <w:sz w:val="20"/>
                <w:szCs w:val="20"/>
              </w:rPr>
            </w:pPr>
            <w:r w:rsidRPr="00596620">
              <w:rPr>
                <w:rFonts w:ascii="Arial" w:hAnsi="Arial" w:cs="Arial"/>
                <w:color w:val="000000"/>
                <w:sz w:val="20"/>
                <w:szCs w:val="20"/>
              </w:rPr>
              <w:t>7,727,610</w:t>
            </w:r>
          </w:p>
        </w:tc>
        <w:tc>
          <w:tcPr>
            <w:tcW w:w="1351" w:type="dxa"/>
            <w:tcBorders>
              <w:top w:val="nil"/>
              <w:left w:val="nil"/>
              <w:bottom w:val="nil"/>
              <w:right w:val="nil"/>
            </w:tcBorders>
            <w:shd w:val="clear" w:color="auto" w:fill="FFFFFF"/>
            <w:noWrap/>
            <w:vAlign w:val="center"/>
            <w:hideMark/>
          </w:tcPr>
          <w:p w14:paraId="5BDA8A94" w14:textId="5787765E" w:rsidR="00022925" w:rsidRPr="00596620" w:rsidRDefault="0016266F" w:rsidP="00022925">
            <w:pPr>
              <w:jc w:val="right"/>
              <w:rPr>
                <w:rFonts w:ascii="Arial" w:hAnsi="Arial" w:cs="Arial"/>
                <w:color w:val="000000"/>
                <w:sz w:val="20"/>
                <w:szCs w:val="20"/>
              </w:rPr>
            </w:pPr>
            <w:r w:rsidRPr="00596620">
              <w:rPr>
                <w:rFonts w:ascii="Arial" w:hAnsi="Arial" w:cs="Arial"/>
                <w:color w:val="000000"/>
                <w:sz w:val="20"/>
                <w:szCs w:val="20"/>
              </w:rPr>
              <w:t>7,794,170</w:t>
            </w:r>
          </w:p>
        </w:tc>
        <w:tc>
          <w:tcPr>
            <w:tcW w:w="1351" w:type="dxa"/>
            <w:tcBorders>
              <w:top w:val="nil"/>
              <w:left w:val="nil"/>
              <w:bottom w:val="nil"/>
              <w:right w:val="nil"/>
            </w:tcBorders>
            <w:shd w:val="clear" w:color="auto" w:fill="FFFFFF"/>
            <w:noWrap/>
            <w:vAlign w:val="center"/>
            <w:hideMark/>
          </w:tcPr>
          <w:p w14:paraId="6A033D89" w14:textId="62C51A91" w:rsidR="00022925" w:rsidRPr="00596620" w:rsidRDefault="0016266F" w:rsidP="00022925">
            <w:pPr>
              <w:jc w:val="right"/>
              <w:rPr>
                <w:rFonts w:ascii="Arial" w:hAnsi="Arial" w:cs="Arial"/>
                <w:color w:val="000000"/>
                <w:sz w:val="20"/>
                <w:szCs w:val="20"/>
              </w:rPr>
            </w:pPr>
            <w:r w:rsidRPr="00596620">
              <w:rPr>
                <w:rFonts w:ascii="Arial" w:hAnsi="Arial" w:cs="Arial"/>
                <w:color w:val="000000"/>
                <w:sz w:val="20"/>
                <w:szCs w:val="20"/>
              </w:rPr>
              <w:t>7,935,290</w:t>
            </w:r>
          </w:p>
        </w:tc>
        <w:tc>
          <w:tcPr>
            <w:tcW w:w="1351" w:type="dxa"/>
            <w:tcBorders>
              <w:top w:val="nil"/>
              <w:left w:val="nil"/>
              <w:bottom w:val="nil"/>
              <w:right w:val="nil"/>
            </w:tcBorders>
            <w:shd w:val="clear" w:color="auto" w:fill="FFFFFF"/>
            <w:noWrap/>
            <w:vAlign w:val="center"/>
            <w:hideMark/>
          </w:tcPr>
          <w:p w14:paraId="195C8E95" w14:textId="5E30073A" w:rsidR="00022925" w:rsidRPr="00596620" w:rsidRDefault="0016266F" w:rsidP="00022925">
            <w:pPr>
              <w:jc w:val="right"/>
              <w:rPr>
                <w:rFonts w:ascii="Arial" w:hAnsi="Arial" w:cs="Arial"/>
                <w:color w:val="000000"/>
                <w:sz w:val="20"/>
                <w:szCs w:val="20"/>
              </w:rPr>
            </w:pPr>
            <w:r w:rsidRPr="00596620">
              <w:rPr>
                <w:rFonts w:ascii="Arial" w:hAnsi="Arial" w:cs="Arial"/>
                <w:color w:val="000000"/>
                <w:sz w:val="20"/>
                <w:szCs w:val="20"/>
              </w:rPr>
              <w:t>8,068,820</w:t>
            </w:r>
          </w:p>
        </w:tc>
        <w:tc>
          <w:tcPr>
            <w:tcW w:w="1353" w:type="dxa"/>
            <w:tcBorders>
              <w:top w:val="nil"/>
              <w:left w:val="nil"/>
              <w:bottom w:val="nil"/>
              <w:right w:val="nil"/>
            </w:tcBorders>
            <w:shd w:val="clear" w:color="auto" w:fill="FFFFFF"/>
            <w:noWrap/>
            <w:vAlign w:val="center"/>
            <w:hideMark/>
          </w:tcPr>
          <w:p w14:paraId="0ED6AD7E" w14:textId="0ECEC43F" w:rsidR="00022925" w:rsidRPr="00596620" w:rsidRDefault="0016266F" w:rsidP="00022925">
            <w:pPr>
              <w:jc w:val="right"/>
              <w:rPr>
                <w:rFonts w:ascii="Arial" w:hAnsi="Arial" w:cs="Arial"/>
                <w:color w:val="000000"/>
                <w:sz w:val="20"/>
                <w:szCs w:val="20"/>
              </w:rPr>
            </w:pPr>
            <w:r w:rsidRPr="00596620">
              <w:rPr>
                <w:rFonts w:ascii="Arial" w:hAnsi="Arial" w:cs="Arial"/>
                <w:color w:val="000000"/>
                <w:sz w:val="20"/>
                <w:szCs w:val="20"/>
              </w:rPr>
              <w:t>8,218,050</w:t>
            </w:r>
          </w:p>
        </w:tc>
      </w:tr>
      <w:tr w:rsidR="00CA78ED" w:rsidRPr="004B69EF" w14:paraId="5D038D0C" w14:textId="77777777" w:rsidTr="00022925">
        <w:trPr>
          <w:trHeight w:val="300"/>
        </w:trPr>
        <w:tc>
          <w:tcPr>
            <w:tcW w:w="3861" w:type="dxa"/>
            <w:tcBorders>
              <w:top w:val="nil"/>
              <w:left w:val="nil"/>
              <w:bottom w:val="nil"/>
              <w:right w:val="nil"/>
            </w:tcBorders>
            <w:shd w:val="clear" w:color="auto" w:fill="FFFFFF"/>
            <w:vAlign w:val="center"/>
            <w:hideMark/>
          </w:tcPr>
          <w:p w14:paraId="4828882F" w14:textId="0BFB99FD"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Supervision &amp; Management – Special:</w:t>
            </w:r>
          </w:p>
        </w:tc>
        <w:tc>
          <w:tcPr>
            <w:tcW w:w="1351" w:type="dxa"/>
            <w:tcBorders>
              <w:top w:val="nil"/>
              <w:left w:val="nil"/>
              <w:bottom w:val="nil"/>
              <w:right w:val="nil"/>
            </w:tcBorders>
            <w:shd w:val="clear" w:color="auto" w:fill="FFFFFF"/>
            <w:noWrap/>
            <w:vAlign w:val="center"/>
            <w:hideMark/>
          </w:tcPr>
          <w:p w14:paraId="55FD42CC" w14:textId="758E3672" w:rsidR="00022925" w:rsidRPr="00596620" w:rsidRDefault="00406803" w:rsidP="00022925">
            <w:pPr>
              <w:jc w:val="right"/>
              <w:rPr>
                <w:rFonts w:ascii="Arial" w:hAnsi="Arial" w:cs="Arial"/>
                <w:color w:val="000000"/>
                <w:sz w:val="20"/>
                <w:szCs w:val="20"/>
              </w:rPr>
            </w:pPr>
            <w:r w:rsidRPr="00596620">
              <w:rPr>
                <w:rFonts w:ascii="Arial" w:hAnsi="Arial" w:cs="Arial"/>
                <w:color w:val="000000"/>
                <w:sz w:val="20"/>
                <w:szCs w:val="20"/>
              </w:rPr>
              <w:t>2,603,320</w:t>
            </w:r>
          </w:p>
        </w:tc>
        <w:tc>
          <w:tcPr>
            <w:tcW w:w="1351" w:type="dxa"/>
            <w:tcBorders>
              <w:top w:val="nil"/>
              <w:left w:val="nil"/>
              <w:bottom w:val="nil"/>
              <w:right w:val="nil"/>
            </w:tcBorders>
            <w:shd w:val="clear" w:color="auto" w:fill="FFFFFF"/>
            <w:noWrap/>
            <w:vAlign w:val="center"/>
            <w:hideMark/>
          </w:tcPr>
          <w:p w14:paraId="6FF87023" w14:textId="762F54AE" w:rsidR="00022925" w:rsidRPr="00596620" w:rsidRDefault="00406803" w:rsidP="00022925">
            <w:pPr>
              <w:jc w:val="right"/>
              <w:rPr>
                <w:rFonts w:ascii="Arial" w:hAnsi="Arial" w:cs="Arial"/>
                <w:color w:val="000000"/>
                <w:sz w:val="20"/>
                <w:szCs w:val="20"/>
              </w:rPr>
            </w:pPr>
            <w:r w:rsidRPr="00596620">
              <w:rPr>
                <w:rFonts w:ascii="Arial" w:hAnsi="Arial" w:cs="Arial"/>
                <w:color w:val="000000"/>
                <w:sz w:val="20"/>
                <w:szCs w:val="20"/>
              </w:rPr>
              <w:t>2,768,190</w:t>
            </w:r>
          </w:p>
        </w:tc>
        <w:tc>
          <w:tcPr>
            <w:tcW w:w="1351" w:type="dxa"/>
            <w:tcBorders>
              <w:top w:val="nil"/>
              <w:left w:val="nil"/>
              <w:bottom w:val="nil"/>
              <w:right w:val="nil"/>
            </w:tcBorders>
            <w:shd w:val="clear" w:color="auto" w:fill="FFFFFF"/>
            <w:noWrap/>
            <w:vAlign w:val="center"/>
            <w:hideMark/>
          </w:tcPr>
          <w:p w14:paraId="28F2DB5D" w14:textId="046F9464" w:rsidR="00022925" w:rsidRPr="00596620" w:rsidRDefault="00406803" w:rsidP="00022925">
            <w:pPr>
              <w:jc w:val="right"/>
              <w:rPr>
                <w:rFonts w:ascii="Arial" w:hAnsi="Arial" w:cs="Arial"/>
                <w:color w:val="000000"/>
                <w:sz w:val="20"/>
                <w:szCs w:val="20"/>
              </w:rPr>
            </w:pPr>
            <w:r w:rsidRPr="00596620">
              <w:rPr>
                <w:rFonts w:ascii="Arial" w:hAnsi="Arial" w:cs="Arial"/>
                <w:color w:val="000000"/>
                <w:sz w:val="20"/>
                <w:szCs w:val="20"/>
              </w:rPr>
              <w:t>2,806,370</w:t>
            </w:r>
          </w:p>
        </w:tc>
        <w:tc>
          <w:tcPr>
            <w:tcW w:w="1351" w:type="dxa"/>
            <w:tcBorders>
              <w:top w:val="nil"/>
              <w:left w:val="nil"/>
              <w:bottom w:val="nil"/>
              <w:right w:val="nil"/>
            </w:tcBorders>
            <w:shd w:val="clear" w:color="auto" w:fill="FFFFFF"/>
            <w:noWrap/>
            <w:vAlign w:val="center"/>
            <w:hideMark/>
          </w:tcPr>
          <w:p w14:paraId="07D640F3" w14:textId="3BD07EA2" w:rsidR="00022925" w:rsidRPr="00596620" w:rsidRDefault="00406803" w:rsidP="00022925">
            <w:pPr>
              <w:jc w:val="right"/>
              <w:rPr>
                <w:rFonts w:ascii="Arial" w:hAnsi="Arial" w:cs="Arial"/>
                <w:color w:val="000000"/>
                <w:sz w:val="20"/>
                <w:szCs w:val="20"/>
              </w:rPr>
            </w:pPr>
            <w:r w:rsidRPr="00596620">
              <w:rPr>
                <w:rFonts w:ascii="Arial" w:hAnsi="Arial" w:cs="Arial"/>
                <w:color w:val="000000"/>
                <w:sz w:val="20"/>
                <w:szCs w:val="20"/>
              </w:rPr>
              <w:t>2,847,720</w:t>
            </w:r>
          </w:p>
        </w:tc>
        <w:tc>
          <w:tcPr>
            <w:tcW w:w="1353" w:type="dxa"/>
            <w:tcBorders>
              <w:top w:val="nil"/>
              <w:left w:val="nil"/>
              <w:bottom w:val="nil"/>
              <w:right w:val="nil"/>
            </w:tcBorders>
            <w:shd w:val="clear" w:color="auto" w:fill="FFFFFF"/>
            <w:noWrap/>
            <w:vAlign w:val="center"/>
            <w:hideMark/>
          </w:tcPr>
          <w:p w14:paraId="41866CAA" w14:textId="1D3D6B94" w:rsidR="00022925" w:rsidRPr="00596620" w:rsidRDefault="00406803" w:rsidP="00022925">
            <w:pPr>
              <w:jc w:val="right"/>
              <w:rPr>
                <w:rFonts w:ascii="Arial" w:hAnsi="Arial" w:cs="Arial"/>
                <w:color w:val="000000"/>
                <w:sz w:val="20"/>
                <w:szCs w:val="20"/>
              </w:rPr>
            </w:pPr>
            <w:r w:rsidRPr="00596620">
              <w:rPr>
                <w:rFonts w:ascii="Arial" w:hAnsi="Arial" w:cs="Arial"/>
                <w:color w:val="000000"/>
                <w:sz w:val="20"/>
                <w:szCs w:val="20"/>
              </w:rPr>
              <w:t>2,899,570</w:t>
            </w:r>
          </w:p>
        </w:tc>
      </w:tr>
      <w:tr w:rsidR="00CA78ED" w:rsidRPr="004B69EF" w14:paraId="14CFF80C" w14:textId="77777777" w:rsidTr="00022925">
        <w:trPr>
          <w:trHeight w:val="300"/>
        </w:trPr>
        <w:tc>
          <w:tcPr>
            <w:tcW w:w="3861" w:type="dxa"/>
            <w:tcBorders>
              <w:top w:val="nil"/>
              <w:left w:val="nil"/>
              <w:bottom w:val="nil"/>
              <w:right w:val="nil"/>
            </w:tcBorders>
            <w:shd w:val="clear" w:color="auto" w:fill="FFFFFF"/>
            <w:vAlign w:val="center"/>
            <w:hideMark/>
          </w:tcPr>
          <w:p w14:paraId="5EA66B64"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Contingencies</w:t>
            </w:r>
          </w:p>
        </w:tc>
        <w:tc>
          <w:tcPr>
            <w:tcW w:w="1351" w:type="dxa"/>
            <w:tcBorders>
              <w:top w:val="nil"/>
              <w:left w:val="nil"/>
              <w:bottom w:val="nil"/>
              <w:right w:val="nil"/>
            </w:tcBorders>
            <w:shd w:val="clear" w:color="auto" w:fill="FFFFFF"/>
            <w:noWrap/>
            <w:vAlign w:val="center"/>
            <w:hideMark/>
          </w:tcPr>
          <w:p w14:paraId="3172D29D" w14:textId="346F5627" w:rsidR="00022925" w:rsidRPr="00596620" w:rsidRDefault="000A12DE" w:rsidP="00022925">
            <w:pPr>
              <w:jc w:val="right"/>
              <w:rPr>
                <w:rFonts w:ascii="Arial" w:hAnsi="Arial" w:cs="Arial"/>
                <w:color w:val="000000"/>
                <w:sz w:val="20"/>
                <w:szCs w:val="20"/>
              </w:rPr>
            </w:pPr>
            <w:r>
              <w:rPr>
                <w:rFonts w:ascii="Arial" w:hAnsi="Arial" w:cs="Arial"/>
                <w:color w:val="000000"/>
                <w:sz w:val="20"/>
                <w:szCs w:val="20"/>
              </w:rPr>
              <w:t>90,410</w:t>
            </w:r>
          </w:p>
        </w:tc>
        <w:tc>
          <w:tcPr>
            <w:tcW w:w="1351" w:type="dxa"/>
            <w:tcBorders>
              <w:top w:val="nil"/>
              <w:left w:val="nil"/>
              <w:bottom w:val="nil"/>
              <w:right w:val="nil"/>
            </w:tcBorders>
            <w:shd w:val="clear" w:color="auto" w:fill="FFFFFF"/>
            <w:noWrap/>
            <w:vAlign w:val="center"/>
            <w:hideMark/>
          </w:tcPr>
          <w:p w14:paraId="1D06B178" w14:textId="1A3CCD7A" w:rsidR="00022925" w:rsidRPr="00596620" w:rsidRDefault="000A12DE" w:rsidP="00022925">
            <w:pPr>
              <w:jc w:val="right"/>
              <w:rPr>
                <w:rFonts w:ascii="Arial" w:hAnsi="Arial" w:cs="Arial"/>
                <w:color w:val="000000"/>
                <w:sz w:val="20"/>
                <w:szCs w:val="20"/>
              </w:rPr>
            </w:pPr>
            <w:r>
              <w:rPr>
                <w:rFonts w:ascii="Arial" w:hAnsi="Arial" w:cs="Arial"/>
                <w:color w:val="000000"/>
                <w:sz w:val="20"/>
                <w:szCs w:val="20"/>
              </w:rPr>
              <w:t>84,290</w:t>
            </w:r>
          </w:p>
        </w:tc>
        <w:tc>
          <w:tcPr>
            <w:tcW w:w="1351" w:type="dxa"/>
            <w:tcBorders>
              <w:top w:val="nil"/>
              <w:left w:val="nil"/>
              <w:bottom w:val="nil"/>
              <w:right w:val="nil"/>
            </w:tcBorders>
            <w:shd w:val="clear" w:color="auto" w:fill="FFFFFF"/>
            <w:noWrap/>
            <w:vAlign w:val="center"/>
            <w:hideMark/>
          </w:tcPr>
          <w:p w14:paraId="24D319AB" w14:textId="46651D0A" w:rsidR="00022925" w:rsidRPr="00596620" w:rsidRDefault="000A12DE" w:rsidP="00022925">
            <w:pPr>
              <w:jc w:val="right"/>
              <w:rPr>
                <w:rFonts w:ascii="Arial" w:hAnsi="Arial" w:cs="Arial"/>
                <w:color w:val="000000"/>
                <w:sz w:val="20"/>
                <w:szCs w:val="20"/>
              </w:rPr>
            </w:pPr>
            <w:r>
              <w:rPr>
                <w:rFonts w:ascii="Arial" w:hAnsi="Arial" w:cs="Arial"/>
                <w:color w:val="000000"/>
                <w:sz w:val="20"/>
                <w:szCs w:val="20"/>
              </w:rPr>
              <w:t>79,010</w:t>
            </w:r>
          </w:p>
        </w:tc>
        <w:tc>
          <w:tcPr>
            <w:tcW w:w="1351" w:type="dxa"/>
            <w:tcBorders>
              <w:top w:val="nil"/>
              <w:left w:val="nil"/>
              <w:bottom w:val="nil"/>
              <w:right w:val="nil"/>
            </w:tcBorders>
            <w:shd w:val="clear" w:color="auto" w:fill="FFFFFF"/>
            <w:noWrap/>
            <w:vAlign w:val="center"/>
            <w:hideMark/>
          </w:tcPr>
          <w:p w14:paraId="518C7D20" w14:textId="625E04DF" w:rsidR="00022925" w:rsidRPr="00596620" w:rsidRDefault="000A12DE" w:rsidP="00022925">
            <w:pPr>
              <w:jc w:val="right"/>
              <w:rPr>
                <w:rFonts w:ascii="Arial" w:hAnsi="Arial" w:cs="Arial"/>
                <w:color w:val="000000"/>
                <w:sz w:val="20"/>
                <w:szCs w:val="20"/>
              </w:rPr>
            </w:pPr>
            <w:r>
              <w:rPr>
                <w:rFonts w:ascii="Arial" w:hAnsi="Arial" w:cs="Arial"/>
                <w:color w:val="000000"/>
                <w:sz w:val="20"/>
                <w:szCs w:val="20"/>
              </w:rPr>
              <w:t>222</w:t>
            </w:r>
            <w:r w:rsidR="00C03031">
              <w:rPr>
                <w:rFonts w:ascii="Arial" w:hAnsi="Arial" w:cs="Arial"/>
                <w:color w:val="000000"/>
                <w:sz w:val="20"/>
                <w:szCs w:val="20"/>
              </w:rPr>
              <w:t>,580</w:t>
            </w:r>
          </w:p>
        </w:tc>
        <w:tc>
          <w:tcPr>
            <w:tcW w:w="1353" w:type="dxa"/>
            <w:tcBorders>
              <w:top w:val="nil"/>
              <w:left w:val="nil"/>
              <w:bottom w:val="nil"/>
              <w:right w:val="nil"/>
            </w:tcBorders>
            <w:shd w:val="clear" w:color="auto" w:fill="FFFFFF"/>
            <w:noWrap/>
            <w:vAlign w:val="center"/>
            <w:hideMark/>
          </w:tcPr>
          <w:p w14:paraId="15A923D2" w14:textId="05D202E4" w:rsidR="00022925" w:rsidRPr="00596620" w:rsidRDefault="000A12DE" w:rsidP="00022925">
            <w:pPr>
              <w:jc w:val="right"/>
              <w:rPr>
                <w:rFonts w:ascii="Arial" w:hAnsi="Arial" w:cs="Arial"/>
                <w:color w:val="000000"/>
                <w:sz w:val="20"/>
                <w:szCs w:val="20"/>
              </w:rPr>
            </w:pPr>
            <w:r>
              <w:rPr>
                <w:rFonts w:ascii="Arial" w:hAnsi="Arial" w:cs="Arial"/>
                <w:color w:val="000000"/>
                <w:sz w:val="20"/>
                <w:szCs w:val="20"/>
              </w:rPr>
              <w:t>216</w:t>
            </w:r>
            <w:r w:rsidR="00C03031">
              <w:rPr>
                <w:rFonts w:ascii="Arial" w:hAnsi="Arial" w:cs="Arial"/>
                <w:color w:val="000000"/>
                <w:sz w:val="20"/>
                <w:szCs w:val="20"/>
              </w:rPr>
              <w:t>,020</w:t>
            </w:r>
          </w:p>
        </w:tc>
      </w:tr>
      <w:tr w:rsidR="00CA78ED" w:rsidRPr="004B69EF" w14:paraId="7FCD1614" w14:textId="77777777" w:rsidTr="00022925">
        <w:trPr>
          <w:trHeight w:val="300"/>
        </w:trPr>
        <w:tc>
          <w:tcPr>
            <w:tcW w:w="3861" w:type="dxa"/>
            <w:tcBorders>
              <w:top w:val="nil"/>
              <w:left w:val="nil"/>
              <w:bottom w:val="nil"/>
              <w:right w:val="nil"/>
            </w:tcBorders>
            <w:shd w:val="clear" w:color="auto" w:fill="FFFFFF"/>
            <w:vAlign w:val="center"/>
            <w:hideMark/>
          </w:tcPr>
          <w:p w14:paraId="096BA626"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Rents, Rates and Other Premises</w:t>
            </w:r>
          </w:p>
        </w:tc>
        <w:tc>
          <w:tcPr>
            <w:tcW w:w="1351" w:type="dxa"/>
            <w:tcBorders>
              <w:top w:val="nil"/>
              <w:left w:val="nil"/>
              <w:bottom w:val="nil"/>
              <w:right w:val="nil"/>
            </w:tcBorders>
            <w:shd w:val="clear" w:color="auto" w:fill="FFFFFF"/>
            <w:noWrap/>
            <w:vAlign w:val="center"/>
            <w:hideMark/>
          </w:tcPr>
          <w:p w14:paraId="01D1C5B8" w14:textId="076B511F" w:rsidR="00022925" w:rsidRPr="00596620" w:rsidRDefault="00686FEE" w:rsidP="00022925">
            <w:pPr>
              <w:jc w:val="right"/>
              <w:rPr>
                <w:rFonts w:ascii="Arial" w:hAnsi="Arial" w:cs="Arial"/>
                <w:color w:val="000000"/>
                <w:sz w:val="20"/>
                <w:szCs w:val="20"/>
              </w:rPr>
            </w:pPr>
            <w:r w:rsidRPr="00596620">
              <w:rPr>
                <w:rFonts w:ascii="Arial" w:hAnsi="Arial" w:cs="Arial"/>
                <w:color w:val="000000"/>
                <w:sz w:val="20"/>
                <w:szCs w:val="20"/>
              </w:rPr>
              <w:t>789,790</w:t>
            </w:r>
          </w:p>
        </w:tc>
        <w:tc>
          <w:tcPr>
            <w:tcW w:w="1351" w:type="dxa"/>
            <w:tcBorders>
              <w:top w:val="nil"/>
              <w:left w:val="nil"/>
              <w:bottom w:val="nil"/>
              <w:right w:val="nil"/>
            </w:tcBorders>
            <w:shd w:val="clear" w:color="auto" w:fill="FFFFFF"/>
            <w:noWrap/>
            <w:vAlign w:val="center"/>
            <w:hideMark/>
          </w:tcPr>
          <w:p w14:paraId="679AC303" w14:textId="6648512A" w:rsidR="00022925" w:rsidRPr="00596620" w:rsidRDefault="00686FEE" w:rsidP="00022925">
            <w:pPr>
              <w:jc w:val="right"/>
              <w:rPr>
                <w:rFonts w:ascii="Arial" w:hAnsi="Arial" w:cs="Arial"/>
                <w:color w:val="000000"/>
                <w:sz w:val="20"/>
                <w:szCs w:val="20"/>
              </w:rPr>
            </w:pPr>
            <w:r w:rsidRPr="00596620">
              <w:rPr>
                <w:rFonts w:ascii="Arial" w:hAnsi="Arial" w:cs="Arial"/>
                <w:color w:val="000000"/>
                <w:sz w:val="20"/>
                <w:szCs w:val="20"/>
              </w:rPr>
              <w:t>827,290</w:t>
            </w:r>
          </w:p>
        </w:tc>
        <w:tc>
          <w:tcPr>
            <w:tcW w:w="1351" w:type="dxa"/>
            <w:tcBorders>
              <w:top w:val="nil"/>
              <w:left w:val="nil"/>
              <w:bottom w:val="nil"/>
              <w:right w:val="nil"/>
            </w:tcBorders>
            <w:shd w:val="clear" w:color="auto" w:fill="FFFFFF"/>
            <w:noWrap/>
            <w:vAlign w:val="center"/>
            <w:hideMark/>
          </w:tcPr>
          <w:p w14:paraId="37383983" w14:textId="257A28ED" w:rsidR="00022925" w:rsidRPr="00596620" w:rsidRDefault="00686FEE" w:rsidP="00022925">
            <w:pPr>
              <w:jc w:val="right"/>
              <w:rPr>
                <w:rFonts w:ascii="Arial" w:hAnsi="Arial" w:cs="Arial"/>
                <w:color w:val="000000"/>
                <w:sz w:val="20"/>
                <w:szCs w:val="20"/>
              </w:rPr>
            </w:pPr>
            <w:r w:rsidRPr="00596620">
              <w:rPr>
                <w:rFonts w:ascii="Arial" w:hAnsi="Arial" w:cs="Arial"/>
                <w:color w:val="000000"/>
                <w:sz w:val="20"/>
                <w:szCs w:val="20"/>
              </w:rPr>
              <w:t>861,650</w:t>
            </w:r>
          </w:p>
        </w:tc>
        <w:tc>
          <w:tcPr>
            <w:tcW w:w="1351" w:type="dxa"/>
            <w:tcBorders>
              <w:top w:val="nil"/>
              <w:left w:val="nil"/>
              <w:bottom w:val="nil"/>
              <w:right w:val="nil"/>
            </w:tcBorders>
            <w:shd w:val="clear" w:color="auto" w:fill="FFFFFF"/>
            <w:noWrap/>
            <w:vAlign w:val="center"/>
            <w:hideMark/>
          </w:tcPr>
          <w:p w14:paraId="030324E5" w14:textId="0893DD04" w:rsidR="00022925" w:rsidRPr="00596620" w:rsidRDefault="00B31D87" w:rsidP="00022925">
            <w:pPr>
              <w:jc w:val="right"/>
              <w:rPr>
                <w:rFonts w:ascii="Arial" w:hAnsi="Arial" w:cs="Arial"/>
                <w:color w:val="000000"/>
                <w:sz w:val="20"/>
                <w:szCs w:val="20"/>
              </w:rPr>
            </w:pPr>
            <w:r w:rsidRPr="00596620">
              <w:rPr>
                <w:rFonts w:ascii="Arial" w:hAnsi="Arial" w:cs="Arial"/>
                <w:color w:val="000000"/>
                <w:sz w:val="20"/>
                <w:szCs w:val="20"/>
              </w:rPr>
              <w:t>896,580</w:t>
            </w:r>
          </w:p>
        </w:tc>
        <w:tc>
          <w:tcPr>
            <w:tcW w:w="1353" w:type="dxa"/>
            <w:tcBorders>
              <w:top w:val="nil"/>
              <w:left w:val="nil"/>
              <w:bottom w:val="nil"/>
              <w:right w:val="nil"/>
            </w:tcBorders>
            <w:shd w:val="clear" w:color="auto" w:fill="FFFFFF"/>
            <w:noWrap/>
            <w:vAlign w:val="center"/>
            <w:hideMark/>
          </w:tcPr>
          <w:p w14:paraId="2AAB118D" w14:textId="5BDC9E91" w:rsidR="00022925" w:rsidRPr="00596620" w:rsidRDefault="00A160FA" w:rsidP="00022925">
            <w:pPr>
              <w:jc w:val="right"/>
              <w:rPr>
                <w:rFonts w:ascii="Arial" w:hAnsi="Arial" w:cs="Arial"/>
                <w:color w:val="000000"/>
                <w:sz w:val="20"/>
                <w:szCs w:val="20"/>
              </w:rPr>
            </w:pPr>
            <w:r w:rsidRPr="00596620">
              <w:rPr>
                <w:rFonts w:ascii="Arial" w:hAnsi="Arial" w:cs="Arial"/>
                <w:color w:val="000000"/>
                <w:sz w:val="20"/>
                <w:szCs w:val="20"/>
              </w:rPr>
              <w:t>909,560</w:t>
            </w:r>
          </w:p>
        </w:tc>
      </w:tr>
      <w:tr w:rsidR="00CA78ED" w:rsidRPr="004B69EF" w14:paraId="4AA52312" w14:textId="77777777" w:rsidTr="00022925">
        <w:trPr>
          <w:trHeight w:val="300"/>
        </w:trPr>
        <w:tc>
          <w:tcPr>
            <w:tcW w:w="3861" w:type="dxa"/>
            <w:tcBorders>
              <w:top w:val="nil"/>
              <w:left w:val="nil"/>
              <w:bottom w:val="nil"/>
              <w:right w:val="nil"/>
            </w:tcBorders>
            <w:shd w:val="clear" w:color="auto" w:fill="FFFFFF"/>
            <w:vAlign w:val="center"/>
            <w:hideMark/>
          </w:tcPr>
          <w:p w14:paraId="79D4F586"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Insurance Claims Contingency</w:t>
            </w:r>
          </w:p>
        </w:tc>
        <w:tc>
          <w:tcPr>
            <w:tcW w:w="1351" w:type="dxa"/>
            <w:tcBorders>
              <w:top w:val="nil"/>
              <w:left w:val="nil"/>
              <w:bottom w:val="nil"/>
              <w:right w:val="nil"/>
            </w:tcBorders>
            <w:shd w:val="clear" w:color="auto" w:fill="FFFFFF"/>
            <w:noWrap/>
            <w:vAlign w:val="center"/>
            <w:hideMark/>
          </w:tcPr>
          <w:p w14:paraId="79DC040C" w14:textId="1630B16E" w:rsidR="00022925" w:rsidRPr="00596620" w:rsidRDefault="00B8035A" w:rsidP="00022925">
            <w:pPr>
              <w:jc w:val="right"/>
              <w:rPr>
                <w:rFonts w:ascii="Arial" w:hAnsi="Arial" w:cs="Arial"/>
                <w:color w:val="000000"/>
                <w:sz w:val="20"/>
                <w:szCs w:val="20"/>
              </w:rPr>
            </w:pPr>
            <w:r w:rsidRPr="00596620">
              <w:rPr>
                <w:rFonts w:ascii="Arial" w:hAnsi="Arial" w:cs="Arial"/>
                <w:color w:val="000000"/>
                <w:sz w:val="20"/>
                <w:szCs w:val="20"/>
              </w:rPr>
              <w:t>543,330</w:t>
            </w:r>
          </w:p>
        </w:tc>
        <w:tc>
          <w:tcPr>
            <w:tcW w:w="1351" w:type="dxa"/>
            <w:tcBorders>
              <w:top w:val="nil"/>
              <w:left w:val="nil"/>
              <w:bottom w:val="nil"/>
              <w:right w:val="nil"/>
            </w:tcBorders>
            <w:shd w:val="clear" w:color="auto" w:fill="FFFFFF"/>
            <w:noWrap/>
            <w:vAlign w:val="center"/>
            <w:hideMark/>
          </w:tcPr>
          <w:p w14:paraId="08942FA2" w14:textId="02B8D193" w:rsidR="00022925" w:rsidRPr="00596620" w:rsidRDefault="00AF33C3" w:rsidP="00022925">
            <w:pPr>
              <w:jc w:val="right"/>
              <w:rPr>
                <w:rFonts w:ascii="Arial" w:hAnsi="Arial" w:cs="Arial"/>
                <w:color w:val="000000"/>
                <w:sz w:val="20"/>
                <w:szCs w:val="20"/>
              </w:rPr>
            </w:pPr>
            <w:r w:rsidRPr="00596620">
              <w:rPr>
                <w:rFonts w:ascii="Arial" w:hAnsi="Arial" w:cs="Arial"/>
                <w:color w:val="000000"/>
                <w:sz w:val="20"/>
                <w:szCs w:val="20"/>
              </w:rPr>
              <w:t>564,670</w:t>
            </w:r>
          </w:p>
        </w:tc>
        <w:tc>
          <w:tcPr>
            <w:tcW w:w="1351" w:type="dxa"/>
            <w:tcBorders>
              <w:top w:val="nil"/>
              <w:left w:val="nil"/>
              <w:bottom w:val="nil"/>
              <w:right w:val="nil"/>
            </w:tcBorders>
            <w:shd w:val="clear" w:color="auto" w:fill="FFFFFF"/>
            <w:noWrap/>
            <w:vAlign w:val="center"/>
            <w:hideMark/>
          </w:tcPr>
          <w:p w14:paraId="37F4034A" w14:textId="58EFF7A6" w:rsidR="00022925" w:rsidRPr="00596620" w:rsidRDefault="00AF33C3" w:rsidP="00022925">
            <w:pPr>
              <w:jc w:val="right"/>
              <w:rPr>
                <w:rFonts w:ascii="Arial" w:hAnsi="Arial" w:cs="Arial"/>
                <w:color w:val="000000"/>
                <w:sz w:val="20"/>
                <w:szCs w:val="20"/>
              </w:rPr>
            </w:pPr>
            <w:r w:rsidRPr="00596620">
              <w:rPr>
                <w:rFonts w:ascii="Arial" w:hAnsi="Arial" w:cs="Arial"/>
                <w:color w:val="000000"/>
                <w:sz w:val="20"/>
                <w:szCs w:val="20"/>
              </w:rPr>
              <w:t>587,650</w:t>
            </w:r>
          </w:p>
        </w:tc>
        <w:tc>
          <w:tcPr>
            <w:tcW w:w="1351" w:type="dxa"/>
            <w:tcBorders>
              <w:top w:val="nil"/>
              <w:left w:val="nil"/>
              <w:bottom w:val="nil"/>
              <w:right w:val="nil"/>
            </w:tcBorders>
            <w:shd w:val="clear" w:color="auto" w:fill="FFFFFF"/>
            <w:noWrap/>
            <w:vAlign w:val="center"/>
            <w:hideMark/>
          </w:tcPr>
          <w:p w14:paraId="272EF285" w14:textId="5BABE9C7" w:rsidR="00022925" w:rsidRPr="00596620" w:rsidRDefault="00AF33C3" w:rsidP="00022925">
            <w:pPr>
              <w:jc w:val="right"/>
              <w:rPr>
                <w:rFonts w:ascii="Arial" w:hAnsi="Arial" w:cs="Arial"/>
                <w:color w:val="000000"/>
                <w:sz w:val="20"/>
                <w:szCs w:val="20"/>
              </w:rPr>
            </w:pPr>
            <w:r w:rsidRPr="00596620">
              <w:rPr>
                <w:rFonts w:ascii="Arial" w:hAnsi="Arial" w:cs="Arial"/>
                <w:color w:val="000000"/>
                <w:sz w:val="20"/>
                <w:szCs w:val="20"/>
              </w:rPr>
              <w:t>593,800</w:t>
            </w:r>
          </w:p>
        </w:tc>
        <w:tc>
          <w:tcPr>
            <w:tcW w:w="1353" w:type="dxa"/>
            <w:tcBorders>
              <w:top w:val="nil"/>
              <w:left w:val="nil"/>
              <w:bottom w:val="nil"/>
              <w:right w:val="nil"/>
            </w:tcBorders>
            <w:shd w:val="clear" w:color="auto" w:fill="FFFFFF"/>
            <w:noWrap/>
            <w:vAlign w:val="center"/>
            <w:hideMark/>
          </w:tcPr>
          <w:p w14:paraId="4F1A9A7A" w14:textId="062D5422" w:rsidR="00022925" w:rsidRPr="00596620" w:rsidRDefault="00AF33C3" w:rsidP="00022925">
            <w:pPr>
              <w:jc w:val="right"/>
              <w:rPr>
                <w:rFonts w:ascii="Arial" w:hAnsi="Arial" w:cs="Arial"/>
                <w:color w:val="000000"/>
                <w:sz w:val="20"/>
                <w:szCs w:val="20"/>
              </w:rPr>
            </w:pPr>
            <w:r w:rsidRPr="00596620">
              <w:rPr>
                <w:rFonts w:ascii="Arial" w:hAnsi="Arial" w:cs="Arial"/>
                <w:color w:val="000000"/>
                <w:sz w:val="20"/>
                <w:szCs w:val="20"/>
              </w:rPr>
              <w:t>602,440</w:t>
            </w:r>
          </w:p>
        </w:tc>
      </w:tr>
      <w:tr w:rsidR="00CA78ED" w:rsidRPr="004B69EF" w14:paraId="795FF628" w14:textId="77777777" w:rsidTr="00022925">
        <w:trPr>
          <w:trHeight w:val="300"/>
        </w:trPr>
        <w:tc>
          <w:tcPr>
            <w:tcW w:w="3861" w:type="dxa"/>
            <w:tcBorders>
              <w:top w:val="nil"/>
              <w:left w:val="nil"/>
              <w:bottom w:val="nil"/>
              <w:right w:val="nil"/>
            </w:tcBorders>
            <w:shd w:val="clear" w:color="auto" w:fill="FFFFFF"/>
            <w:vAlign w:val="center"/>
          </w:tcPr>
          <w:p w14:paraId="20072AA4" w14:textId="20DFAED3" w:rsidR="003263E9" w:rsidRPr="00596620" w:rsidRDefault="00BE3BC2" w:rsidP="00022925">
            <w:pPr>
              <w:rPr>
                <w:rFonts w:ascii="Arial" w:hAnsi="Arial" w:cs="Arial"/>
                <w:color w:val="000000"/>
                <w:sz w:val="20"/>
                <w:szCs w:val="20"/>
              </w:rPr>
            </w:pPr>
            <w:r w:rsidRPr="00596620">
              <w:rPr>
                <w:rFonts w:ascii="Arial" w:hAnsi="Arial" w:cs="Arial"/>
                <w:color w:val="000000"/>
                <w:sz w:val="20"/>
                <w:szCs w:val="20"/>
              </w:rPr>
              <w:t>Debt Management Expenses</w:t>
            </w:r>
          </w:p>
        </w:tc>
        <w:tc>
          <w:tcPr>
            <w:tcW w:w="1351" w:type="dxa"/>
            <w:tcBorders>
              <w:top w:val="nil"/>
              <w:left w:val="nil"/>
              <w:bottom w:val="nil"/>
              <w:right w:val="nil"/>
            </w:tcBorders>
            <w:shd w:val="clear" w:color="auto" w:fill="FFFFFF"/>
            <w:noWrap/>
            <w:vAlign w:val="center"/>
          </w:tcPr>
          <w:p w14:paraId="4DFB8B4D" w14:textId="45A3BBC2" w:rsidR="003263E9" w:rsidRPr="00596620" w:rsidRDefault="005A4146" w:rsidP="00022925">
            <w:pPr>
              <w:jc w:val="right"/>
              <w:rPr>
                <w:rFonts w:ascii="Arial" w:hAnsi="Arial" w:cs="Arial"/>
                <w:color w:val="000000"/>
                <w:sz w:val="20"/>
                <w:szCs w:val="20"/>
              </w:rPr>
            </w:pPr>
            <w:r w:rsidRPr="00596620">
              <w:rPr>
                <w:rFonts w:ascii="Arial" w:hAnsi="Arial" w:cs="Arial"/>
                <w:color w:val="000000"/>
                <w:sz w:val="20"/>
                <w:szCs w:val="20"/>
              </w:rPr>
              <w:t>9,</w:t>
            </w:r>
            <w:r w:rsidR="00075E57" w:rsidRPr="00596620">
              <w:rPr>
                <w:rFonts w:ascii="Arial" w:hAnsi="Arial" w:cs="Arial"/>
                <w:color w:val="000000"/>
                <w:sz w:val="20"/>
                <w:szCs w:val="20"/>
              </w:rPr>
              <w:t>840</w:t>
            </w:r>
          </w:p>
        </w:tc>
        <w:tc>
          <w:tcPr>
            <w:tcW w:w="1351" w:type="dxa"/>
            <w:tcBorders>
              <w:top w:val="nil"/>
              <w:left w:val="nil"/>
              <w:bottom w:val="nil"/>
              <w:right w:val="nil"/>
            </w:tcBorders>
            <w:shd w:val="clear" w:color="auto" w:fill="FFFFFF"/>
            <w:noWrap/>
            <w:vAlign w:val="center"/>
          </w:tcPr>
          <w:p w14:paraId="461BEBE1" w14:textId="2913FA54" w:rsidR="003263E9" w:rsidRPr="00596620" w:rsidRDefault="005A4146" w:rsidP="00022925">
            <w:pPr>
              <w:jc w:val="right"/>
              <w:rPr>
                <w:rFonts w:ascii="Arial" w:hAnsi="Arial" w:cs="Arial"/>
                <w:color w:val="000000"/>
                <w:sz w:val="20"/>
                <w:szCs w:val="20"/>
              </w:rPr>
            </w:pPr>
            <w:r w:rsidRPr="00596620">
              <w:rPr>
                <w:rFonts w:ascii="Arial" w:hAnsi="Arial" w:cs="Arial"/>
                <w:color w:val="000000"/>
                <w:sz w:val="20"/>
                <w:szCs w:val="20"/>
              </w:rPr>
              <w:t>10,</w:t>
            </w:r>
            <w:r w:rsidR="00FA1C8D" w:rsidRPr="00596620">
              <w:rPr>
                <w:rFonts w:ascii="Arial" w:hAnsi="Arial" w:cs="Arial"/>
                <w:color w:val="000000"/>
                <w:sz w:val="20"/>
                <w:szCs w:val="20"/>
              </w:rPr>
              <w:t>120</w:t>
            </w:r>
          </w:p>
        </w:tc>
        <w:tc>
          <w:tcPr>
            <w:tcW w:w="1351" w:type="dxa"/>
            <w:tcBorders>
              <w:top w:val="nil"/>
              <w:left w:val="nil"/>
              <w:bottom w:val="nil"/>
              <w:right w:val="nil"/>
            </w:tcBorders>
            <w:shd w:val="clear" w:color="auto" w:fill="FFFFFF"/>
            <w:noWrap/>
            <w:vAlign w:val="center"/>
          </w:tcPr>
          <w:p w14:paraId="3834E796" w14:textId="75C1AD45" w:rsidR="003263E9" w:rsidRPr="00596620" w:rsidRDefault="00FA1C8D" w:rsidP="00022925">
            <w:pPr>
              <w:jc w:val="right"/>
              <w:rPr>
                <w:rFonts w:ascii="Arial" w:hAnsi="Arial" w:cs="Arial"/>
                <w:color w:val="000000"/>
                <w:sz w:val="20"/>
                <w:szCs w:val="20"/>
              </w:rPr>
            </w:pPr>
            <w:r w:rsidRPr="00596620">
              <w:rPr>
                <w:rFonts w:ascii="Arial" w:hAnsi="Arial" w:cs="Arial"/>
                <w:color w:val="000000"/>
                <w:sz w:val="20"/>
                <w:szCs w:val="20"/>
              </w:rPr>
              <w:t>10,390</w:t>
            </w:r>
          </w:p>
        </w:tc>
        <w:tc>
          <w:tcPr>
            <w:tcW w:w="1351" w:type="dxa"/>
            <w:tcBorders>
              <w:top w:val="nil"/>
              <w:left w:val="nil"/>
              <w:bottom w:val="nil"/>
              <w:right w:val="nil"/>
            </w:tcBorders>
            <w:shd w:val="clear" w:color="auto" w:fill="FFFFFF"/>
            <w:noWrap/>
            <w:vAlign w:val="center"/>
          </w:tcPr>
          <w:p w14:paraId="60A53EF4" w14:textId="47037EF1" w:rsidR="003263E9" w:rsidRPr="00596620" w:rsidRDefault="00FA1C8D" w:rsidP="00022925">
            <w:pPr>
              <w:jc w:val="right"/>
              <w:rPr>
                <w:rFonts w:ascii="Arial" w:hAnsi="Arial" w:cs="Arial"/>
                <w:color w:val="000000"/>
                <w:sz w:val="20"/>
                <w:szCs w:val="20"/>
              </w:rPr>
            </w:pPr>
            <w:r w:rsidRPr="00596620">
              <w:rPr>
                <w:rFonts w:ascii="Arial" w:hAnsi="Arial" w:cs="Arial"/>
                <w:color w:val="000000"/>
                <w:sz w:val="20"/>
                <w:szCs w:val="20"/>
              </w:rPr>
              <w:t>10,670</w:t>
            </w:r>
          </w:p>
        </w:tc>
        <w:tc>
          <w:tcPr>
            <w:tcW w:w="1353" w:type="dxa"/>
            <w:tcBorders>
              <w:top w:val="nil"/>
              <w:left w:val="nil"/>
              <w:bottom w:val="nil"/>
              <w:right w:val="nil"/>
            </w:tcBorders>
            <w:shd w:val="clear" w:color="auto" w:fill="FFFFFF"/>
            <w:noWrap/>
            <w:vAlign w:val="center"/>
          </w:tcPr>
          <w:p w14:paraId="3E6D1233" w14:textId="748D9F0B" w:rsidR="003263E9" w:rsidRPr="00596620" w:rsidRDefault="004B391C" w:rsidP="00022925">
            <w:pPr>
              <w:jc w:val="right"/>
              <w:rPr>
                <w:rFonts w:ascii="Arial" w:hAnsi="Arial" w:cs="Arial"/>
                <w:color w:val="000000"/>
                <w:sz w:val="20"/>
                <w:szCs w:val="20"/>
              </w:rPr>
            </w:pPr>
            <w:r w:rsidRPr="00596620">
              <w:rPr>
                <w:rFonts w:ascii="Arial" w:hAnsi="Arial" w:cs="Arial"/>
                <w:color w:val="000000"/>
                <w:sz w:val="20"/>
                <w:szCs w:val="20"/>
              </w:rPr>
              <w:t>10,960</w:t>
            </w:r>
          </w:p>
        </w:tc>
      </w:tr>
      <w:tr w:rsidR="00CA78ED" w:rsidRPr="004B69EF" w14:paraId="6962E777" w14:textId="77777777" w:rsidTr="00022925">
        <w:trPr>
          <w:trHeight w:val="300"/>
        </w:trPr>
        <w:tc>
          <w:tcPr>
            <w:tcW w:w="3861" w:type="dxa"/>
            <w:tcBorders>
              <w:top w:val="nil"/>
              <w:left w:val="nil"/>
              <w:bottom w:val="nil"/>
              <w:right w:val="nil"/>
            </w:tcBorders>
            <w:shd w:val="clear" w:color="auto" w:fill="FFFFFF"/>
            <w:vAlign w:val="center"/>
            <w:hideMark/>
          </w:tcPr>
          <w:p w14:paraId="3C3F40D5"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Depreciation of Fixed Assets</w:t>
            </w:r>
          </w:p>
        </w:tc>
        <w:tc>
          <w:tcPr>
            <w:tcW w:w="1351" w:type="dxa"/>
            <w:tcBorders>
              <w:top w:val="nil"/>
              <w:left w:val="nil"/>
              <w:bottom w:val="nil"/>
              <w:right w:val="nil"/>
            </w:tcBorders>
            <w:shd w:val="clear" w:color="auto" w:fill="FFFFFF"/>
            <w:noWrap/>
            <w:vAlign w:val="center"/>
            <w:hideMark/>
          </w:tcPr>
          <w:p w14:paraId="61A6F64E" w14:textId="17944F68" w:rsidR="00022925" w:rsidRPr="005B3DB9" w:rsidRDefault="0098519C" w:rsidP="00022925">
            <w:pPr>
              <w:jc w:val="right"/>
              <w:rPr>
                <w:rFonts w:ascii="Arial" w:hAnsi="Arial" w:cs="Arial"/>
                <w:color w:val="000000"/>
                <w:sz w:val="20"/>
                <w:szCs w:val="20"/>
              </w:rPr>
            </w:pPr>
            <w:r w:rsidRPr="005B3DB9">
              <w:rPr>
                <w:rFonts w:ascii="Arial" w:hAnsi="Arial" w:cs="Arial"/>
                <w:color w:val="000000"/>
                <w:sz w:val="20"/>
                <w:szCs w:val="20"/>
              </w:rPr>
              <w:t>8,853,850</w:t>
            </w:r>
          </w:p>
        </w:tc>
        <w:tc>
          <w:tcPr>
            <w:tcW w:w="1351" w:type="dxa"/>
            <w:tcBorders>
              <w:top w:val="nil"/>
              <w:left w:val="nil"/>
              <w:bottom w:val="nil"/>
              <w:right w:val="nil"/>
            </w:tcBorders>
            <w:shd w:val="clear" w:color="auto" w:fill="FFFFFF"/>
            <w:noWrap/>
            <w:vAlign w:val="center"/>
            <w:hideMark/>
          </w:tcPr>
          <w:p w14:paraId="5D4400C0" w14:textId="2EB930B1" w:rsidR="00022925" w:rsidRPr="005B3DB9" w:rsidRDefault="0098519C" w:rsidP="00022925">
            <w:pPr>
              <w:jc w:val="right"/>
              <w:rPr>
                <w:rFonts w:ascii="Arial" w:hAnsi="Arial" w:cs="Arial"/>
                <w:color w:val="000000"/>
                <w:sz w:val="20"/>
                <w:szCs w:val="20"/>
              </w:rPr>
            </w:pPr>
            <w:r w:rsidRPr="005B3DB9">
              <w:rPr>
                <w:rFonts w:ascii="Arial" w:hAnsi="Arial" w:cs="Arial"/>
                <w:color w:val="000000"/>
                <w:sz w:val="20"/>
                <w:szCs w:val="20"/>
              </w:rPr>
              <w:t>9,074,110</w:t>
            </w:r>
          </w:p>
        </w:tc>
        <w:tc>
          <w:tcPr>
            <w:tcW w:w="1351" w:type="dxa"/>
            <w:tcBorders>
              <w:top w:val="nil"/>
              <w:left w:val="nil"/>
              <w:bottom w:val="nil"/>
              <w:right w:val="nil"/>
            </w:tcBorders>
            <w:shd w:val="clear" w:color="auto" w:fill="FFFFFF"/>
            <w:noWrap/>
            <w:vAlign w:val="center"/>
            <w:hideMark/>
          </w:tcPr>
          <w:p w14:paraId="14DDAD9B" w14:textId="7E9B1CD3" w:rsidR="00022925" w:rsidRPr="005B3DB9" w:rsidRDefault="0098519C" w:rsidP="00022925">
            <w:pPr>
              <w:jc w:val="right"/>
              <w:rPr>
                <w:rFonts w:ascii="Arial" w:hAnsi="Arial" w:cs="Arial"/>
                <w:color w:val="000000"/>
                <w:sz w:val="20"/>
                <w:szCs w:val="20"/>
              </w:rPr>
            </w:pPr>
            <w:r w:rsidRPr="005B3DB9">
              <w:rPr>
                <w:rFonts w:ascii="Arial" w:hAnsi="Arial" w:cs="Arial"/>
                <w:color w:val="000000"/>
                <w:sz w:val="20"/>
                <w:szCs w:val="20"/>
              </w:rPr>
              <w:t>9,234,180</w:t>
            </w:r>
          </w:p>
        </w:tc>
        <w:tc>
          <w:tcPr>
            <w:tcW w:w="1351" w:type="dxa"/>
            <w:tcBorders>
              <w:top w:val="nil"/>
              <w:left w:val="nil"/>
              <w:bottom w:val="nil"/>
              <w:right w:val="nil"/>
            </w:tcBorders>
            <w:shd w:val="clear" w:color="auto" w:fill="FFFFFF"/>
            <w:noWrap/>
            <w:vAlign w:val="center"/>
            <w:hideMark/>
          </w:tcPr>
          <w:p w14:paraId="1759BD59" w14:textId="276BBE8B" w:rsidR="00022925" w:rsidRPr="005B3DB9" w:rsidRDefault="0098519C" w:rsidP="00022925">
            <w:pPr>
              <w:jc w:val="right"/>
              <w:rPr>
                <w:rFonts w:ascii="Arial" w:hAnsi="Arial" w:cs="Arial"/>
                <w:color w:val="000000"/>
                <w:sz w:val="20"/>
                <w:szCs w:val="20"/>
              </w:rPr>
            </w:pPr>
            <w:r w:rsidRPr="005B3DB9">
              <w:rPr>
                <w:rFonts w:ascii="Arial" w:hAnsi="Arial" w:cs="Arial"/>
                <w:color w:val="000000"/>
                <w:sz w:val="20"/>
                <w:szCs w:val="20"/>
              </w:rPr>
              <w:t>9,401,910</w:t>
            </w:r>
          </w:p>
        </w:tc>
        <w:tc>
          <w:tcPr>
            <w:tcW w:w="1353" w:type="dxa"/>
            <w:tcBorders>
              <w:top w:val="nil"/>
              <w:left w:val="nil"/>
              <w:bottom w:val="nil"/>
              <w:right w:val="nil"/>
            </w:tcBorders>
            <w:shd w:val="clear" w:color="auto" w:fill="FFFFFF"/>
            <w:noWrap/>
            <w:vAlign w:val="center"/>
            <w:hideMark/>
          </w:tcPr>
          <w:p w14:paraId="68C1AEFC" w14:textId="59880B9E" w:rsidR="00022925" w:rsidRPr="005B3DB9" w:rsidRDefault="0098519C" w:rsidP="00022925">
            <w:pPr>
              <w:jc w:val="right"/>
              <w:rPr>
                <w:rFonts w:ascii="Arial" w:hAnsi="Arial" w:cs="Arial"/>
                <w:color w:val="000000"/>
                <w:sz w:val="20"/>
                <w:szCs w:val="20"/>
              </w:rPr>
            </w:pPr>
            <w:r w:rsidRPr="005B3DB9">
              <w:rPr>
                <w:rFonts w:ascii="Arial" w:hAnsi="Arial" w:cs="Arial"/>
                <w:color w:val="000000"/>
                <w:sz w:val="20"/>
                <w:szCs w:val="20"/>
              </w:rPr>
              <w:t>9,569,110</w:t>
            </w:r>
          </w:p>
        </w:tc>
      </w:tr>
      <w:tr w:rsidR="00CA78ED" w:rsidRPr="004B69EF" w14:paraId="35D9E8F0" w14:textId="77777777" w:rsidTr="00022925">
        <w:trPr>
          <w:trHeight w:val="300"/>
        </w:trPr>
        <w:tc>
          <w:tcPr>
            <w:tcW w:w="3861" w:type="dxa"/>
            <w:tcBorders>
              <w:top w:val="nil"/>
              <w:left w:val="nil"/>
              <w:bottom w:val="nil"/>
              <w:right w:val="nil"/>
            </w:tcBorders>
            <w:shd w:val="clear" w:color="auto" w:fill="FFFFFF"/>
            <w:vAlign w:val="center"/>
            <w:hideMark/>
          </w:tcPr>
          <w:p w14:paraId="16851FB6"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Increase in Bad Debt Provisions</w:t>
            </w:r>
          </w:p>
        </w:tc>
        <w:tc>
          <w:tcPr>
            <w:tcW w:w="1351" w:type="dxa"/>
            <w:tcBorders>
              <w:top w:val="nil"/>
              <w:left w:val="nil"/>
              <w:bottom w:val="nil"/>
              <w:right w:val="nil"/>
            </w:tcBorders>
            <w:shd w:val="clear" w:color="auto" w:fill="FFFFFF"/>
            <w:noWrap/>
            <w:vAlign w:val="center"/>
            <w:hideMark/>
          </w:tcPr>
          <w:p w14:paraId="0C1E3ACC" w14:textId="2153E260" w:rsidR="00022925" w:rsidRPr="00596620" w:rsidRDefault="00EC7470" w:rsidP="00022925">
            <w:pPr>
              <w:jc w:val="right"/>
              <w:rPr>
                <w:rFonts w:ascii="Arial" w:hAnsi="Arial" w:cs="Arial"/>
                <w:color w:val="000000"/>
                <w:sz w:val="20"/>
                <w:szCs w:val="20"/>
              </w:rPr>
            </w:pPr>
            <w:r w:rsidRPr="00596620">
              <w:rPr>
                <w:rFonts w:ascii="Arial" w:hAnsi="Arial" w:cs="Arial"/>
                <w:color w:val="000000"/>
                <w:sz w:val="20"/>
                <w:szCs w:val="20"/>
              </w:rPr>
              <w:t>282,460</w:t>
            </w:r>
          </w:p>
        </w:tc>
        <w:tc>
          <w:tcPr>
            <w:tcW w:w="1351" w:type="dxa"/>
            <w:tcBorders>
              <w:top w:val="nil"/>
              <w:left w:val="nil"/>
              <w:bottom w:val="nil"/>
              <w:right w:val="nil"/>
            </w:tcBorders>
            <w:shd w:val="clear" w:color="auto" w:fill="FFFFFF"/>
            <w:noWrap/>
            <w:vAlign w:val="center"/>
            <w:hideMark/>
          </w:tcPr>
          <w:p w14:paraId="7EC267FE" w14:textId="42185DE1" w:rsidR="00022925" w:rsidRPr="00596620" w:rsidRDefault="00EC7470" w:rsidP="00022925">
            <w:pPr>
              <w:jc w:val="right"/>
              <w:rPr>
                <w:rFonts w:ascii="Arial" w:hAnsi="Arial" w:cs="Arial"/>
                <w:color w:val="000000"/>
                <w:sz w:val="20"/>
                <w:szCs w:val="20"/>
              </w:rPr>
            </w:pPr>
            <w:r w:rsidRPr="00596620">
              <w:rPr>
                <w:rFonts w:ascii="Arial" w:hAnsi="Arial" w:cs="Arial"/>
                <w:color w:val="000000"/>
                <w:sz w:val="20"/>
                <w:szCs w:val="20"/>
              </w:rPr>
              <w:t>293,220</w:t>
            </w:r>
          </w:p>
        </w:tc>
        <w:tc>
          <w:tcPr>
            <w:tcW w:w="1351" w:type="dxa"/>
            <w:tcBorders>
              <w:top w:val="nil"/>
              <w:left w:val="nil"/>
              <w:bottom w:val="nil"/>
              <w:right w:val="nil"/>
            </w:tcBorders>
            <w:shd w:val="clear" w:color="auto" w:fill="FFFFFF"/>
            <w:noWrap/>
            <w:vAlign w:val="center"/>
            <w:hideMark/>
          </w:tcPr>
          <w:p w14:paraId="031C6AD9" w14:textId="675470C6" w:rsidR="00022925" w:rsidRPr="00596620" w:rsidRDefault="00EC7470" w:rsidP="00022925">
            <w:pPr>
              <w:jc w:val="right"/>
              <w:rPr>
                <w:rFonts w:ascii="Arial" w:hAnsi="Arial" w:cs="Arial"/>
                <w:color w:val="000000"/>
                <w:sz w:val="20"/>
                <w:szCs w:val="20"/>
              </w:rPr>
            </w:pPr>
            <w:r w:rsidRPr="00596620">
              <w:rPr>
                <w:rFonts w:ascii="Arial" w:hAnsi="Arial" w:cs="Arial"/>
                <w:color w:val="000000"/>
                <w:sz w:val="20"/>
                <w:szCs w:val="20"/>
              </w:rPr>
              <w:t>302,740</w:t>
            </w:r>
          </w:p>
        </w:tc>
        <w:tc>
          <w:tcPr>
            <w:tcW w:w="1351" w:type="dxa"/>
            <w:tcBorders>
              <w:top w:val="nil"/>
              <w:left w:val="nil"/>
              <w:bottom w:val="nil"/>
              <w:right w:val="nil"/>
            </w:tcBorders>
            <w:shd w:val="clear" w:color="auto" w:fill="FFFFFF"/>
            <w:noWrap/>
            <w:vAlign w:val="center"/>
            <w:hideMark/>
          </w:tcPr>
          <w:p w14:paraId="743BA5C6" w14:textId="10F405E1" w:rsidR="00022925" w:rsidRPr="00596620" w:rsidRDefault="00EC7470" w:rsidP="00022925">
            <w:pPr>
              <w:jc w:val="right"/>
              <w:rPr>
                <w:rFonts w:ascii="Arial" w:hAnsi="Arial" w:cs="Arial"/>
                <w:color w:val="000000"/>
                <w:sz w:val="20"/>
                <w:szCs w:val="20"/>
              </w:rPr>
            </w:pPr>
            <w:r w:rsidRPr="00596620">
              <w:rPr>
                <w:rFonts w:ascii="Arial" w:hAnsi="Arial" w:cs="Arial"/>
                <w:color w:val="000000"/>
                <w:sz w:val="20"/>
                <w:szCs w:val="20"/>
              </w:rPr>
              <w:t>311,720</w:t>
            </w:r>
          </w:p>
        </w:tc>
        <w:tc>
          <w:tcPr>
            <w:tcW w:w="1353" w:type="dxa"/>
            <w:tcBorders>
              <w:top w:val="nil"/>
              <w:left w:val="nil"/>
              <w:bottom w:val="nil"/>
              <w:right w:val="nil"/>
            </w:tcBorders>
            <w:shd w:val="clear" w:color="auto" w:fill="FFFFFF"/>
            <w:noWrap/>
            <w:vAlign w:val="center"/>
            <w:hideMark/>
          </w:tcPr>
          <w:p w14:paraId="2F539DCF" w14:textId="5B2BA3E7" w:rsidR="00022925" w:rsidRPr="00596620" w:rsidRDefault="00EC7470" w:rsidP="00022925">
            <w:pPr>
              <w:jc w:val="right"/>
              <w:rPr>
                <w:rFonts w:ascii="Arial" w:hAnsi="Arial" w:cs="Arial"/>
                <w:color w:val="000000"/>
                <w:sz w:val="20"/>
                <w:szCs w:val="20"/>
              </w:rPr>
            </w:pPr>
            <w:r w:rsidRPr="00596620">
              <w:rPr>
                <w:rFonts w:ascii="Arial" w:hAnsi="Arial" w:cs="Arial"/>
                <w:color w:val="000000"/>
                <w:sz w:val="20"/>
                <w:szCs w:val="20"/>
              </w:rPr>
              <w:t>320,970</w:t>
            </w:r>
          </w:p>
        </w:tc>
      </w:tr>
      <w:tr w:rsidR="00CA78ED" w:rsidRPr="004B69EF" w14:paraId="28E0A37E" w14:textId="77777777" w:rsidTr="00022925">
        <w:trPr>
          <w:trHeight w:val="300"/>
        </w:trPr>
        <w:tc>
          <w:tcPr>
            <w:tcW w:w="3861" w:type="dxa"/>
            <w:tcBorders>
              <w:top w:val="nil"/>
              <w:left w:val="nil"/>
              <w:bottom w:val="nil"/>
              <w:right w:val="nil"/>
            </w:tcBorders>
            <w:shd w:val="clear" w:color="auto" w:fill="FFFFFF"/>
            <w:vAlign w:val="center"/>
            <w:hideMark/>
          </w:tcPr>
          <w:p w14:paraId="03CA17C2"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Total Expenditure</w:t>
            </w:r>
          </w:p>
        </w:tc>
        <w:tc>
          <w:tcPr>
            <w:tcW w:w="1351" w:type="dxa"/>
            <w:tcBorders>
              <w:top w:val="nil"/>
              <w:left w:val="nil"/>
              <w:bottom w:val="nil"/>
              <w:right w:val="nil"/>
            </w:tcBorders>
            <w:shd w:val="clear" w:color="auto" w:fill="FFFFFF"/>
            <w:noWrap/>
            <w:vAlign w:val="center"/>
            <w:hideMark/>
          </w:tcPr>
          <w:p w14:paraId="7AFE1569" w14:textId="6816A811" w:rsidR="00022925" w:rsidRPr="00596620" w:rsidRDefault="006C191B" w:rsidP="00022925">
            <w:pPr>
              <w:jc w:val="right"/>
              <w:rPr>
                <w:rFonts w:ascii="Arial" w:hAnsi="Arial" w:cs="Arial"/>
                <w:b/>
                <w:color w:val="000000"/>
                <w:sz w:val="20"/>
                <w:szCs w:val="20"/>
              </w:rPr>
            </w:pPr>
            <w:r w:rsidRPr="00596620">
              <w:rPr>
                <w:rFonts w:ascii="Arial" w:hAnsi="Arial" w:cs="Arial"/>
                <w:b/>
                <w:color w:val="000000"/>
                <w:sz w:val="20"/>
                <w:szCs w:val="20"/>
              </w:rPr>
              <w:t>33,</w:t>
            </w:r>
            <w:r w:rsidR="00F80EBA">
              <w:rPr>
                <w:rFonts w:ascii="Arial" w:hAnsi="Arial" w:cs="Arial"/>
                <w:b/>
                <w:color w:val="000000"/>
                <w:sz w:val="20"/>
                <w:szCs w:val="20"/>
              </w:rPr>
              <w:t>3</w:t>
            </w:r>
            <w:r w:rsidRPr="00596620">
              <w:rPr>
                <w:rFonts w:ascii="Arial" w:hAnsi="Arial" w:cs="Arial"/>
                <w:b/>
                <w:color w:val="000000"/>
                <w:sz w:val="20"/>
                <w:szCs w:val="20"/>
              </w:rPr>
              <w:t>15,620</w:t>
            </w:r>
          </w:p>
        </w:tc>
        <w:tc>
          <w:tcPr>
            <w:tcW w:w="1351" w:type="dxa"/>
            <w:tcBorders>
              <w:top w:val="nil"/>
              <w:left w:val="nil"/>
              <w:bottom w:val="nil"/>
              <w:right w:val="nil"/>
            </w:tcBorders>
            <w:shd w:val="clear" w:color="auto" w:fill="FFFFFF"/>
            <w:noWrap/>
            <w:vAlign w:val="center"/>
            <w:hideMark/>
          </w:tcPr>
          <w:p w14:paraId="0088563C" w14:textId="4BFFF05C" w:rsidR="00022925" w:rsidRPr="00596620" w:rsidRDefault="006C191B" w:rsidP="00022925">
            <w:pPr>
              <w:jc w:val="right"/>
              <w:rPr>
                <w:rFonts w:ascii="Arial" w:hAnsi="Arial" w:cs="Arial"/>
                <w:b/>
                <w:color w:val="000000"/>
                <w:sz w:val="20"/>
                <w:szCs w:val="20"/>
              </w:rPr>
            </w:pPr>
            <w:r w:rsidRPr="00596620">
              <w:rPr>
                <w:rFonts w:ascii="Arial" w:hAnsi="Arial" w:cs="Arial"/>
                <w:b/>
                <w:color w:val="000000"/>
                <w:sz w:val="20"/>
                <w:szCs w:val="20"/>
              </w:rPr>
              <w:t>3</w:t>
            </w:r>
            <w:r w:rsidR="00CF024C">
              <w:rPr>
                <w:rFonts w:ascii="Arial" w:hAnsi="Arial" w:cs="Arial"/>
                <w:b/>
                <w:color w:val="000000"/>
                <w:sz w:val="20"/>
                <w:szCs w:val="20"/>
              </w:rPr>
              <w:t>4,0</w:t>
            </w:r>
            <w:r w:rsidRPr="00596620">
              <w:rPr>
                <w:rFonts w:ascii="Arial" w:hAnsi="Arial" w:cs="Arial"/>
                <w:b/>
                <w:color w:val="000000"/>
                <w:sz w:val="20"/>
                <w:szCs w:val="20"/>
              </w:rPr>
              <w:t>83,410</w:t>
            </w:r>
          </w:p>
        </w:tc>
        <w:tc>
          <w:tcPr>
            <w:tcW w:w="1351" w:type="dxa"/>
            <w:tcBorders>
              <w:top w:val="nil"/>
              <w:left w:val="nil"/>
              <w:bottom w:val="nil"/>
              <w:right w:val="nil"/>
            </w:tcBorders>
            <w:shd w:val="clear" w:color="auto" w:fill="FFFFFF"/>
            <w:noWrap/>
            <w:vAlign w:val="center"/>
            <w:hideMark/>
          </w:tcPr>
          <w:p w14:paraId="0960DD4B" w14:textId="19FF4D29" w:rsidR="00022925" w:rsidRPr="00596620" w:rsidRDefault="006C191B" w:rsidP="00022925">
            <w:pPr>
              <w:jc w:val="right"/>
              <w:rPr>
                <w:rFonts w:ascii="Arial" w:hAnsi="Arial" w:cs="Arial"/>
                <w:b/>
                <w:color w:val="000000"/>
                <w:sz w:val="20"/>
                <w:szCs w:val="20"/>
              </w:rPr>
            </w:pPr>
            <w:r w:rsidRPr="00596620">
              <w:rPr>
                <w:rFonts w:ascii="Arial" w:hAnsi="Arial" w:cs="Arial"/>
                <w:b/>
                <w:color w:val="000000"/>
                <w:sz w:val="20"/>
                <w:szCs w:val="20"/>
              </w:rPr>
              <w:t>34,</w:t>
            </w:r>
            <w:r w:rsidR="00CF024C">
              <w:rPr>
                <w:rFonts w:ascii="Arial" w:hAnsi="Arial" w:cs="Arial"/>
                <w:b/>
                <w:color w:val="000000"/>
                <w:sz w:val="20"/>
                <w:szCs w:val="20"/>
              </w:rPr>
              <w:t>7</w:t>
            </w:r>
            <w:r w:rsidRPr="00596620">
              <w:rPr>
                <w:rFonts w:ascii="Arial" w:hAnsi="Arial" w:cs="Arial"/>
                <w:b/>
                <w:color w:val="000000"/>
                <w:sz w:val="20"/>
                <w:szCs w:val="20"/>
              </w:rPr>
              <w:t>88,730</w:t>
            </w:r>
          </w:p>
        </w:tc>
        <w:tc>
          <w:tcPr>
            <w:tcW w:w="1351" w:type="dxa"/>
            <w:tcBorders>
              <w:top w:val="nil"/>
              <w:left w:val="nil"/>
              <w:bottom w:val="nil"/>
              <w:right w:val="nil"/>
            </w:tcBorders>
            <w:shd w:val="clear" w:color="auto" w:fill="FFFFFF"/>
            <w:noWrap/>
            <w:vAlign w:val="center"/>
            <w:hideMark/>
          </w:tcPr>
          <w:p w14:paraId="64164124" w14:textId="145BA62E" w:rsidR="00022925" w:rsidRPr="00596620" w:rsidRDefault="006C191B" w:rsidP="00022925">
            <w:pPr>
              <w:jc w:val="right"/>
              <w:rPr>
                <w:rFonts w:ascii="Arial" w:hAnsi="Arial" w:cs="Arial"/>
                <w:b/>
                <w:color w:val="000000"/>
                <w:sz w:val="20"/>
                <w:szCs w:val="20"/>
              </w:rPr>
            </w:pPr>
            <w:r w:rsidRPr="00596620">
              <w:rPr>
                <w:rFonts w:ascii="Arial" w:hAnsi="Arial" w:cs="Arial"/>
                <w:b/>
                <w:color w:val="000000"/>
                <w:sz w:val="20"/>
                <w:szCs w:val="20"/>
              </w:rPr>
              <w:t>35,</w:t>
            </w:r>
            <w:r w:rsidR="00CF024C">
              <w:rPr>
                <w:rFonts w:ascii="Arial" w:hAnsi="Arial" w:cs="Arial"/>
                <w:b/>
                <w:color w:val="000000"/>
                <w:sz w:val="20"/>
                <w:szCs w:val="20"/>
              </w:rPr>
              <w:t>6</w:t>
            </w:r>
            <w:r w:rsidRPr="00596620">
              <w:rPr>
                <w:rFonts w:ascii="Arial" w:hAnsi="Arial" w:cs="Arial"/>
                <w:b/>
                <w:color w:val="000000"/>
                <w:sz w:val="20"/>
                <w:szCs w:val="20"/>
              </w:rPr>
              <w:t>16,540</w:t>
            </w:r>
          </w:p>
        </w:tc>
        <w:tc>
          <w:tcPr>
            <w:tcW w:w="1353" w:type="dxa"/>
            <w:tcBorders>
              <w:top w:val="nil"/>
              <w:left w:val="nil"/>
              <w:bottom w:val="nil"/>
              <w:right w:val="nil"/>
            </w:tcBorders>
            <w:shd w:val="clear" w:color="auto" w:fill="FFFFFF"/>
            <w:noWrap/>
            <w:vAlign w:val="center"/>
            <w:hideMark/>
          </w:tcPr>
          <w:p w14:paraId="44CDDE94" w14:textId="59F7C917" w:rsidR="00022925" w:rsidRPr="00596620" w:rsidRDefault="006C191B" w:rsidP="00022925">
            <w:pPr>
              <w:jc w:val="right"/>
              <w:rPr>
                <w:rFonts w:ascii="Arial" w:hAnsi="Arial" w:cs="Arial"/>
                <w:b/>
                <w:color w:val="000000"/>
                <w:sz w:val="20"/>
                <w:szCs w:val="20"/>
              </w:rPr>
            </w:pPr>
            <w:r w:rsidRPr="00596620">
              <w:rPr>
                <w:rFonts w:ascii="Arial" w:hAnsi="Arial" w:cs="Arial"/>
                <w:b/>
                <w:color w:val="000000"/>
                <w:sz w:val="20"/>
                <w:szCs w:val="20"/>
              </w:rPr>
              <w:t>36,</w:t>
            </w:r>
            <w:r w:rsidR="00CF024C">
              <w:rPr>
                <w:rFonts w:ascii="Arial" w:hAnsi="Arial" w:cs="Arial"/>
                <w:b/>
                <w:color w:val="000000"/>
                <w:sz w:val="20"/>
                <w:szCs w:val="20"/>
              </w:rPr>
              <w:t>3</w:t>
            </w:r>
            <w:r w:rsidRPr="00596620">
              <w:rPr>
                <w:rFonts w:ascii="Arial" w:hAnsi="Arial" w:cs="Arial"/>
                <w:b/>
                <w:color w:val="000000"/>
                <w:sz w:val="20"/>
                <w:szCs w:val="20"/>
              </w:rPr>
              <w:t>17,750</w:t>
            </w:r>
          </w:p>
        </w:tc>
      </w:tr>
      <w:tr w:rsidR="00CA78ED" w:rsidRPr="004B69EF" w14:paraId="152FEF60" w14:textId="77777777" w:rsidTr="00E42649">
        <w:trPr>
          <w:trHeight w:val="249"/>
        </w:trPr>
        <w:tc>
          <w:tcPr>
            <w:tcW w:w="3861" w:type="dxa"/>
            <w:tcBorders>
              <w:top w:val="nil"/>
              <w:left w:val="nil"/>
              <w:bottom w:val="nil"/>
              <w:right w:val="nil"/>
            </w:tcBorders>
            <w:shd w:val="clear" w:color="auto" w:fill="FFFFFF"/>
            <w:vAlign w:val="center"/>
            <w:hideMark/>
          </w:tcPr>
          <w:p w14:paraId="4CECD670" w14:textId="77777777" w:rsidR="00022925" w:rsidRPr="00596620" w:rsidRDefault="00022925" w:rsidP="00022925">
            <w:pPr>
              <w:rPr>
                <w:rFonts w:ascii="Arial" w:hAnsi="Arial" w:cs="Arial"/>
                <w:b/>
                <w:color w:val="000000"/>
                <w:sz w:val="10"/>
                <w:szCs w:val="10"/>
              </w:rPr>
            </w:pPr>
            <w:r w:rsidRPr="00596620">
              <w:rPr>
                <w:rFonts w:ascii="Arial" w:hAnsi="Arial" w:cs="Arial"/>
                <w:b/>
                <w:color w:val="000000"/>
                <w:sz w:val="10"/>
                <w:szCs w:val="10"/>
              </w:rPr>
              <w:t> </w:t>
            </w:r>
          </w:p>
        </w:tc>
        <w:tc>
          <w:tcPr>
            <w:tcW w:w="1351" w:type="dxa"/>
            <w:tcBorders>
              <w:top w:val="nil"/>
              <w:left w:val="nil"/>
              <w:bottom w:val="single" w:sz="8" w:space="0" w:color="auto"/>
              <w:right w:val="nil"/>
            </w:tcBorders>
            <w:shd w:val="clear" w:color="auto" w:fill="FFFFFF"/>
            <w:noWrap/>
            <w:vAlign w:val="center"/>
            <w:hideMark/>
          </w:tcPr>
          <w:p w14:paraId="34EB7356" w14:textId="77777777" w:rsidR="00022925" w:rsidRPr="00596620" w:rsidRDefault="00022925" w:rsidP="00022925">
            <w:pPr>
              <w:rPr>
                <w:rFonts w:ascii="Arial" w:hAnsi="Arial" w:cs="Arial"/>
                <w:color w:val="00FF00"/>
                <w:sz w:val="10"/>
                <w:szCs w:val="10"/>
              </w:rPr>
            </w:pPr>
            <w:r w:rsidRPr="00596620">
              <w:rPr>
                <w:rFonts w:ascii="Arial" w:hAnsi="Arial" w:cs="Arial"/>
                <w:color w:val="00FF00"/>
                <w:sz w:val="10"/>
                <w:szCs w:val="10"/>
              </w:rPr>
              <w:t> </w:t>
            </w:r>
          </w:p>
        </w:tc>
        <w:tc>
          <w:tcPr>
            <w:tcW w:w="1351" w:type="dxa"/>
            <w:tcBorders>
              <w:top w:val="nil"/>
              <w:left w:val="nil"/>
              <w:bottom w:val="single" w:sz="8" w:space="0" w:color="auto"/>
              <w:right w:val="nil"/>
            </w:tcBorders>
            <w:shd w:val="clear" w:color="auto" w:fill="FFFFFF"/>
            <w:noWrap/>
            <w:vAlign w:val="center"/>
            <w:hideMark/>
          </w:tcPr>
          <w:p w14:paraId="47B46C41" w14:textId="77777777" w:rsidR="00022925" w:rsidRPr="00596620" w:rsidRDefault="00022925" w:rsidP="00022925">
            <w:pPr>
              <w:rPr>
                <w:rFonts w:ascii="Arial" w:hAnsi="Arial" w:cs="Arial"/>
                <w:color w:val="00FF00"/>
                <w:sz w:val="10"/>
                <w:szCs w:val="10"/>
              </w:rPr>
            </w:pPr>
            <w:r w:rsidRPr="00596620">
              <w:rPr>
                <w:rFonts w:ascii="Arial" w:hAnsi="Arial" w:cs="Arial"/>
                <w:color w:val="00FF00"/>
                <w:sz w:val="10"/>
                <w:szCs w:val="10"/>
              </w:rPr>
              <w:t> </w:t>
            </w:r>
          </w:p>
        </w:tc>
        <w:tc>
          <w:tcPr>
            <w:tcW w:w="1351" w:type="dxa"/>
            <w:tcBorders>
              <w:top w:val="nil"/>
              <w:left w:val="nil"/>
              <w:bottom w:val="single" w:sz="8" w:space="0" w:color="auto"/>
              <w:right w:val="nil"/>
            </w:tcBorders>
            <w:shd w:val="clear" w:color="auto" w:fill="FFFFFF"/>
            <w:noWrap/>
            <w:vAlign w:val="center"/>
            <w:hideMark/>
          </w:tcPr>
          <w:p w14:paraId="6FA9D46C" w14:textId="77777777" w:rsidR="00022925" w:rsidRPr="00596620" w:rsidRDefault="00022925" w:rsidP="00022925">
            <w:pPr>
              <w:rPr>
                <w:rFonts w:ascii="Arial" w:hAnsi="Arial" w:cs="Arial"/>
                <w:color w:val="00FF00"/>
                <w:sz w:val="10"/>
                <w:szCs w:val="10"/>
              </w:rPr>
            </w:pPr>
            <w:r w:rsidRPr="00596620">
              <w:rPr>
                <w:rFonts w:ascii="Arial" w:hAnsi="Arial" w:cs="Arial"/>
                <w:color w:val="00FF00"/>
                <w:sz w:val="10"/>
                <w:szCs w:val="10"/>
              </w:rPr>
              <w:t> </w:t>
            </w:r>
          </w:p>
        </w:tc>
        <w:tc>
          <w:tcPr>
            <w:tcW w:w="1351" w:type="dxa"/>
            <w:tcBorders>
              <w:top w:val="nil"/>
              <w:left w:val="nil"/>
              <w:bottom w:val="single" w:sz="8" w:space="0" w:color="auto"/>
              <w:right w:val="nil"/>
            </w:tcBorders>
            <w:shd w:val="clear" w:color="auto" w:fill="FFFFFF"/>
            <w:noWrap/>
            <w:vAlign w:val="center"/>
            <w:hideMark/>
          </w:tcPr>
          <w:p w14:paraId="61473921" w14:textId="77777777" w:rsidR="00022925" w:rsidRPr="00596620" w:rsidRDefault="00022925" w:rsidP="00022925">
            <w:pPr>
              <w:rPr>
                <w:rFonts w:ascii="Arial" w:hAnsi="Arial" w:cs="Arial"/>
                <w:color w:val="00FF00"/>
                <w:sz w:val="10"/>
                <w:szCs w:val="10"/>
              </w:rPr>
            </w:pPr>
            <w:r w:rsidRPr="00596620">
              <w:rPr>
                <w:rFonts w:ascii="Arial" w:hAnsi="Arial" w:cs="Arial"/>
                <w:color w:val="00FF00"/>
                <w:sz w:val="10"/>
                <w:szCs w:val="10"/>
              </w:rPr>
              <w:t> </w:t>
            </w:r>
          </w:p>
        </w:tc>
        <w:tc>
          <w:tcPr>
            <w:tcW w:w="1353" w:type="dxa"/>
            <w:tcBorders>
              <w:top w:val="nil"/>
              <w:left w:val="nil"/>
              <w:bottom w:val="single" w:sz="8" w:space="0" w:color="auto"/>
              <w:right w:val="nil"/>
            </w:tcBorders>
            <w:shd w:val="clear" w:color="auto" w:fill="FFFFFF"/>
            <w:noWrap/>
            <w:vAlign w:val="center"/>
            <w:hideMark/>
          </w:tcPr>
          <w:p w14:paraId="0467979C" w14:textId="77777777" w:rsidR="00022925" w:rsidRPr="00596620" w:rsidRDefault="00022925" w:rsidP="00022925">
            <w:pPr>
              <w:rPr>
                <w:rFonts w:ascii="Arial" w:hAnsi="Arial" w:cs="Arial"/>
                <w:color w:val="00FF00"/>
                <w:sz w:val="10"/>
                <w:szCs w:val="10"/>
              </w:rPr>
            </w:pPr>
            <w:r w:rsidRPr="00596620">
              <w:rPr>
                <w:rFonts w:ascii="Arial" w:hAnsi="Arial" w:cs="Arial"/>
                <w:color w:val="00FF00"/>
                <w:sz w:val="10"/>
                <w:szCs w:val="10"/>
              </w:rPr>
              <w:t> </w:t>
            </w:r>
          </w:p>
        </w:tc>
      </w:tr>
      <w:tr w:rsidR="00CA78ED" w:rsidRPr="004B69EF" w14:paraId="6BDA8C4A" w14:textId="77777777" w:rsidTr="00022925">
        <w:trPr>
          <w:trHeight w:val="300"/>
        </w:trPr>
        <w:tc>
          <w:tcPr>
            <w:tcW w:w="3861" w:type="dxa"/>
            <w:tcBorders>
              <w:top w:val="nil"/>
              <w:left w:val="nil"/>
              <w:bottom w:val="nil"/>
              <w:right w:val="nil"/>
            </w:tcBorders>
            <w:shd w:val="clear" w:color="auto" w:fill="FFFFFF"/>
            <w:vAlign w:val="center"/>
            <w:hideMark/>
          </w:tcPr>
          <w:p w14:paraId="6AFEF616"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Net cost of service</w:t>
            </w:r>
          </w:p>
        </w:tc>
        <w:tc>
          <w:tcPr>
            <w:tcW w:w="1351" w:type="dxa"/>
            <w:tcBorders>
              <w:top w:val="nil"/>
              <w:left w:val="nil"/>
              <w:bottom w:val="nil"/>
              <w:right w:val="nil"/>
            </w:tcBorders>
            <w:shd w:val="clear" w:color="auto" w:fill="FFFFFF"/>
            <w:noWrap/>
            <w:vAlign w:val="center"/>
            <w:hideMark/>
          </w:tcPr>
          <w:p w14:paraId="52339D62" w14:textId="7DB1550C" w:rsidR="00022925" w:rsidRPr="00596620" w:rsidRDefault="00022925" w:rsidP="00022925">
            <w:pPr>
              <w:jc w:val="right"/>
              <w:rPr>
                <w:rFonts w:ascii="Arial" w:hAnsi="Arial" w:cs="Arial"/>
                <w:b/>
                <w:color w:val="000000"/>
                <w:sz w:val="20"/>
                <w:szCs w:val="20"/>
              </w:rPr>
            </w:pPr>
            <w:r w:rsidRPr="00596620">
              <w:rPr>
                <w:rFonts w:ascii="Arial" w:hAnsi="Arial" w:cs="Arial"/>
                <w:b/>
                <w:color w:val="000000"/>
                <w:sz w:val="20"/>
                <w:szCs w:val="20"/>
              </w:rPr>
              <w:t>(</w:t>
            </w:r>
            <w:r w:rsidR="006C191B" w:rsidRPr="00596620">
              <w:rPr>
                <w:rFonts w:ascii="Arial" w:hAnsi="Arial" w:cs="Arial"/>
                <w:b/>
                <w:color w:val="000000"/>
                <w:sz w:val="20"/>
                <w:szCs w:val="20"/>
              </w:rPr>
              <w:t>6,</w:t>
            </w:r>
            <w:r w:rsidR="00220B75">
              <w:rPr>
                <w:rFonts w:ascii="Arial" w:hAnsi="Arial" w:cs="Arial"/>
                <w:b/>
                <w:color w:val="000000"/>
                <w:sz w:val="20"/>
                <w:szCs w:val="20"/>
              </w:rPr>
              <w:t>2</w:t>
            </w:r>
            <w:r w:rsidR="006C191B" w:rsidRPr="00596620">
              <w:rPr>
                <w:rFonts w:ascii="Arial" w:hAnsi="Arial" w:cs="Arial"/>
                <w:b/>
                <w:color w:val="000000"/>
                <w:sz w:val="20"/>
                <w:szCs w:val="20"/>
              </w:rPr>
              <w:t>17</w:t>
            </w:r>
            <w:r w:rsidR="0016519F" w:rsidRPr="00596620">
              <w:rPr>
                <w:rFonts w:ascii="Arial" w:hAnsi="Arial" w:cs="Arial"/>
                <w:b/>
                <w:color w:val="000000"/>
                <w:sz w:val="20"/>
                <w:szCs w:val="20"/>
              </w:rPr>
              <w:t>,500</w:t>
            </w:r>
            <w:r w:rsidRPr="00596620">
              <w:rPr>
                <w:rFonts w:ascii="Arial" w:hAnsi="Arial" w:cs="Arial"/>
                <w:b/>
                <w:color w:val="000000"/>
                <w:sz w:val="20"/>
                <w:szCs w:val="20"/>
              </w:rPr>
              <w:t>)</w:t>
            </w:r>
          </w:p>
        </w:tc>
        <w:tc>
          <w:tcPr>
            <w:tcW w:w="1351" w:type="dxa"/>
            <w:tcBorders>
              <w:top w:val="nil"/>
              <w:left w:val="nil"/>
              <w:bottom w:val="nil"/>
              <w:right w:val="nil"/>
            </w:tcBorders>
            <w:shd w:val="clear" w:color="auto" w:fill="FFFFFF"/>
            <w:noWrap/>
            <w:vAlign w:val="center"/>
            <w:hideMark/>
          </w:tcPr>
          <w:p w14:paraId="212987F4" w14:textId="2D7A83A5" w:rsidR="00022925" w:rsidRPr="00596620" w:rsidRDefault="005D0310" w:rsidP="00022925">
            <w:pPr>
              <w:jc w:val="right"/>
              <w:rPr>
                <w:rFonts w:ascii="Arial" w:hAnsi="Arial" w:cs="Arial"/>
                <w:b/>
                <w:color w:val="000000"/>
                <w:sz w:val="20"/>
                <w:szCs w:val="20"/>
              </w:rPr>
            </w:pPr>
            <w:r w:rsidRPr="00596620">
              <w:rPr>
                <w:rFonts w:ascii="Arial" w:hAnsi="Arial" w:cs="Arial"/>
                <w:b/>
                <w:color w:val="000000"/>
                <w:sz w:val="20"/>
                <w:szCs w:val="20"/>
              </w:rPr>
              <w:t>(</w:t>
            </w:r>
            <w:r w:rsidR="00CF024C">
              <w:rPr>
                <w:rFonts w:ascii="Arial" w:hAnsi="Arial" w:cs="Arial"/>
                <w:b/>
                <w:color w:val="000000"/>
                <w:sz w:val="20"/>
                <w:szCs w:val="20"/>
              </w:rPr>
              <w:t>6,9</w:t>
            </w:r>
            <w:r w:rsidR="006C191B" w:rsidRPr="00596620">
              <w:rPr>
                <w:rFonts w:ascii="Arial" w:hAnsi="Arial" w:cs="Arial"/>
                <w:b/>
                <w:color w:val="000000"/>
                <w:sz w:val="20"/>
                <w:szCs w:val="20"/>
              </w:rPr>
              <w:t>50,790</w:t>
            </w:r>
            <w:r w:rsidRPr="00596620">
              <w:rPr>
                <w:rFonts w:ascii="Arial" w:hAnsi="Arial" w:cs="Arial"/>
                <w:b/>
                <w:color w:val="000000"/>
                <w:sz w:val="20"/>
                <w:szCs w:val="20"/>
              </w:rPr>
              <w:t>)</w:t>
            </w:r>
          </w:p>
        </w:tc>
        <w:tc>
          <w:tcPr>
            <w:tcW w:w="1351" w:type="dxa"/>
            <w:tcBorders>
              <w:top w:val="nil"/>
              <w:left w:val="nil"/>
              <w:bottom w:val="nil"/>
              <w:right w:val="nil"/>
            </w:tcBorders>
            <w:shd w:val="clear" w:color="auto" w:fill="FFFFFF"/>
            <w:noWrap/>
            <w:vAlign w:val="center"/>
            <w:hideMark/>
          </w:tcPr>
          <w:p w14:paraId="51515CD4" w14:textId="6C01C093" w:rsidR="00022925" w:rsidRPr="00596620" w:rsidRDefault="005D0310" w:rsidP="00022925">
            <w:pPr>
              <w:jc w:val="right"/>
              <w:rPr>
                <w:rFonts w:ascii="Arial" w:hAnsi="Arial" w:cs="Arial"/>
                <w:b/>
                <w:color w:val="000000"/>
                <w:sz w:val="20"/>
                <w:szCs w:val="20"/>
              </w:rPr>
            </w:pPr>
            <w:r w:rsidRPr="00596620">
              <w:rPr>
                <w:rFonts w:ascii="Arial" w:hAnsi="Arial" w:cs="Arial"/>
                <w:b/>
                <w:color w:val="000000"/>
                <w:sz w:val="20"/>
                <w:szCs w:val="20"/>
              </w:rPr>
              <w:t>(</w:t>
            </w:r>
            <w:r w:rsidR="006C191B" w:rsidRPr="00596620">
              <w:rPr>
                <w:rFonts w:ascii="Arial" w:hAnsi="Arial" w:cs="Arial"/>
                <w:b/>
                <w:color w:val="000000"/>
                <w:sz w:val="20"/>
                <w:szCs w:val="20"/>
              </w:rPr>
              <w:t>7,</w:t>
            </w:r>
            <w:r w:rsidR="00CF024C">
              <w:rPr>
                <w:rFonts w:ascii="Arial" w:hAnsi="Arial" w:cs="Arial"/>
                <w:b/>
                <w:color w:val="000000"/>
                <w:sz w:val="20"/>
                <w:szCs w:val="20"/>
              </w:rPr>
              <w:t>5</w:t>
            </w:r>
            <w:r w:rsidR="006C191B" w:rsidRPr="00596620">
              <w:rPr>
                <w:rFonts w:ascii="Arial" w:hAnsi="Arial" w:cs="Arial"/>
                <w:b/>
                <w:color w:val="000000"/>
                <w:sz w:val="20"/>
                <w:szCs w:val="20"/>
              </w:rPr>
              <w:t>62,620</w:t>
            </w:r>
            <w:r w:rsidRPr="00596620">
              <w:rPr>
                <w:rFonts w:ascii="Arial" w:hAnsi="Arial" w:cs="Arial"/>
                <w:b/>
                <w:color w:val="000000"/>
                <w:sz w:val="20"/>
                <w:szCs w:val="20"/>
              </w:rPr>
              <w:t>)</w:t>
            </w:r>
          </w:p>
        </w:tc>
        <w:tc>
          <w:tcPr>
            <w:tcW w:w="1351" w:type="dxa"/>
            <w:tcBorders>
              <w:top w:val="nil"/>
              <w:left w:val="nil"/>
              <w:bottom w:val="nil"/>
              <w:right w:val="nil"/>
            </w:tcBorders>
            <w:shd w:val="clear" w:color="auto" w:fill="FFFFFF"/>
            <w:noWrap/>
            <w:vAlign w:val="center"/>
            <w:hideMark/>
          </w:tcPr>
          <w:p w14:paraId="39630BE8" w14:textId="08E843DA" w:rsidR="00022925" w:rsidRPr="00596620" w:rsidRDefault="005D0310" w:rsidP="00022925">
            <w:pPr>
              <w:jc w:val="right"/>
              <w:rPr>
                <w:rFonts w:ascii="Arial" w:hAnsi="Arial" w:cs="Arial"/>
                <w:b/>
                <w:color w:val="000000"/>
                <w:sz w:val="20"/>
                <w:szCs w:val="20"/>
              </w:rPr>
            </w:pPr>
            <w:r w:rsidRPr="00596620">
              <w:rPr>
                <w:rFonts w:ascii="Arial" w:hAnsi="Arial" w:cs="Arial"/>
                <w:b/>
                <w:color w:val="000000"/>
                <w:sz w:val="20"/>
                <w:szCs w:val="20"/>
              </w:rPr>
              <w:t>(</w:t>
            </w:r>
            <w:r w:rsidR="00CF024C">
              <w:rPr>
                <w:rFonts w:ascii="Arial" w:hAnsi="Arial" w:cs="Arial"/>
                <w:b/>
                <w:color w:val="000000"/>
                <w:sz w:val="20"/>
                <w:szCs w:val="20"/>
              </w:rPr>
              <w:t>7,9</w:t>
            </w:r>
            <w:r w:rsidR="006C191B" w:rsidRPr="00596620">
              <w:rPr>
                <w:rFonts w:ascii="Arial" w:hAnsi="Arial" w:cs="Arial"/>
                <w:b/>
                <w:color w:val="000000"/>
                <w:sz w:val="20"/>
                <w:szCs w:val="20"/>
              </w:rPr>
              <w:t>49,420</w:t>
            </w:r>
            <w:r w:rsidRPr="00596620">
              <w:rPr>
                <w:rFonts w:ascii="Arial" w:hAnsi="Arial" w:cs="Arial"/>
                <w:b/>
                <w:color w:val="000000"/>
                <w:sz w:val="20"/>
                <w:szCs w:val="20"/>
              </w:rPr>
              <w:t>)</w:t>
            </w:r>
          </w:p>
        </w:tc>
        <w:tc>
          <w:tcPr>
            <w:tcW w:w="1353" w:type="dxa"/>
            <w:tcBorders>
              <w:top w:val="nil"/>
              <w:left w:val="nil"/>
              <w:bottom w:val="nil"/>
              <w:right w:val="nil"/>
            </w:tcBorders>
            <w:shd w:val="clear" w:color="auto" w:fill="FFFFFF"/>
            <w:noWrap/>
            <w:vAlign w:val="center"/>
            <w:hideMark/>
          </w:tcPr>
          <w:p w14:paraId="27CC836C" w14:textId="2E185A40" w:rsidR="00022925" w:rsidRPr="00596620" w:rsidRDefault="005D0310" w:rsidP="00022925">
            <w:pPr>
              <w:jc w:val="right"/>
              <w:rPr>
                <w:rFonts w:ascii="Arial" w:hAnsi="Arial" w:cs="Arial"/>
                <w:b/>
                <w:color w:val="000000"/>
                <w:sz w:val="20"/>
                <w:szCs w:val="20"/>
              </w:rPr>
            </w:pPr>
            <w:r w:rsidRPr="00596620">
              <w:rPr>
                <w:rFonts w:ascii="Arial" w:hAnsi="Arial" w:cs="Arial"/>
                <w:b/>
                <w:color w:val="000000"/>
                <w:sz w:val="20"/>
                <w:szCs w:val="20"/>
              </w:rPr>
              <w:t>(</w:t>
            </w:r>
            <w:r w:rsidR="006C191B" w:rsidRPr="00596620">
              <w:rPr>
                <w:rFonts w:ascii="Arial" w:hAnsi="Arial" w:cs="Arial"/>
                <w:b/>
                <w:color w:val="000000"/>
                <w:sz w:val="20"/>
                <w:szCs w:val="20"/>
              </w:rPr>
              <w:t>8,</w:t>
            </w:r>
            <w:r w:rsidR="00CF024C">
              <w:rPr>
                <w:rFonts w:ascii="Arial" w:hAnsi="Arial" w:cs="Arial"/>
                <w:b/>
                <w:color w:val="000000"/>
                <w:sz w:val="20"/>
                <w:szCs w:val="20"/>
              </w:rPr>
              <w:t>4</w:t>
            </w:r>
            <w:r w:rsidR="006C191B" w:rsidRPr="00596620">
              <w:rPr>
                <w:rFonts w:ascii="Arial" w:hAnsi="Arial" w:cs="Arial"/>
                <w:b/>
                <w:color w:val="000000"/>
                <w:sz w:val="20"/>
                <w:szCs w:val="20"/>
              </w:rPr>
              <w:t>95,670</w:t>
            </w:r>
            <w:r w:rsidRPr="00596620">
              <w:rPr>
                <w:rFonts w:ascii="Arial" w:hAnsi="Arial" w:cs="Arial"/>
                <w:b/>
                <w:color w:val="000000"/>
                <w:sz w:val="20"/>
                <w:szCs w:val="20"/>
              </w:rPr>
              <w:t>)</w:t>
            </w:r>
          </w:p>
        </w:tc>
      </w:tr>
      <w:tr w:rsidR="00CA78ED" w:rsidRPr="004B69EF" w14:paraId="06A14C3C" w14:textId="77777777" w:rsidTr="00E42649">
        <w:trPr>
          <w:trHeight w:val="115"/>
        </w:trPr>
        <w:tc>
          <w:tcPr>
            <w:tcW w:w="3861" w:type="dxa"/>
            <w:tcBorders>
              <w:top w:val="nil"/>
              <w:left w:val="nil"/>
              <w:bottom w:val="nil"/>
              <w:right w:val="nil"/>
            </w:tcBorders>
            <w:shd w:val="clear" w:color="auto" w:fill="FFFFFF"/>
            <w:vAlign w:val="center"/>
            <w:hideMark/>
          </w:tcPr>
          <w:p w14:paraId="3A44ECB8"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 </w:t>
            </w:r>
          </w:p>
        </w:tc>
        <w:tc>
          <w:tcPr>
            <w:tcW w:w="1351" w:type="dxa"/>
            <w:tcBorders>
              <w:top w:val="nil"/>
              <w:left w:val="nil"/>
              <w:bottom w:val="nil"/>
              <w:right w:val="nil"/>
            </w:tcBorders>
            <w:shd w:val="clear" w:color="auto" w:fill="FFFFFF"/>
            <w:noWrap/>
            <w:vAlign w:val="center"/>
            <w:hideMark/>
          </w:tcPr>
          <w:p w14:paraId="013A0FD0" w14:textId="77777777" w:rsidR="00022925" w:rsidRPr="00596620" w:rsidRDefault="00022925" w:rsidP="00022925">
            <w:pPr>
              <w:rPr>
                <w:rFonts w:ascii="Arial" w:hAnsi="Arial" w:cs="Arial"/>
                <w:color w:val="00FF00"/>
                <w:sz w:val="20"/>
                <w:szCs w:val="20"/>
              </w:rPr>
            </w:pPr>
            <w:r w:rsidRPr="00596620">
              <w:rPr>
                <w:rFonts w:ascii="Arial" w:hAnsi="Arial" w:cs="Arial"/>
                <w:color w:val="00FF00"/>
                <w:sz w:val="20"/>
                <w:szCs w:val="20"/>
              </w:rPr>
              <w:t> </w:t>
            </w:r>
          </w:p>
        </w:tc>
        <w:tc>
          <w:tcPr>
            <w:tcW w:w="1351" w:type="dxa"/>
            <w:tcBorders>
              <w:top w:val="nil"/>
              <w:left w:val="nil"/>
              <w:bottom w:val="nil"/>
              <w:right w:val="nil"/>
            </w:tcBorders>
            <w:shd w:val="clear" w:color="auto" w:fill="FFFFFF"/>
            <w:noWrap/>
            <w:vAlign w:val="center"/>
            <w:hideMark/>
          </w:tcPr>
          <w:p w14:paraId="2B7D3E2F" w14:textId="77777777" w:rsidR="00022925" w:rsidRPr="00596620" w:rsidRDefault="00022925" w:rsidP="00022925">
            <w:pPr>
              <w:rPr>
                <w:rFonts w:ascii="Arial" w:hAnsi="Arial" w:cs="Arial"/>
                <w:color w:val="00FF00"/>
                <w:sz w:val="20"/>
                <w:szCs w:val="20"/>
              </w:rPr>
            </w:pPr>
            <w:r w:rsidRPr="00596620">
              <w:rPr>
                <w:rFonts w:ascii="Arial" w:hAnsi="Arial" w:cs="Arial"/>
                <w:color w:val="00FF00"/>
                <w:sz w:val="20"/>
                <w:szCs w:val="20"/>
              </w:rPr>
              <w:t> </w:t>
            </w:r>
          </w:p>
        </w:tc>
        <w:tc>
          <w:tcPr>
            <w:tcW w:w="1351" w:type="dxa"/>
            <w:tcBorders>
              <w:top w:val="nil"/>
              <w:left w:val="nil"/>
              <w:bottom w:val="nil"/>
              <w:right w:val="nil"/>
            </w:tcBorders>
            <w:shd w:val="clear" w:color="auto" w:fill="FFFFFF"/>
            <w:noWrap/>
            <w:vAlign w:val="center"/>
            <w:hideMark/>
          </w:tcPr>
          <w:p w14:paraId="7EC75D93" w14:textId="77777777" w:rsidR="00022925" w:rsidRPr="00596620" w:rsidRDefault="00022925" w:rsidP="00022925">
            <w:pPr>
              <w:rPr>
                <w:rFonts w:ascii="Arial" w:hAnsi="Arial" w:cs="Arial"/>
                <w:color w:val="00FF00"/>
                <w:sz w:val="20"/>
                <w:szCs w:val="20"/>
              </w:rPr>
            </w:pPr>
            <w:r w:rsidRPr="00596620">
              <w:rPr>
                <w:rFonts w:ascii="Arial" w:hAnsi="Arial" w:cs="Arial"/>
                <w:color w:val="00FF00"/>
                <w:sz w:val="20"/>
                <w:szCs w:val="20"/>
              </w:rPr>
              <w:t> </w:t>
            </w:r>
          </w:p>
        </w:tc>
        <w:tc>
          <w:tcPr>
            <w:tcW w:w="1351" w:type="dxa"/>
            <w:tcBorders>
              <w:top w:val="nil"/>
              <w:left w:val="nil"/>
              <w:bottom w:val="nil"/>
              <w:right w:val="nil"/>
            </w:tcBorders>
            <w:shd w:val="clear" w:color="auto" w:fill="FFFFFF"/>
            <w:noWrap/>
            <w:vAlign w:val="center"/>
            <w:hideMark/>
          </w:tcPr>
          <w:p w14:paraId="415DC734" w14:textId="77777777" w:rsidR="00022925" w:rsidRPr="00596620" w:rsidRDefault="00022925" w:rsidP="00022925">
            <w:pPr>
              <w:rPr>
                <w:rFonts w:ascii="Arial" w:hAnsi="Arial" w:cs="Arial"/>
                <w:color w:val="00FF00"/>
                <w:sz w:val="20"/>
                <w:szCs w:val="20"/>
              </w:rPr>
            </w:pPr>
            <w:r w:rsidRPr="00596620">
              <w:rPr>
                <w:rFonts w:ascii="Arial" w:hAnsi="Arial" w:cs="Arial"/>
                <w:color w:val="00FF00"/>
                <w:sz w:val="20"/>
                <w:szCs w:val="20"/>
              </w:rPr>
              <w:t> </w:t>
            </w:r>
          </w:p>
        </w:tc>
        <w:tc>
          <w:tcPr>
            <w:tcW w:w="1353" w:type="dxa"/>
            <w:tcBorders>
              <w:top w:val="nil"/>
              <w:left w:val="nil"/>
              <w:bottom w:val="nil"/>
              <w:right w:val="nil"/>
            </w:tcBorders>
            <w:noWrap/>
            <w:vAlign w:val="bottom"/>
            <w:hideMark/>
          </w:tcPr>
          <w:p w14:paraId="45AFDC40" w14:textId="77777777" w:rsidR="00022925" w:rsidRPr="00596620" w:rsidRDefault="00022925" w:rsidP="00022925">
            <w:pPr>
              <w:rPr>
                <w:rFonts w:ascii="Arial" w:hAnsi="Arial" w:cs="Arial"/>
                <w:color w:val="00FF00"/>
                <w:sz w:val="20"/>
                <w:szCs w:val="20"/>
              </w:rPr>
            </w:pPr>
          </w:p>
        </w:tc>
      </w:tr>
      <w:tr w:rsidR="00CA78ED" w:rsidRPr="004B69EF" w14:paraId="4F2FA152" w14:textId="77777777" w:rsidTr="00022925">
        <w:trPr>
          <w:trHeight w:val="300"/>
        </w:trPr>
        <w:tc>
          <w:tcPr>
            <w:tcW w:w="3861" w:type="dxa"/>
            <w:tcBorders>
              <w:top w:val="nil"/>
              <w:left w:val="nil"/>
              <w:bottom w:val="nil"/>
              <w:right w:val="nil"/>
            </w:tcBorders>
            <w:shd w:val="clear" w:color="auto" w:fill="FFFFFF"/>
            <w:vAlign w:val="center"/>
            <w:hideMark/>
          </w:tcPr>
          <w:p w14:paraId="74F64A1F"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Loan Charges Interest</w:t>
            </w:r>
          </w:p>
        </w:tc>
        <w:tc>
          <w:tcPr>
            <w:tcW w:w="1351" w:type="dxa"/>
            <w:tcBorders>
              <w:top w:val="nil"/>
              <w:left w:val="nil"/>
              <w:bottom w:val="nil"/>
              <w:right w:val="nil"/>
            </w:tcBorders>
            <w:shd w:val="clear" w:color="auto" w:fill="FFFFFF"/>
            <w:noWrap/>
            <w:vAlign w:val="center"/>
            <w:hideMark/>
          </w:tcPr>
          <w:p w14:paraId="27868D89" w14:textId="3A3C6354" w:rsidR="00022925" w:rsidRPr="00596620" w:rsidRDefault="00EF65A8" w:rsidP="00022925">
            <w:pPr>
              <w:jc w:val="right"/>
              <w:rPr>
                <w:rFonts w:ascii="Arial" w:hAnsi="Arial" w:cs="Arial"/>
                <w:color w:val="000000"/>
                <w:sz w:val="20"/>
                <w:szCs w:val="20"/>
              </w:rPr>
            </w:pPr>
            <w:r w:rsidRPr="00596620">
              <w:rPr>
                <w:rFonts w:ascii="Arial" w:hAnsi="Arial" w:cs="Arial"/>
                <w:color w:val="000000"/>
                <w:sz w:val="20"/>
                <w:szCs w:val="20"/>
              </w:rPr>
              <w:t>2,610,130</w:t>
            </w:r>
          </w:p>
        </w:tc>
        <w:tc>
          <w:tcPr>
            <w:tcW w:w="1351" w:type="dxa"/>
            <w:tcBorders>
              <w:top w:val="nil"/>
              <w:left w:val="nil"/>
              <w:bottom w:val="nil"/>
              <w:right w:val="nil"/>
            </w:tcBorders>
            <w:shd w:val="clear" w:color="auto" w:fill="FFFFFF"/>
            <w:noWrap/>
            <w:vAlign w:val="center"/>
            <w:hideMark/>
          </w:tcPr>
          <w:p w14:paraId="6FF0876D" w14:textId="6B691E2C" w:rsidR="00022925" w:rsidRPr="00596620" w:rsidRDefault="00EF65A8" w:rsidP="00022925">
            <w:pPr>
              <w:jc w:val="right"/>
              <w:rPr>
                <w:rFonts w:ascii="Arial" w:hAnsi="Arial" w:cs="Arial"/>
                <w:color w:val="000000"/>
                <w:sz w:val="20"/>
                <w:szCs w:val="20"/>
              </w:rPr>
            </w:pPr>
            <w:r w:rsidRPr="00596620">
              <w:rPr>
                <w:rFonts w:ascii="Arial" w:hAnsi="Arial" w:cs="Arial"/>
                <w:color w:val="000000"/>
                <w:sz w:val="20"/>
                <w:szCs w:val="20"/>
              </w:rPr>
              <w:t>2,781,690</w:t>
            </w:r>
          </w:p>
        </w:tc>
        <w:tc>
          <w:tcPr>
            <w:tcW w:w="1351" w:type="dxa"/>
            <w:tcBorders>
              <w:top w:val="nil"/>
              <w:left w:val="nil"/>
              <w:bottom w:val="nil"/>
              <w:right w:val="nil"/>
            </w:tcBorders>
            <w:shd w:val="clear" w:color="auto" w:fill="FFFFFF"/>
            <w:noWrap/>
            <w:vAlign w:val="center"/>
            <w:hideMark/>
          </w:tcPr>
          <w:p w14:paraId="79884573" w14:textId="3C7F3D8D" w:rsidR="00022925" w:rsidRPr="00596620" w:rsidRDefault="00EF65A8" w:rsidP="00022925">
            <w:pPr>
              <w:jc w:val="right"/>
              <w:rPr>
                <w:rFonts w:ascii="Arial" w:hAnsi="Arial" w:cs="Arial"/>
                <w:color w:val="000000"/>
                <w:sz w:val="20"/>
                <w:szCs w:val="20"/>
              </w:rPr>
            </w:pPr>
            <w:r w:rsidRPr="00596620">
              <w:rPr>
                <w:rFonts w:ascii="Arial" w:hAnsi="Arial" w:cs="Arial"/>
                <w:color w:val="000000"/>
                <w:sz w:val="20"/>
                <w:szCs w:val="20"/>
              </w:rPr>
              <w:t>2,839,540</w:t>
            </w:r>
          </w:p>
        </w:tc>
        <w:tc>
          <w:tcPr>
            <w:tcW w:w="1351" w:type="dxa"/>
            <w:tcBorders>
              <w:top w:val="nil"/>
              <w:left w:val="nil"/>
              <w:bottom w:val="nil"/>
              <w:right w:val="nil"/>
            </w:tcBorders>
            <w:shd w:val="clear" w:color="auto" w:fill="FFFFFF"/>
            <w:noWrap/>
            <w:vAlign w:val="center"/>
            <w:hideMark/>
          </w:tcPr>
          <w:p w14:paraId="7BDD397F" w14:textId="789262A4" w:rsidR="00022925" w:rsidRPr="00596620" w:rsidRDefault="00EF65A8" w:rsidP="00022925">
            <w:pPr>
              <w:jc w:val="right"/>
              <w:rPr>
                <w:rFonts w:ascii="Arial" w:hAnsi="Arial" w:cs="Arial"/>
                <w:color w:val="000000"/>
                <w:sz w:val="20"/>
                <w:szCs w:val="20"/>
              </w:rPr>
            </w:pPr>
            <w:r w:rsidRPr="00596620">
              <w:rPr>
                <w:rFonts w:ascii="Arial" w:hAnsi="Arial" w:cs="Arial"/>
                <w:color w:val="000000"/>
                <w:sz w:val="20"/>
                <w:szCs w:val="20"/>
              </w:rPr>
              <w:t>2,828,190</w:t>
            </w:r>
          </w:p>
        </w:tc>
        <w:tc>
          <w:tcPr>
            <w:tcW w:w="1353" w:type="dxa"/>
            <w:tcBorders>
              <w:top w:val="nil"/>
              <w:left w:val="nil"/>
              <w:bottom w:val="nil"/>
              <w:right w:val="nil"/>
            </w:tcBorders>
            <w:shd w:val="clear" w:color="auto" w:fill="FFFFFF"/>
            <w:noWrap/>
            <w:vAlign w:val="center"/>
            <w:hideMark/>
          </w:tcPr>
          <w:p w14:paraId="70F3AC8D" w14:textId="1CB76B49" w:rsidR="00022925" w:rsidRPr="00596620" w:rsidRDefault="00EF65A8" w:rsidP="00022925">
            <w:pPr>
              <w:jc w:val="right"/>
              <w:rPr>
                <w:rFonts w:ascii="Arial" w:hAnsi="Arial" w:cs="Arial"/>
                <w:color w:val="000000"/>
                <w:sz w:val="20"/>
                <w:szCs w:val="20"/>
              </w:rPr>
            </w:pPr>
            <w:r w:rsidRPr="00596620">
              <w:rPr>
                <w:rFonts w:ascii="Arial" w:hAnsi="Arial" w:cs="Arial"/>
                <w:color w:val="000000"/>
                <w:sz w:val="20"/>
                <w:szCs w:val="20"/>
              </w:rPr>
              <w:t>2,815,290</w:t>
            </w:r>
          </w:p>
        </w:tc>
      </w:tr>
      <w:tr w:rsidR="00CA78ED" w:rsidRPr="004B69EF" w14:paraId="7D72493D" w14:textId="77777777" w:rsidTr="00022925">
        <w:trPr>
          <w:trHeight w:val="300"/>
        </w:trPr>
        <w:tc>
          <w:tcPr>
            <w:tcW w:w="3861" w:type="dxa"/>
            <w:tcBorders>
              <w:top w:val="nil"/>
              <w:left w:val="nil"/>
              <w:bottom w:val="nil"/>
              <w:right w:val="nil"/>
            </w:tcBorders>
            <w:shd w:val="clear" w:color="auto" w:fill="FFFFFF"/>
            <w:vAlign w:val="center"/>
            <w:hideMark/>
          </w:tcPr>
          <w:p w14:paraId="714CA99E"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 Investment Interest</w:t>
            </w:r>
          </w:p>
        </w:tc>
        <w:tc>
          <w:tcPr>
            <w:tcW w:w="1351" w:type="dxa"/>
            <w:tcBorders>
              <w:top w:val="nil"/>
              <w:left w:val="nil"/>
              <w:bottom w:val="nil"/>
              <w:right w:val="nil"/>
            </w:tcBorders>
            <w:shd w:val="clear" w:color="auto" w:fill="FFFFFF"/>
            <w:noWrap/>
            <w:vAlign w:val="center"/>
            <w:hideMark/>
          </w:tcPr>
          <w:p w14:paraId="251402A5" w14:textId="6B8ACBA0"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8E7989">
              <w:rPr>
                <w:rFonts w:ascii="Arial" w:hAnsi="Arial" w:cs="Arial"/>
                <w:color w:val="000000"/>
                <w:sz w:val="20"/>
                <w:szCs w:val="20"/>
              </w:rPr>
              <w:t>454,4</w:t>
            </w:r>
            <w:r w:rsidR="00EF65A8" w:rsidRPr="00596620">
              <w:rPr>
                <w:rFonts w:ascii="Arial" w:hAnsi="Arial" w:cs="Arial"/>
                <w:color w:val="000000"/>
                <w:sz w:val="20"/>
                <w:szCs w:val="20"/>
              </w:rPr>
              <w:t>30</w:t>
            </w:r>
            <w:r w:rsidRPr="00596620">
              <w:rPr>
                <w:rFonts w:ascii="Arial" w:hAnsi="Arial" w:cs="Arial"/>
                <w:color w:val="000000"/>
                <w:sz w:val="20"/>
                <w:szCs w:val="20"/>
              </w:rPr>
              <w:t>)</w:t>
            </w:r>
          </w:p>
        </w:tc>
        <w:tc>
          <w:tcPr>
            <w:tcW w:w="1351" w:type="dxa"/>
            <w:tcBorders>
              <w:top w:val="nil"/>
              <w:left w:val="nil"/>
              <w:bottom w:val="nil"/>
              <w:right w:val="nil"/>
            </w:tcBorders>
            <w:shd w:val="clear" w:color="auto" w:fill="FFFFFF"/>
            <w:noWrap/>
            <w:vAlign w:val="center"/>
            <w:hideMark/>
          </w:tcPr>
          <w:p w14:paraId="0BB62B51" w14:textId="06085085"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8E7989">
              <w:rPr>
                <w:rFonts w:ascii="Arial" w:hAnsi="Arial" w:cs="Arial"/>
                <w:color w:val="000000"/>
                <w:sz w:val="20"/>
                <w:szCs w:val="20"/>
              </w:rPr>
              <w:t>560,55</w:t>
            </w:r>
            <w:r w:rsidR="00EF65A8" w:rsidRPr="00596620">
              <w:rPr>
                <w:rFonts w:ascii="Arial" w:hAnsi="Arial" w:cs="Arial"/>
                <w:color w:val="000000"/>
                <w:sz w:val="20"/>
                <w:szCs w:val="20"/>
              </w:rPr>
              <w:t>0</w:t>
            </w:r>
            <w:r w:rsidRPr="00596620">
              <w:rPr>
                <w:rFonts w:ascii="Arial" w:hAnsi="Arial" w:cs="Arial"/>
                <w:color w:val="000000"/>
                <w:sz w:val="20"/>
                <w:szCs w:val="20"/>
              </w:rPr>
              <w:t>)</w:t>
            </w:r>
          </w:p>
        </w:tc>
        <w:tc>
          <w:tcPr>
            <w:tcW w:w="1351" w:type="dxa"/>
            <w:tcBorders>
              <w:top w:val="nil"/>
              <w:left w:val="nil"/>
              <w:bottom w:val="nil"/>
              <w:right w:val="nil"/>
            </w:tcBorders>
            <w:shd w:val="clear" w:color="auto" w:fill="FFFFFF"/>
            <w:noWrap/>
            <w:vAlign w:val="center"/>
            <w:hideMark/>
          </w:tcPr>
          <w:p w14:paraId="66A87ED1" w14:textId="1DF479BC"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8E7989">
              <w:rPr>
                <w:rFonts w:ascii="Arial" w:hAnsi="Arial" w:cs="Arial"/>
                <w:color w:val="000000"/>
                <w:sz w:val="20"/>
                <w:szCs w:val="20"/>
              </w:rPr>
              <w:t>660,25</w:t>
            </w:r>
            <w:r w:rsidR="00EF65A8" w:rsidRPr="00596620">
              <w:rPr>
                <w:rFonts w:ascii="Arial" w:hAnsi="Arial" w:cs="Arial"/>
                <w:color w:val="000000"/>
                <w:sz w:val="20"/>
                <w:szCs w:val="20"/>
              </w:rPr>
              <w:t>0</w:t>
            </w:r>
            <w:r w:rsidRPr="00596620">
              <w:rPr>
                <w:rFonts w:ascii="Arial" w:hAnsi="Arial" w:cs="Arial"/>
                <w:color w:val="000000"/>
                <w:sz w:val="20"/>
                <w:szCs w:val="20"/>
              </w:rPr>
              <w:t>)</w:t>
            </w:r>
          </w:p>
        </w:tc>
        <w:tc>
          <w:tcPr>
            <w:tcW w:w="1351" w:type="dxa"/>
            <w:tcBorders>
              <w:top w:val="nil"/>
              <w:left w:val="nil"/>
              <w:bottom w:val="nil"/>
              <w:right w:val="nil"/>
            </w:tcBorders>
            <w:shd w:val="clear" w:color="auto" w:fill="FFFFFF"/>
            <w:noWrap/>
            <w:vAlign w:val="center"/>
            <w:hideMark/>
          </w:tcPr>
          <w:p w14:paraId="69160133" w14:textId="791BB79C"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8E7989">
              <w:rPr>
                <w:rFonts w:ascii="Arial" w:hAnsi="Arial" w:cs="Arial"/>
                <w:color w:val="000000"/>
                <w:sz w:val="20"/>
                <w:szCs w:val="20"/>
              </w:rPr>
              <w:t>808,99</w:t>
            </w:r>
            <w:r w:rsidRPr="00596620">
              <w:rPr>
                <w:rFonts w:ascii="Arial" w:hAnsi="Arial" w:cs="Arial"/>
                <w:color w:val="000000"/>
                <w:sz w:val="20"/>
                <w:szCs w:val="20"/>
              </w:rPr>
              <w:t>0)</w:t>
            </w:r>
          </w:p>
        </w:tc>
        <w:tc>
          <w:tcPr>
            <w:tcW w:w="1353" w:type="dxa"/>
            <w:tcBorders>
              <w:top w:val="nil"/>
              <w:left w:val="nil"/>
              <w:bottom w:val="nil"/>
              <w:right w:val="nil"/>
            </w:tcBorders>
            <w:shd w:val="clear" w:color="auto" w:fill="FFFFFF"/>
            <w:noWrap/>
            <w:vAlign w:val="center"/>
            <w:hideMark/>
          </w:tcPr>
          <w:p w14:paraId="0C38E33D" w14:textId="4795A0CE" w:rsidR="00022925" w:rsidRPr="00596620" w:rsidRDefault="005D0310" w:rsidP="00022925">
            <w:pPr>
              <w:jc w:val="right"/>
              <w:rPr>
                <w:rFonts w:ascii="Arial" w:hAnsi="Arial" w:cs="Arial"/>
                <w:color w:val="000000"/>
                <w:sz w:val="20"/>
                <w:szCs w:val="20"/>
              </w:rPr>
            </w:pPr>
            <w:r w:rsidRPr="00596620">
              <w:rPr>
                <w:rFonts w:ascii="Arial" w:hAnsi="Arial" w:cs="Arial"/>
                <w:color w:val="000000"/>
                <w:sz w:val="20"/>
                <w:szCs w:val="20"/>
              </w:rPr>
              <w:t>(</w:t>
            </w:r>
            <w:r w:rsidR="008E7989">
              <w:rPr>
                <w:rFonts w:ascii="Arial" w:hAnsi="Arial" w:cs="Arial"/>
                <w:color w:val="000000"/>
                <w:sz w:val="20"/>
                <w:szCs w:val="20"/>
              </w:rPr>
              <w:t>989,81</w:t>
            </w:r>
            <w:r w:rsidR="00EF65A8" w:rsidRPr="00596620">
              <w:rPr>
                <w:rFonts w:ascii="Arial" w:hAnsi="Arial" w:cs="Arial"/>
                <w:color w:val="000000"/>
                <w:sz w:val="20"/>
                <w:szCs w:val="20"/>
              </w:rPr>
              <w:t>0</w:t>
            </w:r>
            <w:r w:rsidRPr="00596620">
              <w:rPr>
                <w:rFonts w:ascii="Arial" w:hAnsi="Arial" w:cs="Arial"/>
                <w:color w:val="000000"/>
                <w:sz w:val="20"/>
                <w:szCs w:val="20"/>
              </w:rPr>
              <w:t>)</w:t>
            </w:r>
          </w:p>
        </w:tc>
      </w:tr>
      <w:tr w:rsidR="00CA78ED" w:rsidRPr="004B69EF" w14:paraId="4B78D133" w14:textId="77777777" w:rsidTr="00022925">
        <w:trPr>
          <w:trHeight w:val="300"/>
        </w:trPr>
        <w:tc>
          <w:tcPr>
            <w:tcW w:w="3861" w:type="dxa"/>
            <w:tcBorders>
              <w:top w:val="nil"/>
              <w:left w:val="nil"/>
              <w:bottom w:val="nil"/>
              <w:right w:val="nil"/>
            </w:tcBorders>
            <w:shd w:val="clear" w:color="auto" w:fill="FFFFFF"/>
            <w:vAlign w:val="center"/>
            <w:hideMark/>
          </w:tcPr>
          <w:p w14:paraId="24709E33" w14:textId="77777777"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 Mortgages Interest</w:t>
            </w:r>
          </w:p>
        </w:tc>
        <w:tc>
          <w:tcPr>
            <w:tcW w:w="1351" w:type="dxa"/>
            <w:tcBorders>
              <w:top w:val="nil"/>
              <w:left w:val="nil"/>
              <w:bottom w:val="nil"/>
              <w:right w:val="nil"/>
            </w:tcBorders>
            <w:shd w:val="clear" w:color="auto" w:fill="FFFFFF"/>
            <w:noWrap/>
            <w:vAlign w:val="center"/>
            <w:hideMark/>
          </w:tcPr>
          <w:p w14:paraId="0F71D9E1" w14:textId="77777777" w:rsidR="00022925" w:rsidRPr="00596620" w:rsidRDefault="00022925" w:rsidP="00022925">
            <w:pPr>
              <w:jc w:val="right"/>
              <w:rPr>
                <w:rFonts w:ascii="Arial" w:hAnsi="Arial" w:cs="Arial"/>
                <w:color w:val="000000"/>
                <w:sz w:val="20"/>
                <w:szCs w:val="20"/>
              </w:rPr>
            </w:pPr>
            <w:r w:rsidRPr="00596620">
              <w:rPr>
                <w:rFonts w:ascii="Arial" w:hAnsi="Arial" w:cs="Arial"/>
                <w:color w:val="000000"/>
                <w:sz w:val="20"/>
                <w:szCs w:val="20"/>
              </w:rPr>
              <w:t>0</w:t>
            </w:r>
          </w:p>
        </w:tc>
        <w:tc>
          <w:tcPr>
            <w:tcW w:w="1351" w:type="dxa"/>
            <w:tcBorders>
              <w:top w:val="nil"/>
              <w:left w:val="nil"/>
              <w:bottom w:val="nil"/>
              <w:right w:val="nil"/>
            </w:tcBorders>
            <w:shd w:val="clear" w:color="auto" w:fill="FFFFFF"/>
            <w:noWrap/>
            <w:vAlign w:val="center"/>
            <w:hideMark/>
          </w:tcPr>
          <w:p w14:paraId="1DC04DEE" w14:textId="77777777" w:rsidR="00022925" w:rsidRPr="00596620" w:rsidRDefault="00022925" w:rsidP="00022925">
            <w:pPr>
              <w:jc w:val="right"/>
              <w:rPr>
                <w:rFonts w:ascii="Arial" w:hAnsi="Arial" w:cs="Arial"/>
                <w:color w:val="000000"/>
                <w:sz w:val="20"/>
                <w:szCs w:val="20"/>
              </w:rPr>
            </w:pPr>
            <w:r w:rsidRPr="00596620">
              <w:rPr>
                <w:rFonts w:ascii="Arial" w:hAnsi="Arial" w:cs="Arial"/>
                <w:color w:val="000000"/>
                <w:sz w:val="20"/>
                <w:szCs w:val="20"/>
              </w:rPr>
              <w:t>0</w:t>
            </w:r>
          </w:p>
        </w:tc>
        <w:tc>
          <w:tcPr>
            <w:tcW w:w="1351" w:type="dxa"/>
            <w:tcBorders>
              <w:top w:val="nil"/>
              <w:left w:val="nil"/>
              <w:bottom w:val="nil"/>
              <w:right w:val="nil"/>
            </w:tcBorders>
            <w:shd w:val="clear" w:color="auto" w:fill="FFFFFF"/>
            <w:noWrap/>
            <w:vAlign w:val="center"/>
            <w:hideMark/>
          </w:tcPr>
          <w:p w14:paraId="757A57FC" w14:textId="77777777" w:rsidR="00022925" w:rsidRPr="00596620" w:rsidRDefault="00022925" w:rsidP="00022925">
            <w:pPr>
              <w:jc w:val="right"/>
              <w:rPr>
                <w:rFonts w:ascii="Arial" w:hAnsi="Arial" w:cs="Arial"/>
                <w:color w:val="000000"/>
                <w:sz w:val="20"/>
                <w:szCs w:val="20"/>
              </w:rPr>
            </w:pPr>
            <w:r w:rsidRPr="00596620">
              <w:rPr>
                <w:rFonts w:ascii="Arial" w:hAnsi="Arial" w:cs="Arial"/>
                <w:color w:val="000000"/>
                <w:sz w:val="20"/>
                <w:szCs w:val="20"/>
              </w:rPr>
              <w:t>0</w:t>
            </w:r>
          </w:p>
        </w:tc>
        <w:tc>
          <w:tcPr>
            <w:tcW w:w="1351" w:type="dxa"/>
            <w:tcBorders>
              <w:top w:val="nil"/>
              <w:left w:val="nil"/>
              <w:bottom w:val="nil"/>
              <w:right w:val="nil"/>
            </w:tcBorders>
            <w:shd w:val="clear" w:color="auto" w:fill="FFFFFF"/>
            <w:noWrap/>
            <w:vAlign w:val="center"/>
            <w:hideMark/>
          </w:tcPr>
          <w:p w14:paraId="718E450C" w14:textId="77777777" w:rsidR="00022925" w:rsidRPr="00596620" w:rsidRDefault="00022925" w:rsidP="00022925">
            <w:pPr>
              <w:jc w:val="right"/>
              <w:rPr>
                <w:rFonts w:ascii="Arial" w:hAnsi="Arial" w:cs="Arial"/>
                <w:color w:val="000000"/>
                <w:sz w:val="20"/>
                <w:szCs w:val="20"/>
              </w:rPr>
            </w:pPr>
            <w:r w:rsidRPr="00596620">
              <w:rPr>
                <w:rFonts w:ascii="Arial" w:hAnsi="Arial" w:cs="Arial"/>
                <w:color w:val="000000"/>
                <w:sz w:val="20"/>
                <w:szCs w:val="20"/>
              </w:rPr>
              <w:t>0</w:t>
            </w:r>
          </w:p>
        </w:tc>
        <w:tc>
          <w:tcPr>
            <w:tcW w:w="1353" w:type="dxa"/>
            <w:tcBorders>
              <w:top w:val="nil"/>
              <w:left w:val="nil"/>
              <w:bottom w:val="nil"/>
              <w:right w:val="nil"/>
            </w:tcBorders>
            <w:shd w:val="clear" w:color="auto" w:fill="FFFFFF"/>
            <w:noWrap/>
            <w:vAlign w:val="center"/>
            <w:hideMark/>
          </w:tcPr>
          <w:p w14:paraId="79FBC9C7" w14:textId="77777777" w:rsidR="00022925" w:rsidRPr="00596620" w:rsidRDefault="00022925" w:rsidP="00022925">
            <w:pPr>
              <w:jc w:val="right"/>
              <w:rPr>
                <w:rFonts w:ascii="Arial" w:hAnsi="Arial" w:cs="Arial"/>
                <w:color w:val="000000"/>
                <w:sz w:val="20"/>
                <w:szCs w:val="20"/>
              </w:rPr>
            </w:pPr>
            <w:r w:rsidRPr="00596620">
              <w:rPr>
                <w:rFonts w:ascii="Arial" w:hAnsi="Arial" w:cs="Arial"/>
                <w:color w:val="000000"/>
                <w:sz w:val="20"/>
                <w:szCs w:val="20"/>
              </w:rPr>
              <w:t>0</w:t>
            </w:r>
          </w:p>
        </w:tc>
      </w:tr>
      <w:tr w:rsidR="00CA78ED" w:rsidRPr="004B69EF" w14:paraId="530BBD2D" w14:textId="77777777" w:rsidTr="00022925">
        <w:trPr>
          <w:trHeight w:val="300"/>
        </w:trPr>
        <w:tc>
          <w:tcPr>
            <w:tcW w:w="3861" w:type="dxa"/>
            <w:tcBorders>
              <w:top w:val="nil"/>
              <w:left w:val="nil"/>
              <w:bottom w:val="nil"/>
              <w:right w:val="nil"/>
            </w:tcBorders>
            <w:shd w:val="clear" w:color="auto" w:fill="FFFFFF"/>
            <w:vAlign w:val="center"/>
            <w:hideMark/>
          </w:tcPr>
          <w:p w14:paraId="74FE7FBE" w14:textId="77777777" w:rsidR="00022925" w:rsidRPr="00596620" w:rsidRDefault="00022925" w:rsidP="00022925">
            <w:pPr>
              <w:rPr>
                <w:rFonts w:ascii="Arial" w:hAnsi="Arial" w:cs="Arial"/>
                <w:b/>
                <w:color w:val="000000"/>
                <w:sz w:val="20"/>
                <w:szCs w:val="20"/>
              </w:rPr>
            </w:pPr>
            <w:r w:rsidRPr="00596620">
              <w:rPr>
                <w:rFonts w:ascii="Arial" w:hAnsi="Arial" w:cs="Arial"/>
                <w:b/>
                <w:color w:val="000000"/>
                <w:sz w:val="20"/>
                <w:szCs w:val="20"/>
              </w:rPr>
              <w:t>Surplus on HRA for the year</w:t>
            </w:r>
          </w:p>
        </w:tc>
        <w:tc>
          <w:tcPr>
            <w:tcW w:w="1351" w:type="dxa"/>
            <w:tcBorders>
              <w:top w:val="nil"/>
              <w:left w:val="nil"/>
              <w:bottom w:val="nil"/>
              <w:right w:val="nil"/>
            </w:tcBorders>
            <w:shd w:val="clear" w:color="auto" w:fill="FFFFFF"/>
            <w:noWrap/>
            <w:vAlign w:val="center"/>
            <w:hideMark/>
          </w:tcPr>
          <w:p w14:paraId="6277A3A4" w14:textId="12DA3F89" w:rsidR="00022925" w:rsidRPr="00596620" w:rsidRDefault="005D0310" w:rsidP="00022925">
            <w:pPr>
              <w:jc w:val="right"/>
              <w:rPr>
                <w:rFonts w:ascii="Arial" w:hAnsi="Arial" w:cs="Arial"/>
                <w:b/>
                <w:color w:val="000000"/>
                <w:sz w:val="20"/>
                <w:szCs w:val="20"/>
              </w:rPr>
            </w:pPr>
            <w:r w:rsidRPr="00596620">
              <w:rPr>
                <w:rFonts w:ascii="Arial" w:hAnsi="Arial" w:cs="Arial"/>
                <w:b/>
                <w:color w:val="000000"/>
                <w:sz w:val="20"/>
                <w:szCs w:val="20"/>
              </w:rPr>
              <w:t>(</w:t>
            </w:r>
            <w:r w:rsidR="00256E38" w:rsidRPr="00596620">
              <w:rPr>
                <w:rFonts w:ascii="Arial" w:hAnsi="Arial" w:cs="Arial"/>
                <w:b/>
                <w:color w:val="000000"/>
                <w:sz w:val="20"/>
                <w:szCs w:val="20"/>
              </w:rPr>
              <w:t>4</w:t>
            </w:r>
            <w:r w:rsidR="00026F87" w:rsidRPr="00596620">
              <w:rPr>
                <w:rFonts w:ascii="Arial" w:hAnsi="Arial" w:cs="Arial"/>
                <w:b/>
                <w:color w:val="000000"/>
                <w:sz w:val="20"/>
                <w:szCs w:val="20"/>
              </w:rPr>
              <w:t>,06</w:t>
            </w:r>
            <w:r w:rsidR="00A9396F">
              <w:rPr>
                <w:rFonts w:ascii="Arial" w:hAnsi="Arial" w:cs="Arial"/>
                <w:b/>
                <w:color w:val="000000"/>
                <w:sz w:val="20"/>
                <w:szCs w:val="20"/>
              </w:rPr>
              <w:t>1,8</w:t>
            </w:r>
            <w:r w:rsidR="00026F87" w:rsidRPr="00596620">
              <w:rPr>
                <w:rFonts w:ascii="Arial" w:hAnsi="Arial" w:cs="Arial"/>
                <w:b/>
                <w:color w:val="000000"/>
                <w:sz w:val="20"/>
                <w:szCs w:val="20"/>
              </w:rPr>
              <w:t>00</w:t>
            </w:r>
            <w:r w:rsidRPr="00596620">
              <w:rPr>
                <w:rFonts w:ascii="Arial" w:hAnsi="Arial" w:cs="Arial"/>
                <w:b/>
                <w:color w:val="000000"/>
                <w:sz w:val="20"/>
                <w:szCs w:val="20"/>
              </w:rPr>
              <w:t>)</w:t>
            </w:r>
          </w:p>
        </w:tc>
        <w:tc>
          <w:tcPr>
            <w:tcW w:w="1351" w:type="dxa"/>
            <w:tcBorders>
              <w:top w:val="nil"/>
              <w:left w:val="nil"/>
              <w:bottom w:val="nil"/>
              <w:right w:val="nil"/>
            </w:tcBorders>
            <w:shd w:val="clear" w:color="auto" w:fill="FFFFFF"/>
            <w:noWrap/>
            <w:vAlign w:val="center"/>
            <w:hideMark/>
          </w:tcPr>
          <w:p w14:paraId="22CDC217" w14:textId="7BE39619" w:rsidR="00022925" w:rsidRPr="00596620" w:rsidRDefault="005D0310" w:rsidP="00022925">
            <w:pPr>
              <w:jc w:val="right"/>
              <w:rPr>
                <w:rFonts w:ascii="Arial" w:hAnsi="Arial" w:cs="Arial"/>
                <w:b/>
                <w:color w:val="000000"/>
                <w:sz w:val="20"/>
                <w:szCs w:val="20"/>
              </w:rPr>
            </w:pPr>
            <w:r w:rsidRPr="00596620">
              <w:rPr>
                <w:rFonts w:ascii="Arial" w:hAnsi="Arial" w:cs="Arial"/>
                <w:b/>
                <w:color w:val="000000"/>
                <w:sz w:val="20"/>
                <w:szCs w:val="20"/>
              </w:rPr>
              <w:t>(</w:t>
            </w:r>
            <w:r w:rsidR="00026F87" w:rsidRPr="00596620">
              <w:rPr>
                <w:rFonts w:ascii="Arial" w:hAnsi="Arial" w:cs="Arial"/>
                <w:b/>
                <w:color w:val="000000"/>
                <w:sz w:val="20"/>
                <w:szCs w:val="20"/>
              </w:rPr>
              <w:t>4,7</w:t>
            </w:r>
            <w:r w:rsidR="00A9396F">
              <w:rPr>
                <w:rFonts w:ascii="Arial" w:hAnsi="Arial" w:cs="Arial"/>
                <w:b/>
                <w:color w:val="000000"/>
                <w:sz w:val="20"/>
                <w:szCs w:val="20"/>
              </w:rPr>
              <w:t>29,65</w:t>
            </w:r>
            <w:r w:rsidR="00026F87" w:rsidRPr="00596620">
              <w:rPr>
                <w:rFonts w:ascii="Arial" w:hAnsi="Arial" w:cs="Arial"/>
                <w:b/>
                <w:color w:val="000000"/>
                <w:sz w:val="20"/>
                <w:szCs w:val="20"/>
              </w:rPr>
              <w:t>0</w:t>
            </w:r>
            <w:r w:rsidRPr="00596620">
              <w:rPr>
                <w:rFonts w:ascii="Arial" w:hAnsi="Arial" w:cs="Arial"/>
                <w:b/>
                <w:color w:val="000000"/>
                <w:sz w:val="20"/>
                <w:szCs w:val="20"/>
              </w:rPr>
              <w:t>)</w:t>
            </w:r>
          </w:p>
        </w:tc>
        <w:tc>
          <w:tcPr>
            <w:tcW w:w="1351" w:type="dxa"/>
            <w:tcBorders>
              <w:top w:val="nil"/>
              <w:left w:val="nil"/>
              <w:bottom w:val="nil"/>
              <w:right w:val="nil"/>
            </w:tcBorders>
            <w:shd w:val="clear" w:color="auto" w:fill="FFFFFF"/>
            <w:noWrap/>
            <w:vAlign w:val="center"/>
            <w:hideMark/>
          </w:tcPr>
          <w:p w14:paraId="4A9BBB54" w14:textId="28388492" w:rsidR="00022925" w:rsidRPr="00596620" w:rsidRDefault="005D0310" w:rsidP="00022925">
            <w:pPr>
              <w:jc w:val="right"/>
              <w:rPr>
                <w:rFonts w:ascii="Arial" w:hAnsi="Arial" w:cs="Arial"/>
                <w:b/>
                <w:color w:val="000000"/>
                <w:sz w:val="20"/>
                <w:szCs w:val="20"/>
              </w:rPr>
            </w:pPr>
            <w:r w:rsidRPr="00596620">
              <w:rPr>
                <w:rFonts w:ascii="Arial" w:hAnsi="Arial" w:cs="Arial"/>
                <w:b/>
                <w:color w:val="000000"/>
                <w:sz w:val="20"/>
                <w:szCs w:val="20"/>
              </w:rPr>
              <w:t>(</w:t>
            </w:r>
            <w:r w:rsidR="00026F87" w:rsidRPr="00596620">
              <w:rPr>
                <w:rFonts w:ascii="Arial" w:hAnsi="Arial" w:cs="Arial"/>
                <w:b/>
                <w:color w:val="000000"/>
                <w:sz w:val="20"/>
                <w:szCs w:val="20"/>
              </w:rPr>
              <w:t>5,</w:t>
            </w:r>
            <w:r w:rsidR="00A9396F">
              <w:rPr>
                <w:rFonts w:ascii="Arial" w:hAnsi="Arial" w:cs="Arial"/>
                <w:b/>
                <w:color w:val="000000"/>
                <w:sz w:val="20"/>
                <w:szCs w:val="20"/>
              </w:rPr>
              <w:t>383,33</w:t>
            </w:r>
            <w:r w:rsidR="00026F87" w:rsidRPr="00596620">
              <w:rPr>
                <w:rFonts w:ascii="Arial" w:hAnsi="Arial" w:cs="Arial"/>
                <w:b/>
                <w:color w:val="000000"/>
                <w:sz w:val="20"/>
                <w:szCs w:val="20"/>
              </w:rPr>
              <w:t>0</w:t>
            </w:r>
            <w:r w:rsidRPr="00596620">
              <w:rPr>
                <w:rFonts w:ascii="Arial" w:hAnsi="Arial" w:cs="Arial"/>
                <w:b/>
                <w:color w:val="000000"/>
                <w:sz w:val="20"/>
                <w:szCs w:val="20"/>
              </w:rPr>
              <w:t>)</w:t>
            </w:r>
          </w:p>
        </w:tc>
        <w:tc>
          <w:tcPr>
            <w:tcW w:w="1351" w:type="dxa"/>
            <w:tcBorders>
              <w:top w:val="nil"/>
              <w:left w:val="nil"/>
              <w:bottom w:val="nil"/>
              <w:right w:val="nil"/>
            </w:tcBorders>
            <w:shd w:val="clear" w:color="auto" w:fill="FFFFFF"/>
            <w:noWrap/>
            <w:vAlign w:val="center"/>
            <w:hideMark/>
          </w:tcPr>
          <w:p w14:paraId="536E7096" w14:textId="65093E30" w:rsidR="00022925" w:rsidRPr="00596620" w:rsidRDefault="006C6A2D" w:rsidP="00022925">
            <w:pPr>
              <w:jc w:val="right"/>
              <w:rPr>
                <w:rFonts w:ascii="Arial" w:hAnsi="Arial" w:cs="Arial"/>
                <w:b/>
                <w:color w:val="000000"/>
                <w:sz w:val="20"/>
                <w:szCs w:val="20"/>
              </w:rPr>
            </w:pPr>
            <w:r w:rsidRPr="00596620">
              <w:rPr>
                <w:rFonts w:ascii="Arial" w:hAnsi="Arial" w:cs="Arial"/>
                <w:b/>
                <w:color w:val="000000"/>
                <w:sz w:val="20"/>
                <w:szCs w:val="20"/>
              </w:rPr>
              <w:t>(5,</w:t>
            </w:r>
            <w:r w:rsidR="00A9396F">
              <w:rPr>
                <w:rFonts w:ascii="Arial" w:hAnsi="Arial" w:cs="Arial"/>
                <w:b/>
                <w:color w:val="000000"/>
                <w:sz w:val="20"/>
                <w:szCs w:val="20"/>
              </w:rPr>
              <w:t>930,22</w:t>
            </w:r>
            <w:r w:rsidR="00026F87" w:rsidRPr="00596620">
              <w:rPr>
                <w:rFonts w:ascii="Arial" w:hAnsi="Arial" w:cs="Arial"/>
                <w:b/>
                <w:color w:val="000000"/>
                <w:sz w:val="20"/>
                <w:szCs w:val="20"/>
              </w:rPr>
              <w:t>0</w:t>
            </w:r>
            <w:r w:rsidRPr="00596620">
              <w:rPr>
                <w:rFonts w:ascii="Arial" w:hAnsi="Arial" w:cs="Arial"/>
                <w:b/>
                <w:color w:val="000000"/>
                <w:sz w:val="20"/>
                <w:szCs w:val="20"/>
              </w:rPr>
              <w:t>)</w:t>
            </w:r>
          </w:p>
        </w:tc>
        <w:tc>
          <w:tcPr>
            <w:tcW w:w="1353" w:type="dxa"/>
            <w:tcBorders>
              <w:top w:val="nil"/>
              <w:left w:val="nil"/>
              <w:bottom w:val="nil"/>
              <w:right w:val="nil"/>
            </w:tcBorders>
            <w:shd w:val="clear" w:color="auto" w:fill="FFFFFF"/>
            <w:noWrap/>
            <w:vAlign w:val="center"/>
            <w:hideMark/>
          </w:tcPr>
          <w:p w14:paraId="4EE219FC" w14:textId="1050ED20" w:rsidR="00022925" w:rsidRPr="00596620" w:rsidRDefault="005D0310" w:rsidP="00022925">
            <w:pPr>
              <w:jc w:val="right"/>
              <w:rPr>
                <w:rFonts w:ascii="Arial" w:hAnsi="Arial" w:cs="Arial"/>
                <w:b/>
                <w:color w:val="000000"/>
                <w:sz w:val="20"/>
                <w:szCs w:val="20"/>
              </w:rPr>
            </w:pPr>
            <w:r w:rsidRPr="00596620">
              <w:rPr>
                <w:rFonts w:ascii="Arial" w:hAnsi="Arial" w:cs="Arial"/>
                <w:b/>
                <w:color w:val="000000"/>
                <w:sz w:val="20"/>
                <w:szCs w:val="20"/>
              </w:rPr>
              <w:t>(</w:t>
            </w:r>
            <w:r w:rsidR="00026F87" w:rsidRPr="00596620">
              <w:rPr>
                <w:rFonts w:ascii="Arial" w:hAnsi="Arial" w:cs="Arial"/>
                <w:b/>
                <w:color w:val="000000"/>
                <w:sz w:val="20"/>
                <w:szCs w:val="20"/>
              </w:rPr>
              <w:t>6,</w:t>
            </w:r>
            <w:r w:rsidR="00A9396F">
              <w:rPr>
                <w:rFonts w:ascii="Arial" w:hAnsi="Arial" w:cs="Arial"/>
                <w:b/>
                <w:color w:val="000000"/>
                <w:sz w:val="20"/>
                <w:szCs w:val="20"/>
              </w:rPr>
              <w:t>670,19</w:t>
            </w:r>
            <w:r w:rsidR="00026F87" w:rsidRPr="00596620">
              <w:rPr>
                <w:rFonts w:ascii="Arial" w:hAnsi="Arial" w:cs="Arial"/>
                <w:b/>
                <w:color w:val="000000"/>
                <w:sz w:val="20"/>
                <w:szCs w:val="20"/>
              </w:rPr>
              <w:t>0</w:t>
            </w:r>
            <w:r w:rsidRPr="00596620">
              <w:rPr>
                <w:rFonts w:ascii="Arial" w:hAnsi="Arial" w:cs="Arial"/>
                <w:b/>
                <w:color w:val="000000"/>
                <w:sz w:val="20"/>
                <w:szCs w:val="20"/>
              </w:rPr>
              <w:t>)</w:t>
            </w:r>
          </w:p>
        </w:tc>
      </w:tr>
      <w:tr w:rsidR="00CA78ED" w:rsidRPr="004B69EF" w14:paraId="0B43A188" w14:textId="77777777" w:rsidTr="00E42649">
        <w:trPr>
          <w:trHeight w:val="106"/>
        </w:trPr>
        <w:tc>
          <w:tcPr>
            <w:tcW w:w="3861" w:type="dxa"/>
            <w:tcBorders>
              <w:top w:val="nil"/>
              <w:left w:val="nil"/>
              <w:bottom w:val="nil"/>
              <w:right w:val="nil"/>
            </w:tcBorders>
            <w:shd w:val="clear" w:color="auto" w:fill="FFFFFF"/>
            <w:vAlign w:val="center"/>
            <w:hideMark/>
          </w:tcPr>
          <w:p w14:paraId="04653F05" w14:textId="77777777" w:rsidR="00022925" w:rsidRPr="00596620" w:rsidRDefault="00022925" w:rsidP="00022925">
            <w:pPr>
              <w:rPr>
                <w:rFonts w:ascii="Arial" w:hAnsi="Arial" w:cs="Arial"/>
                <w:b/>
                <w:color w:val="000000"/>
                <w:sz w:val="10"/>
                <w:szCs w:val="10"/>
              </w:rPr>
            </w:pPr>
            <w:r w:rsidRPr="00596620">
              <w:rPr>
                <w:rFonts w:ascii="Arial" w:hAnsi="Arial" w:cs="Arial"/>
                <w:b/>
                <w:color w:val="000000"/>
                <w:sz w:val="10"/>
                <w:szCs w:val="10"/>
              </w:rPr>
              <w:t> </w:t>
            </w:r>
          </w:p>
        </w:tc>
        <w:tc>
          <w:tcPr>
            <w:tcW w:w="1351" w:type="dxa"/>
            <w:tcBorders>
              <w:top w:val="nil"/>
              <w:left w:val="nil"/>
              <w:bottom w:val="nil"/>
              <w:right w:val="nil"/>
            </w:tcBorders>
            <w:shd w:val="clear" w:color="auto" w:fill="FFFFFF"/>
            <w:noWrap/>
            <w:vAlign w:val="center"/>
            <w:hideMark/>
          </w:tcPr>
          <w:p w14:paraId="3B2F43DC" w14:textId="77777777" w:rsidR="00022925" w:rsidRPr="00596620" w:rsidRDefault="00022925" w:rsidP="00022925">
            <w:pPr>
              <w:rPr>
                <w:rFonts w:ascii="Arial" w:hAnsi="Arial" w:cs="Arial"/>
                <w:b/>
                <w:color w:val="000000"/>
                <w:sz w:val="10"/>
                <w:szCs w:val="10"/>
              </w:rPr>
            </w:pPr>
            <w:r w:rsidRPr="00596620">
              <w:rPr>
                <w:rFonts w:ascii="Arial" w:hAnsi="Arial" w:cs="Arial"/>
                <w:b/>
                <w:color w:val="000000"/>
                <w:sz w:val="10"/>
                <w:szCs w:val="10"/>
              </w:rPr>
              <w:t> </w:t>
            </w:r>
          </w:p>
        </w:tc>
        <w:tc>
          <w:tcPr>
            <w:tcW w:w="1351" w:type="dxa"/>
            <w:tcBorders>
              <w:top w:val="nil"/>
              <w:left w:val="nil"/>
              <w:bottom w:val="nil"/>
              <w:right w:val="nil"/>
            </w:tcBorders>
            <w:shd w:val="clear" w:color="auto" w:fill="FFFFFF"/>
            <w:noWrap/>
            <w:vAlign w:val="center"/>
            <w:hideMark/>
          </w:tcPr>
          <w:p w14:paraId="1F4B2CBC" w14:textId="77777777" w:rsidR="00022925" w:rsidRPr="00596620" w:rsidRDefault="00022925" w:rsidP="00022925">
            <w:pPr>
              <w:rPr>
                <w:rFonts w:ascii="Arial" w:hAnsi="Arial" w:cs="Arial"/>
                <w:b/>
                <w:color w:val="000000"/>
                <w:sz w:val="10"/>
                <w:szCs w:val="10"/>
              </w:rPr>
            </w:pPr>
            <w:r w:rsidRPr="00596620">
              <w:rPr>
                <w:rFonts w:ascii="Arial" w:hAnsi="Arial" w:cs="Arial"/>
                <w:b/>
                <w:color w:val="000000"/>
                <w:sz w:val="10"/>
                <w:szCs w:val="10"/>
              </w:rPr>
              <w:t> </w:t>
            </w:r>
          </w:p>
        </w:tc>
        <w:tc>
          <w:tcPr>
            <w:tcW w:w="1351" w:type="dxa"/>
            <w:tcBorders>
              <w:top w:val="nil"/>
              <w:left w:val="nil"/>
              <w:bottom w:val="nil"/>
              <w:right w:val="nil"/>
            </w:tcBorders>
            <w:shd w:val="clear" w:color="auto" w:fill="FFFFFF"/>
            <w:noWrap/>
            <w:vAlign w:val="center"/>
            <w:hideMark/>
          </w:tcPr>
          <w:p w14:paraId="21FFEBA9" w14:textId="77777777" w:rsidR="00022925" w:rsidRPr="00596620" w:rsidRDefault="00022925" w:rsidP="00022925">
            <w:pPr>
              <w:rPr>
                <w:rFonts w:ascii="Arial" w:hAnsi="Arial" w:cs="Arial"/>
                <w:b/>
                <w:color w:val="000000"/>
                <w:sz w:val="10"/>
                <w:szCs w:val="10"/>
              </w:rPr>
            </w:pPr>
            <w:r w:rsidRPr="00596620">
              <w:rPr>
                <w:rFonts w:ascii="Arial" w:hAnsi="Arial" w:cs="Arial"/>
                <w:b/>
                <w:color w:val="000000"/>
                <w:sz w:val="10"/>
                <w:szCs w:val="10"/>
              </w:rPr>
              <w:t> </w:t>
            </w:r>
          </w:p>
        </w:tc>
        <w:tc>
          <w:tcPr>
            <w:tcW w:w="1351" w:type="dxa"/>
            <w:tcBorders>
              <w:top w:val="nil"/>
              <w:left w:val="nil"/>
              <w:bottom w:val="nil"/>
              <w:right w:val="nil"/>
            </w:tcBorders>
            <w:shd w:val="clear" w:color="auto" w:fill="FFFFFF"/>
            <w:noWrap/>
            <w:vAlign w:val="center"/>
            <w:hideMark/>
          </w:tcPr>
          <w:p w14:paraId="7200712F" w14:textId="77777777" w:rsidR="00022925" w:rsidRPr="00596620" w:rsidRDefault="00022925" w:rsidP="00022925">
            <w:pPr>
              <w:rPr>
                <w:rFonts w:ascii="Arial" w:hAnsi="Arial" w:cs="Arial"/>
                <w:b/>
                <w:color w:val="000000"/>
                <w:sz w:val="10"/>
                <w:szCs w:val="10"/>
              </w:rPr>
            </w:pPr>
            <w:r w:rsidRPr="00596620">
              <w:rPr>
                <w:rFonts w:ascii="Arial" w:hAnsi="Arial" w:cs="Arial"/>
                <w:b/>
                <w:color w:val="000000"/>
                <w:sz w:val="10"/>
                <w:szCs w:val="10"/>
              </w:rPr>
              <w:t> </w:t>
            </w:r>
          </w:p>
        </w:tc>
        <w:tc>
          <w:tcPr>
            <w:tcW w:w="1353" w:type="dxa"/>
            <w:tcBorders>
              <w:top w:val="nil"/>
              <w:left w:val="nil"/>
              <w:bottom w:val="nil"/>
              <w:right w:val="nil"/>
            </w:tcBorders>
            <w:noWrap/>
            <w:vAlign w:val="bottom"/>
            <w:hideMark/>
          </w:tcPr>
          <w:p w14:paraId="1602FA29" w14:textId="77777777" w:rsidR="00022925" w:rsidRPr="00596620" w:rsidRDefault="00022925" w:rsidP="00022925">
            <w:pPr>
              <w:rPr>
                <w:rFonts w:ascii="Arial" w:hAnsi="Arial" w:cs="Arial"/>
                <w:b/>
                <w:color w:val="000000"/>
                <w:sz w:val="10"/>
                <w:szCs w:val="10"/>
              </w:rPr>
            </w:pPr>
          </w:p>
        </w:tc>
      </w:tr>
      <w:tr w:rsidR="00CA78ED" w:rsidRPr="004B69EF" w14:paraId="7556C345" w14:textId="77777777" w:rsidTr="00022925">
        <w:trPr>
          <w:trHeight w:val="300"/>
        </w:trPr>
        <w:tc>
          <w:tcPr>
            <w:tcW w:w="3861" w:type="dxa"/>
            <w:tcBorders>
              <w:top w:val="nil"/>
              <w:left w:val="nil"/>
              <w:bottom w:val="nil"/>
              <w:right w:val="nil"/>
            </w:tcBorders>
            <w:shd w:val="clear" w:color="auto" w:fill="FFFFFF"/>
            <w:vAlign w:val="center"/>
            <w:hideMark/>
          </w:tcPr>
          <w:p w14:paraId="3C989F72" w14:textId="574EE36A" w:rsidR="00022925" w:rsidRPr="00596620" w:rsidRDefault="00022925" w:rsidP="00022925">
            <w:pPr>
              <w:rPr>
                <w:rFonts w:ascii="Arial" w:hAnsi="Arial" w:cs="Arial"/>
                <w:color w:val="000000"/>
                <w:sz w:val="20"/>
                <w:szCs w:val="20"/>
              </w:rPr>
            </w:pPr>
            <w:r w:rsidRPr="00596620">
              <w:rPr>
                <w:rFonts w:ascii="Arial" w:hAnsi="Arial" w:cs="Arial"/>
                <w:color w:val="000000"/>
                <w:sz w:val="20"/>
                <w:szCs w:val="20"/>
              </w:rPr>
              <w:t xml:space="preserve">Revenue Contributions to Capital Outlay </w:t>
            </w:r>
          </w:p>
        </w:tc>
        <w:tc>
          <w:tcPr>
            <w:tcW w:w="1351" w:type="dxa"/>
            <w:tcBorders>
              <w:top w:val="nil"/>
              <w:left w:val="nil"/>
              <w:bottom w:val="nil"/>
              <w:right w:val="nil"/>
            </w:tcBorders>
            <w:shd w:val="clear" w:color="auto" w:fill="FFFFFF"/>
            <w:noWrap/>
            <w:vAlign w:val="center"/>
            <w:hideMark/>
          </w:tcPr>
          <w:p w14:paraId="4629A55E" w14:textId="4424D914" w:rsidR="00022925" w:rsidRPr="00596620" w:rsidRDefault="001B5F47" w:rsidP="00022925">
            <w:pPr>
              <w:jc w:val="right"/>
              <w:rPr>
                <w:rFonts w:ascii="Arial" w:hAnsi="Arial" w:cs="Arial"/>
                <w:color w:val="000000"/>
                <w:sz w:val="20"/>
                <w:szCs w:val="20"/>
              </w:rPr>
            </w:pPr>
            <w:r w:rsidRPr="00596620">
              <w:rPr>
                <w:rFonts w:ascii="Arial" w:hAnsi="Arial" w:cs="Arial"/>
                <w:color w:val="000000"/>
                <w:sz w:val="20"/>
                <w:szCs w:val="20"/>
              </w:rPr>
              <w:t>4,200,000</w:t>
            </w:r>
          </w:p>
        </w:tc>
        <w:tc>
          <w:tcPr>
            <w:tcW w:w="1351" w:type="dxa"/>
            <w:tcBorders>
              <w:top w:val="nil"/>
              <w:left w:val="nil"/>
              <w:bottom w:val="nil"/>
              <w:right w:val="nil"/>
            </w:tcBorders>
            <w:shd w:val="clear" w:color="auto" w:fill="FFFFFF"/>
            <w:noWrap/>
            <w:vAlign w:val="center"/>
            <w:hideMark/>
          </w:tcPr>
          <w:p w14:paraId="46B9CF87" w14:textId="6A5E5C34" w:rsidR="00022925" w:rsidRPr="00596620" w:rsidRDefault="001B5F47" w:rsidP="00022925">
            <w:pPr>
              <w:jc w:val="right"/>
              <w:rPr>
                <w:rFonts w:ascii="Arial" w:hAnsi="Arial" w:cs="Arial"/>
                <w:color w:val="000000"/>
                <w:sz w:val="20"/>
                <w:szCs w:val="20"/>
              </w:rPr>
            </w:pPr>
            <w:r w:rsidRPr="00596620">
              <w:rPr>
                <w:rFonts w:ascii="Arial" w:hAnsi="Arial" w:cs="Arial"/>
                <w:color w:val="000000"/>
                <w:sz w:val="20"/>
                <w:szCs w:val="20"/>
              </w:rPr>
              <w:t>4,700,000</w:t>
            </w:r>
          </w:p>
        </w:tc>
        <w:tc>
          <w:tcPr>
            <w:tcW w:w="1351" w:type="dxa"/>
            <w:tcBorders>
              <w:top w:val="nil"/>
              <w:left w:val="nil"/>
              <w:bottom w:val="nil"/>
              <w:right w:val="nil"/>
            </w:tcBorders>
            <w:shd w:val="clear" w:color="auto" w:fill="FFFFFF"/>
            <w:noWrap/>
            <w:vAlign w:val="center"/>
            <w:hideMark/>
          </w:tcPr>
          <w:p w14:paraId="615B59B7" w14:textId="61E223A5" w:rsidR="00022925" w:rsidRPr="00596620" w:rsidRDefault="001B5F47" w:rsidP="00022925">
            <w:pPr>
              <w:jc w:val="right"/>
              <w:rPr>
                <w:rFonts w:ascii="Arial" w:hAnsi="Arial" w:cs="Arial"/>
                <w:color w:val="000000"/>
                <w:sz w:val="20"/>
                <w:szCs w:val="20"/>
              </w:rPr>
            </w:pPr>
            <w:r w:rsidRPr="00596620">
              <w:rPr>
                <w:rFonts w:ascii="Arial" w:hAnsi="Arial" w:cs="Arial"/>
                <w:color w:val="000000"/>
                <w:sz w:val="20"/>
                <w:szCs w:val="20"/>
              </w:rPr>
              <w:t>4,700,000</w:t>
            </w:r>
          </w:p>
        </w:tc>
        <w:tc>
          <w:tcPr>
            <w:tcW w:w="1351" w:type="dxa"/>
            <w:tcBorders>
              <w:top w:val="nil"/>
              <w:left w:val="nil"/>
              <w:bottom w:val="nil"/>
              <w:right w:val="nil"/>
            </w:tcBorders>
            <w:shd w:val="clear" w:color="auto" w:fill="FFFFFF"/>
            <w:noWrap/>
            <w:vAlign w:val="center"/>
            <w:hideMark/>
          </w:tcPr>
          <w:p w14:paraId="088D9BFF" w14:textId="22EA2254" w:rsidR="00022925" w:rsidRPr="00596620" w:rsidRDefault="001B5F47" w:rsidP="00022925">
            <w:pPr>
              <w:jc w:val="right"/>
              <w:rPr>
                <w:rFonts w:ascii="Arial" w:hAnsi="Arial" w:cs="Arial"/>
                <w:color w:val="000000"/>
                <w:sz w:val="20"/>
                <w:szCs w:val="20"/>
              </w:rPr>
            </w:pPr>
            <w:r w:rsidRPr="00596620">
              <w:rPr>
                <w:rFonts w:ascii="Arial" w:hAnsi="Arial" w:cs="Arial"/>
                <w:color w:val="000000"/>
                <w:sz w:val="20"/>
                <w:szCs w:val="20"/>
              </w:rPr>
              <w:t>4,700,000</w:t>
            </w:r>
          </w:p>
        </w:tc>
        <w:tc>
          <w:tcPr>
            <w:tcW w:w="1353" w:type="dxa"/>
            <w:tcBorders>
              <w:top w:val="nil"/>
              <w:left w:val="nil"/>
              <w:bottom w:val="nil"/>
              <w:right w:val="nil"/>
            </w:tcBorders>
            <w:shd w:val="clear" w:color="auto" w:fill="FFFFFF"/>
            <w:noWrap/>
            <w:vAlign w:val="center"/>
            <w:hideMark/>
          </w:tcPr>
          <w:p w14:paraId="3BA6494C" w14:textId="21548E99" w:rsidR="00022925" w:rsidRPr="00596620" w:rsidRDefault="001B5F47" w:rsidP="00022925">
            <w:pPr>
              <w:jc w:val="right"/>
              <w:rPr>
                <w:rFonts w:ascii="Arial" w:hAnsi="Arial" w:cs="Arial"/>
                <w:color w:val="000000"/>
                <w:sz w:val="20"/>
                <w:szCs w:val="20"/>
              </w:rPr>
            </w:pPr>
            <w:r w:rsidRPr="00596620">
              <w:rPr>
                <w:rFonts w:ascii="Arial" w:hAnsi="Arial" w:cs="Arial"/>
                <w:color w:val="000000"/>
                <w:sz w:val="20"/>
                <w:szCs w:val="20"/>
              </w:rPr>
              <w:t>4,700,000</w:t>
            </w:r>
          </w:p>
        </w:tc>
      </w:tr>
      <w:tr w:rsidR="00886CC3" w:rsidRPr="004B69EF" w14:paraId="2E3A3F5C" w14:textId="77777777" w:rsidTr="00227A2A">
        <w:trPr>
          <w:trHeight w:val="300"/>
        </w:trPr>
        <w:tc>
          <w:tcPr>
            <w:tcW w:w="3861" w:type="dxa"/>
            <w:tcBorders>
              <w:top w:val="nil"/>
              <w:left w:val="nil"/>
              <w:bottom w:val="nil"/>
              <w:right w:val="nil"/>
            </w:tcBorders>
            <w:shd w:val="clear" w:color="auto" w:fill="FFFFFF"/>
            <w:vAlign w:val="center"/>
            <w:hideMark/>
          </w:tcPr>
          <w:p w14:paraId="7BB9B6AD" w14:textId="4FAD248F" w:rsidR="00022925" w:rsidRPr="00596620" w:rsidRDefault="00467A1D" w:rsidP="00022925">
            <w:pPr>
              <w:rPr>
                <w:rFonts w:ascii="Arial" w:hAnsi="Arial" w:cs="Arial"/>
                <w:color w:val="000000"/>
                <w:sz w:val="20"/>
                <w:szCs w:val="20"/>
              </w:rPr>
            </w:pPr>
            <w:r w:rsidRPr="00596620">
              <w:rPr>
                <w:rFonts w:ascii="Arial" w:hAnsi="Arial" w:cs="Arial"/>
                <w:sz w:val="20"/>
                <w:szCs w:val="20"/>
              </w:rPr>
              <w:t>Transfers to/(from) Insurance reserve</w:t>
            </w:r>
          </w:p>
        </w:tc>
        <w:tc>
          <w:tcPr>
            <w:tcW w:w="1351" w:type="dxa"/>
            <w:tcBorders>
              <w:top w:val="nil"/>
              <w:left w:val="nil"/>
              <w:right w:val="nil"/>
            </w:tcBorders>
            <w:shd w:val="clear" w:color="auto" w:fill="FFFFFF"/>
            <w:noWrap/>
            <w:vAlign w:val="center"/>
            <w:hideMark/>
          </w:tcPr>
          <w:p w14:paraId="1EA204FC" w14:textId="296459DE" w:rsidR="00022925" w:rsidRPr="00596620" w:rsidRDefault="00F01AC3" w:rsidP="00022925">
            <w:pPr>
              <w:jc w:val="right"/>
              <w:rPr>
                <w:rFonts w:ascii="Arial" w:hAnsi="Arial" w:cs="Arial"/>
                <w:color w:val="000000"/>
                <w:sz w:val="20"/>
                <w:szCs w:val="20"/>
              </w:rPr>
            </w:pPr>
            <w:r w:rsidRPr="00596620">
              <w:rPr>
                <w:rFonts w:ascii="Arial" w:hAnsi="Arial" w:cs="Arial"/>
                <w:color w:val="000000"/>
                <w:sz w:val="20"/>
                <w:szCs w:val="20"/>
              </w:rPr>
              <w:t>(43,330)</w:t>
            </w:r>
          </w:p>
        </w:tc>
        <w:tc>
          <w:tcPr>
            <w:tcW w:w="1351" w:type="dxa"/>
            <w:tcBorders>
              <w:top w:val="nil"/>
              <w:left w:val="nil"/>
              <w:right w:val="nil"/>
            </w:tcBorders>
            <w:shd w:val="clear" w:color="auto" w:fill="FFFFFF"/>
            <w:noWrap/>
            <w:vAlign w:val="center"/>
            <w:hideMark/>
          </w:tcPr>
          <w:p w14:paraId="48A5EE05" w14:textId="02A1C936" w:rsidR="00022925" w:rsidRPr="00596620" w:rsidRDefault="00F01AC3" w:rsidP="00022925">
            <w:pPr>
              <w:jc w:val="right"/>
              <w:rPr>
                <w:rFonts w:ascii="Arial" w:hAnsi="Arial" w:cs="Arial"/>
                <w:color w:val="000000"/>
                <w:sz w:val="20"/>
                <w:szCs w:val="20"/>
              </w:rPr>
            </w:pPr>
            <w:r w:rsidRPr="00596620">
              <w:rPr>
                <w:rFonts w:ascii="Arial" w:hAnsi="Arial" w:cs="Arial"/>
                <w:color w:val="000000"/>
                <w:sz w:val="20"/>
                <w:szCs w:val="20"/>
              </w:rPr>
              <w:t>(64,670)</w:t>
            </w:r>
          </w:p>
        </w:tc>
        <w:tc>
          <w:tcPr>
            <w:tcW w:w="1351" w:type="dxa"/>
            <w:tcBorders>
              <w:top w:val="nil"/>
              <w:left w:val="nil"/>
              <w:right w:val="nil"/>
            </w:tcBorders>
            <w:shd w:val="clear" w:color="auto" w:fill="FFFFFF"/>
            <w:noWrap/>
            <w:vAlign w:val="center"/>
            <w:hideMark/>
          </w:tcPr>
          <w:p w14:paraId="20A911AE" w14:textId="258708F6" w:rsidR="00022925" w:rsidRPr="00596620" w:rsidRDefault="00F01AC3" w:rsidP="00022925">
            <w:pPr>
              <w:jc w:val="right"/>
              <w:rPr>
                <w:rFonts w:ascii="Arial" w:hAnsi="Arial" w:cs="Arial"/>
                <w:color w:val="000000"/>
                <w:sz w:val="20"/>
                <w:szCs w:val="20"/>
              </w:rPr>
            </w:pPr>
            <w:r w:rsidRPr="00596620">
              <w:rPr>
                <w:rFonts w:ascii="Arial" w:hAnsi="Arial" w:cs="Arial"/>
                <w:color w:val="000000"/>
                <w:sz w:val="20"/>
                <w:szCs w:val="20"/>
              </w:rPr>
              <w:t>(87,650)</w:t>
            </w:r>
          </w:p>
        </w:tc>
        <w:tc>
          <w:tcPr>
            <w:tcW w:w="1351" w:type="dxa"/>
            <w:tcBorders>
              <w:top w:val="nil"/>
              <w:left w:val="nil"/>
              <w:right w:val="nil"/>
            </w:tcBorders>
            <w:shd w:val="clear" w:color="auto" w:fill="FFFFFF"/>
            <w:noWrap/>
            <w:vAlign w:val="center"/>
            <w:hideMark/>
          </w:tcPr>
          <w:p w14:paraId="11180E37" w14:textId="60448954" w:rsidR="00022925" w:rsidRPr="00596620" w:rsidRDefault="00F01AC3" w:rsidP="00022925">
            <w:pPr>
              <w:jc w:val="right"/>
              <w:rPr>
                <w:rFonts w:ascii="Arial" w:hAnsi="Arial" w:cs="Arial"/>
                <w:color w:val="000000"/>
                <w:sz w:val="20"/>
                <w:szCs w:val="20"/>
              </w:rPr>
            </w:pPr>
            <w:r w:rsidRPr="00596620">
              <w:rPr>
                <w:rFonts w:ascii="Arial" w:hAnsi="Arial" w:cs="Arial"/>
                <w:color w:val="000000"/>
                <w:sz w:val="20"/>
                <w:szCs w:val="20"/>
              </w:rPr>
              <w:t>(93,800)</w:t>
            </w:r>
          </w:p>
        </w:tc>
        <w:tc>
          <w:tcPr>
            <w:tcW w:w="1353" w:type="dxa"/>
            <w:tcBorders>
              <w:top w:val="nil"/>
              <w:left w:val="nil"/>
              <w:right w:val="nil"/>
            </w:tcBorders>
            <w:shd w:val="clear" w:color="auto" w:fill="FFFFFF"/>
            <w:noWrap/>
            <w:vAlign w:val="center"/>
            <w:hideMark/>
          </w:tcPr>
          <w:p w14:paraId="62E60AD4" w14:textId="7A48141A" w:rsidR="00022925" w:rsidRPr="00596620" w:rsidRDefault="00F01AC3" w:rsidP="00022925">
            <w:pPr>
              <w:jc w:val="right"/>
              <w:rPr>
                <w:rFonts w:ascii="Arial" w:hAnsi="Arial" w:cs="Arial"/>
                <w:color w:val="000000"/>
                <w:sz w:val="20"/>
                <w:szCs w:val="20"/>
              </w:rPr>
            </w:pPr>
            <w:r w:rsidRPr="00596620">
              <w:rPr>
                <w:rFonts w:ascii="Arial" w:hAnsi="Arial" w:cs="Arial"/>
                <w:color w:val="000000"/>
                <w:sz w:val="20"/>
                <w:szCs w:val="20"/>
              </w:rPr>
              <w:t>(2,440)</w:t>
            </w:r>
          </w:p>
        </w:tc>
      </w:tr>
      <w:tr w:rsidR="002E2A51" w:rsidRPr="004B69EF" w14:paraId="3B20BB3D" w14:textId="77777777" w:rsidTr="00227A2A">
        <w:trPr>
          <w:trHeight w:val="300"/>
        </w:trPr>
        <w:tc>
          <w:tcPr>
            <w:tcW w:w="3861" w:type="dxa"/>
            <w:tcBorders>
              <w:top w:val="nil"/>
              <w:left w:val="nil"/>
              <w:bottom w:val="nil"/>
              <w:right w:val="nil"/>
            </w:tcBorders>
            <w:shd w:val="clear" w:color="auto" w:fill="FFFFFF"/>
            <w:vAlign w:val="center"/>
            <w:hideMark/>
          </w:tcPr>
          <w:p w14:paraId="20FBD174" w14:textId="10E6A441" w:rsidR="00022925" w:rsidRPr="00596620" w:rsidRDefault="00467A1D" w:rsidP="00022925">
            <w:pPr>
              <w:rPr>
                <w:rFonts w:ascii="Arial" w:hAnsi="Arial" w:cs="Arial"/>
                <w:color w:val="000000"/>
                <w:sz w:val="20"/>
                <w:szCs w:val="20"/>
              </w:rPr>
            </w:pPr>
            <w:r w:rsidRPr="00596620">
              <w:rPr>
                <w:rFonts w:ascii="Arial" w:hAnsi="Arial" w:cs="Arial"/>
                <w:sz w:val="20"/>
                <w:szCs w:val="20"/>
              </w:rPr>
              <w:t>Transfers to/(from) Earmarked reserves</w:t>
            </w:r>
          </w:p>
        </w:tc>
        <w:tc>
          <w:tcPr>
            <w:tcW w:w="1351" w:type="dxa"/>
            <w:tcBorders>
              <w:top w:val="nil"/>
              <w:left w:val="nil"/>
              <w:bottom w:val="single" w:sz="4" w:space="0" w:color="auto"/>
              <w:right w:val="nil"/>
            </w:tcBorders>
            <w:shd w:val="clear" w:color="auto" w:fill="FFFFFF"/>
            <w:noWrap/>
            <w:vAlign w:val="center"/>
            <w:hideMark/>
          </w:tcPr>
          <w:p w14:paraId="779F254E" w14:textId="647465F6" w:rsidR="00022925" w:rsidRPr="00596620" w:rsidRDefault="00A81263" w:rsidP="00022925">
            <w:pPr>
              <w:jc w:val="right"/>
              <w:rPr>
                <w:rFonts w:ascii="Arial" w:hAnsi="Arial" w:cs="Arial"/>
                <w:color w:val="000000"/>
                <w:sz w:val="20"/>
                <w:szCs w:val="20"/>
              </w:rPr>
            </w:pPr>
            <w:r w:rsidRPr="00596620">
              <w:rPr>
                <w:rFonts w:ascii="Arial" w:hAnsi="Arial" w:cs="Arial"/>
                <w:color w:val="000000"/>
                <w:sz w:val="20"/>
                <w:szCs w:val="20"/>
              </w:rPr>
              <w:t>180,720</w:t>
            </w:r>
          </w:p>
        </w:tc>
        <w:tc>
          <w:tcPr>
            <w:tcW w:w="1351" w:type="dxa"/>
            <w:tcBorders>
              <w:top w:val="nil"/>
              <w:left w:val="nil"/>
              <w:bottom w:val="single" w:sz="4" w:space="0" w:color="auto"/>
              <w:right w:val="nil"/>
            </w:tcBorders>
            <w:shd w:val="clear" w:color="auto" w:fill="FFFFFF"/>
            <w:noWrap/>
            <w:vAlign w:val="center"/>
            <w:hideMark/>
          </w:tcPr>
          <w:p w14:paraId="2F671D32" w14:textId="2122A70D" w:rsidR="00022925" w:rsidRPr="00596620" w:rsidRDefault="00644086" w:rsidP="00022925">
            <w:pPr>
              <w:jc w:val="right"/>
              <w:rPr>
                <w:rFonts w:ascii="Arial" w:hAnsi="Arial" w:cs="Arial"/>
                <w:color w:val="000000"/>
                <w:sz w:val="20"/>
                <w:szCs w:val="20"/>
              </w:rPr>
            </w:pPr>
            <w:r w:rsidRPr="00596620">
              <w:rPr>
                <w:rFonts w:ascii="Arial" w:hAnsi="Arial" w:cs="Arial"/>
                <w:color w:val="000000"/>
                <w:sz w:val="20"/>
                <w:szCs w:val="20"/>
              </w:rPr>
              <w:t>73,820</w:t>
            </w:r>
          </w:p>
        </w:tc>
        <w:tc>
          <w:tcPr>
            <w:tcW w:w="1351" w:type="dxa"/>
            <w:tcBorders>
              <w:top w:val="nil"/>
              <w:left w:val="nil"/>
              <w:bottom w:val="single" w:sz="4" w:space="0" w:color="auto"/>
              <w:right w:val="nil"/>
            </w:tcBorders>
            <w:shd w:val="clear" w:color="auto" w:fill="FFFFFF"/>
            <w:noWrap/>
            <w:vAlign w:val="center"/>
            <w:hideMark/>
          </w:tcPr>
          <w:p w14:paraId="21D7C462" w14:textId="5A1BB75B" w:rsidR="00022925" w:rsidRPr="00596620" w:rsidRDefault="006E502D" w:rsidP="00022925">
            <w:pPr>
              <w:jc w:val="right"/>
              <w:rPr>
                <w:rFonts w:ascii="Arial" w:hAnsi="Arial" w:cs="Arial"/>
                <w:color w:val="000000"/>
                <w:sz w:val="20"/>
                <w:szCs w:val="20"/>
              </w:rPr>
            </w:pPr>
            <w:r w:rsidRPr="00596620">
              <w:rPr>
                <w:rFonts w:ascii="Arial" w:hAnsi="Arial" w:cs="Arial"/>
                <w:color w:val="000000"/>
                <w:sz w:val="20"/>
                <w:szCs w:val="20"/>
              </w:rPr>
              <w:t>733,310</w:t>
            </w:r>
          </w:p>
        </w:tc>
        <w:tc>
          <w:tcPr>
            <w:tcW w:w="1351" w:type="dxa"/>
            <w:tcBorders>
              <w:top w:val="nil"/>
              <w:left w:val="nil"/>
              <w:bottom w:val="single" w:sz="4" w:space="0" w:color="auto"/>
              <w:right w:val="nil"/>
            </w:tcBorders>
            <w:shd w:val="clear" w:color="auto" w:fill="FFFFFF"/>
            <w:noWrap/>
            <w:vAlign w:val="center"/>
            <w:hideMark/>
          </w:tcPr>
          <w:p w14:paraId="6D95A66F" w14:textId="3AE145AD" w:rsidR="00022925" w:rsidRPr="00596620" w:rsidRDefault="00B319E7" w:rsidP="00022925">
            <w:pPr>
              <w:jc w:val="right"/>
              <w:rPr>
                <w:rFonts w:ascii="Arial" w:hAnsi="Arial" w:cs="Arial"/>
                <w:color w:val="000000"/>
                <w:sz w:val="20"/>
                <w:szCs w:val="20"/>
              </w:rPr>
            </w:pPr>
            <w:r w:rsidRPr="00596620">
              <w:rPr>
                <w:rFonts w:ascii="Arial" w:hAnsi="Arial" w:cs="Arial"/>
                <w:color w:val="000000"/>
                <w:sz w:val="20"/>
                <w:szCs w:val="20"/>
              </w:rPr>
              <w:t>1,236,680</w:t>
            </w:r>
          </w:p>
        </w:tc>
        <w:tc>
          <w:tcPr>
            <w:tcW w:w="1353" w:type="dxa"/>
            <w:tcBorders>
              <w:top w:val="nil"/>
              <w:left w:val="nil"/>
              <w:bottom w:val="single" w:sz="4" w:space="0" w:color="auto"/>
              <w:right w:val="nil"/>
            </w:tcBorders>
            <w:shd w:val="clear" w:color="auto" w:fill="FFFFFF"/>
            <w:noWrap/>
            <w:vAlign w:val="center"/>
            <w:hideMark/>
          </w:tcPr>
          <w:p w14:paraId="211EF16E" w14:textId="33D3FAC7" w:rsidR="00022925" w:rsidRPr="00596620" w:rsidRDefault="00957EFB" w:rsidP="00022925">
            <w:pPr>
              <w:jc w:val="right"/>
              <w:rPr>
                <w:rFonts w:ascii="Arial" w:hAnsi="Arial" w:cs="Arial"/>
                <w:color w:val="000000"/>
                <w:sz w:val="20"/>
                <w:szCs w:val="20"/>
              </w:rPr>
            </w:pPr>
            <w:r w:rsidRPr="00596620">
              <w:rPr>
                <w:rFonts w:ascii="Arial" w:hAnsi="Arial" w:cs="Arial"/>
                <w:color w:val="000000"/>
                <w:sz w:val="20"/>
                <w:szCs w:val="20"/>
              </w:rPr>
              <w:t>1,807,060</w:t>
            </w:r>
          </w:p>
        </w:tc>
      </w:tr>
      <w:tr w:rsidR="002E2A51" w:rsidRPr="004B69EF" w14:paraId="1DEEB681" w14:textId="77777777" w:rsidTr="00227A2A">
        <w:trPr>
          <w:trHeight w:val="107"/>
        </w:trPr>
        <w:tc>
          <w:tcPr>
            <w:tcW w:w="3861" w:type="dxa"/>
            <w:tcBorders>
              <w:top w:val="nil"/>
              <w:left w:val="nil"/>
              <w:bottom w:val="nil"/>
              <w:right w:val="nil"/>
            </w:tcBorders>
            <w:shd w:val="clear" w:color="auto" w:fill="FFFFFF"/>
            <w:vAlign w:val="center"/>
          </w:tcPr>
          <w:p w14:paraId="624E2333" w14:textId="7CA15505" w:rsidR="00394B08" w:rsidRPr="00596620" w:rsidRDefault="00394B08" w:rsidP="00394B08">
            <w:pPr>
              <w:rPr>
                <w:rFonts w:ascii="Arial" w:hAnsi="Arial" w:cs="Arial"/>
                <w:color w:val="000000"/>
                <w:sz w:val="10"/>
                <w:szCs w:val="10"/>
              </w:rPr>
            </w:pPr>
          </w:p>
        </w:tc>
        <w:tc>
          <w:tcPr>
            <w:tcW w:w="1351" w:type="dxa"/>
            <w:tcBorders>
              <w:top w:val="single" w:sz="4" w:space="0" w:color="auto"/>
              <w:left w:val="nil"/>
              <w:bottom w:val="nil"/>
              <w:right w:val="nil"/>
            </w:tcBorders>
            <w:shd w:val="clear" w:color="auto" w:fill="FFFFFF"/>
            <w:noWrap/>
            <w:vAlign w:val="center"/>
          </w:tcPr>
          <w:p w14:paraId="6AA955BC" w14:textId="77777777" w:rsidR="00394B08" w:rsidRPr="00596620" w:rsidRDefault="00394B08" w:rsidP="00394B08">
            <w:pPr>
              <w:jc w:val="right"/>
              <w:rPr>
                <w:rFonts w:ascii="Arial" w:hAnsi="Arial" w:cs="Arial"/>
                <w:color w:val="000000"/>
                <w:sz w:val="10"/>
                <w:szCs w:val="10"/>
              </w:rPr>
            </w:pPr>
          </w:p>
        </w:tc>
        <w:tc>
          <w:tcPr>
            <w:tcW w:w="1351" w:type="dxa"/>
            <w:tcBorders>
              <w:top w:val="single" w:sz="4" w:space="0" w:color="auto"/>
              <w:left w:val="nil"/>
              <w:bottom w:val="nil"/>
              <w:right w:val="nil"/>
            </w:tcBorders>
            <w:shd w:val="clear" w:color="auto" w:fill="FFFFFF"/>
            <w:noWrap/>
            <w:vAlign w:val="center"/>
          </w:tcPr>
          <w:p w14:paraId="7D4AF0F3" w14:textId="77777777" w:rsidR="00394B08" w:rsidRPr="00596620" w:rsidRDefault="00394B08" w:rsidP="00394B08">
            <w:pPr>
              <w:jc w:val="right"/>
              <w:rPr>
                <w:rFonts w:ascii="Arial" w:hAnsi="Arial" w:cs="Arial"/>
                <w:color w:val="000000"/>
                <w:sz w:val="10"/>
                <w:szCs w:val="10"/>
              </w:rPr>
            </w:pPr>
          </w:p>
        </w:tc>
        <w:tc>
          <w:tcPr>
            <w:tcW w:w="1351" w:type="dxa"/>
            <w:tcBorders>
              <w:top w:val="single" w:sz="4" w:space="0" w:color="auto"/>
              <w:left w:val="nil"/>
              <w:bottom w:val="nil"/>
              <w:right w:val="nil"/>
            </w:tcBorders>
            <w:shd w:val="clear" w:color="auto" w:fill="FFFFFF"/>
            <w:noWrap/>
            <w:vAlign w:val="center"/>
          </w:tcPr>
          <w:p w14:paraId="3F0A8A72" w14:textId="77777777" w:rsidR="00394B08" w:rsidRPr="00596620" w:rsidRDefault="00394B08" w:rsidP="00394B08">
            <w:pPr>
              <w:jc w:val="right"/>
              <w:rPr>
                <w:rFonts w:ascii="Arial" w:hAnsi="Arial" w:cs="Arial"/>
                <w:color w:val="000000"/>
                <w:sz w:val="10"/>
                <w:szCs w:val="10"/>
              </w:rPr>
            </w:pPr>
          </w:p>
        </w:tc>
        <w:tc>
          <w:tcPr>
            <w:tcW w:w="1351" w:type="dxa"/>
            <w:tcBorders>
              <w:top w:val="single" w:sz="4" w:space="0" w:color="auto"/>
              <w:left w:val="nil"/>
              <w:bottom w:val="nil"/>
              <w:right w:val="nil"/>
            </w:tcBorders>
            <w:shd w:val="clear" w:color="auto" w:fill="FFFFFF"/>
            <w:noWrap/>
            <w:vAlign w:val="center"/>
          </w:tcPr>
          <w:p w14:paraId="126E0E1C" w14:textId="77777777" w:rsidR="00394B08" w:rsidRPr="00596620" w:rsidRDefault="00394B08" w:rsidP="00394B08">
            <w:pPr>
              <w:jc w:val="right"/>
              <w:rPr>
                <w:rFonts w:ascii="Arial" w:hAnsi="Arial" w:cs="Arial"/>
                <w:color w:val="000000"/>
                <w:sz w:val="10"/>
                <w:szCs w:val="10"/>
              </w:rPr>
            </w:pPr>
          </w:p>
        </w:tc>
        <w:tc>
          <w:tcPr>
            <w:tcW w:w="1353" w:type="dxa"/>
            <w:tcBorders>
              <w:top w:val="single" w:sz="4" w:space="0" w:color="auto"/>
              <w:left w:val="nil"/>
              <w:bottom w:val="nil"/>
              <w:right w:val="nil"/>
            </w:tcBorders>
            <w:shd w:val="clear" w:color="auto" w:fill="FFFFFF"/>
            <w:noWrap/>
            <w:vAlign w:val="center"/>
          </w:tcPr>
          <w:p w14:paraId="232001B8" w14:textId="77777777" w:rsidR="00394B08" w:rsidRPr="00596620" w:rsidRDefault="00394B08" w:rsidP="00394B08">
            <w:pPr>
              <w:jc w:val="right"/>
              <w:rPr>
                <w:rFonts w:ascii="Arial" w:hAnsi="Arial" w:cs="Arial"/>
                <w:color w:val="000000"/>
                <w:sz w:val="10"/>
                <w:szCs w:val="10"/>
              </w:rPr>
            </w:pPr>
          </w:p>
        </w:tc>
      </w:tr>
      <w:tr w:rsidR="00CA78ED" w:rsidRPr="004B69EF" w14:paraId="76BF2B4F" w14:textId="77777777" w:rsidTr="007A36F5">
        <w:trPr>
          <w:trHeight w:val="300"/>
        </w:trPr>
        <w:tc>
          <w:tcPr>
            <w:tcW w:w="3861" w:type="dxa"/>
            <w:tcBorders>
              <w:top w:val="nil"/>
              <w:left w:val="nil"/>
              <w:bottom w:val="nil"/>
              <w:right w:val="nil"/>
            </w:tcBorders>
            <w:shd w:val="clear" w:color="auto" w:fill="FFFFFF"/>
            <w:vAlign w:val="center"/>
            <w:hideMark/>
          </w:tcPr>
          <w:p w14:paraId="72B0DA36" w14:textId="77777777" w:rsidR="00394B08" w:rsidRPr="00596620" w:rsidRDefault="00394B08" w:rsidP="00394B08">
            <w:pPr>
              <w:rPr>
                <w:rFonts w:ascii="Arial" w:hAnsi="Arial" w:cs="Arial"/>
                <w:b/>
                <w:color w:val="000000"/>
                <w:sz w:val="20"/>
                <w:szCs w:val="20"/>
              </w:rPr>
            </w:pPr>
            <w:r w:rsidRPr="00596620">
              <w:rPr>
                <w:rFonts w:ascii="Arial" w:hAnsi="Arial" w:cs="Arial"/>
                <w:b/>
                <w:color w:val="000000"/>
                <w:sz w:val="20"/>
                <w:szCs w:val="20"/>
              </w:rPr>
              <w:t>(Surplus)/deficit in year</w:t>
            </w:r>
          </w:p>
        </w:tc>
        <w:tc>
          <w:tcPr>
            <w:tcW w:w="1351" w:type="dxa"/>
            <w:tcBorders>
              <w:top w:val="nil"/>
              <w:left w:val="nil"/>
              <w:right w:val="nil"/>
            </w:tcBorders>
            <w:shd w:val="clear" w:color="auto" w:fill="FFFFFF"/>
            <w:noWrap/>
            <w:vAlign w:val="center"/>
            <w:hideMark/>
          </w:tcPr>
          <w:p w14:paraId="05B030DF" w14:textId="4A4EB167" w:rsidR="00394B08" w:rsidRPr="00596620" w:rsidRDefault="00B05B1E" w:rsidP="00394B08">
            <w:pPr>
              <w:jc w:val="right"/>
              <w:rPr>
                <w:rFonts w:ascii="Arial" w:hAnsi="Arial" w:cs="Arial"/>
                <w:b/>
                <w:color w:val="000000"/>
                <w:sz w:val="20"/>
                <w:szCs w:val="20"/>
              </w:rPr>
            </w:pPr>
            <w:r>
              <w:rPr>
                <w:rFonts w:ascii="Arial" w:hAnsi="Arial" w:cs="Arial"/>
                <w:b/>
                <w:color w:val="000000"/>
                <w:sz w:val="20"/>
                <w:szCs w:val="20"/>
              </w:rPr>
              <w:t>275,590</w:t>
            </w:r>
          </w:p>
        </w:tc>
        <w:tc>
          <w:tcPr>
            <w:tcW w:w="1351" w:type="dxa"/>
            <w:tcBorders>
              <w:top w:val="nil"/>
              <w:left w:val="nil"/>
              <w:right w:val="nil"/>
            </w:tcBorders>
            <w:shd w:val="clear" w:color="auto" w:fill="FFFFFF"/>
            <w:noWrap/>
            <w:vAlign w:val="center"/>
            <w:hideMark/>
          </w:tcPr>
          <w:p w14:paraId="534F9A2D" w14:textId="40D6CE71" w:rsidR="00394B08" w:rsidRPr="00596620" w:rsidRDefault="00B05B1E" w:rsidP="00394B08">
            <w:pPr>
              <w:jc w:val="right"/>
              <w:rPr>
                <w:rFonts w:ascii="Arial" w:hAnsi="Arial" w:cs="Arial"/>
                <w:b/>
                <w:color w:val="000000"/>
                <w:sz w:val="20"/>
                <w:szCs w:val="20"/>
              </w:rPr>
            </w:pPr>
            <w:r>
              <w:rPr>
                <w:rFonts w:ascii="Arial" w:hAnsi="Arial" w:cs="Arial"/>
                <w:b/>
                <w:color w:val="000000"/>
                <w:sz w:val="20"/>
                <w:szCs w:val="20"/>
              </w:rPr>
              <w:t>(20,500)</w:t>
            </w:r>
          </w:p>
        </w:tc>
        <w:tc>
          <w:tcPr>
            <w:tcW w:w="1351" w:type="dxa"/>
            <w:tcBorders>
              <w:top w:val="nil"/>
              <w:left w:val="nil"/>
              <w:right w:val="nil"/>
            </w:tcBorders>
            <w:shd w:val="clear" w:color="auto" w:fill="FFFFFF"/>
            <w:noWrap/>
            <w:vAlign w:val="center"/>
            <w:hideMark/>
          </w:tcPr>
          <w:p w14:paraId="2FDA8EE9" w14:textId="7A8B7EB7" w:rsidR="00394B08" w:rsidRPr="00596620" w:rsidRDefault="00B05B1E" w:rsidP="00394B08">
            <w:pPr>
              <w:jc w:val="right"/>
              <w:rPr>
                <w:rFonts w:ascii="Arial" w:hAnsi="Arial" w:cs="Arial"/>
                <w:b/>
                <w:color w:val="000000"/>
                <w:sz w:val="20"/>
                <w:szCs w:val="20"/>
              </w:rPr>
            </w:pPr>
            <w:r>
              <w:rPr>
                <w:rFonts w:ascii="Arial" w:hAnsi="Arial" w:cs="Arial"/>
                <w:b/>
                <w:color w:val="000000"/>
                <w:sz w:val="20"/>
                <w:szCs w:val="20"/>
              </w:rPr>
              <w:t>(37,670)</w:t>
            </w:r>
          </w:p>
        </w:tc>
        <w:tc>
          <w:tcPr>
            <w:tcW w:w="1351" w:type="dxa"/>
            <w:tcBorders>
              <w:top w:val="nil"/>
              <w:left w:val="nil"/>
              <w:right w:val="nil"/>
            </w:tcBorders>
            <w:shd w:val="clear" w:color="auto" w:fill="FFFFFF"/>
            <w:noWrap/>
            <w:vAlign w:val="center"/>
            <w:hideMark/>
          </w:tcPr>
          <w:p w14:paraId="6EA93CF6" w14:textId="56AF441B" w:rsidR="00394B08" w:rsidRPr="00596620" w:rsidRDefault="00B05B1E" w:rsidP="00394B08">
            <w:pPr>
              <w:jc w:val="right"/>
              <w:rPr>
                <w:rFonts w:ascii="Arial" w:hAnsi="Arial" w:cs="Arial"/>
                <w:b/>
                <w:color w:val="000000"/>
                <w:sz w:val="20"/>
                <w:szCs w:val="20"/>
              </w:rPr>
            </w:pPr>
            <w:r>
              <w:rPr>
                <w:rFonts w:ascii="Arial" w:hAnsi="Arial" w:cs="Arial"/>
                <w:b/>
                <w:color w:val="000000"/>
                <w:sz w:val="20"/>
                <w:szCs w:val="20"/>
              </w:rPr>
              <w:t>(87,340)</w:t>
            </w:r>
          </w:p>
        </w:tc>
        <w:tc>
          <w:tcPr>
            <w:tcW w:w="1353" w:type="dxa"/>
            <w:tcBorders>
              <w:top w:val="nil"/>
              <w:left w:val="nil"/>
              <w:right w:val="nil"/>
            </w:tcBorders>
            <w:shd w:val="clear" w:color="auto" w:fill="FFFFFF"/>
            <w:noWrap/>
            <w:vAlign w:val="center"/>
            <w:hideMark/>
          </w:tcPr>
          <w:p w14:paraId="6D948BAC" w14:textId="17D62A3D" w:rsidR="00394B08" w:rsidRPr="00596620" w:rsidRDefault="00B05B1E" w:rsidP="00394B08">
            <w:pPr>
              <w:jc w:val="right"/>
              <w:rPr>
                <w:rFonts w:ascii="Arial" w:hAnsi="Arial" w:cs="Arial"/>
                <w:b/>
                <w:color w:val="000000"/>
                <w:sz w:val="20"/>
                <w:szCs w:val="20"/>
              </w:rPr>
            </w:pPr>
            <w:r>
              <w:rPr>
                <w:rFonts w:ascii="Arial" w:hAnsi="Arial" w:cs="Arial"/>
                <w:b/>
                <w:color w:val="000000"/>
                <w:sz w:val="20"/>
                <w:szCs w:val="20"/>
              </w:rPr>
              <w:t>(165,570)</w:t>
            </w:r>
          </w:p>
        </w:tc>
      </w:tr>
      <w:tr w:rsidR="00835F91" w:rsidRPr="004B69EF" w14:paraId="326DB34C" w14:textId="77777777" w:rsidTr="007A36F5">
        <w:trPr>
          <w:trHeight w:val="300"/>
        </w:trPr>
        <w:tc>
          <w:tcPr>
            <w:tcW w:w="3861" w:type="dxa"/>
            <w:tcBorders>
              <w:top w:val="nil"/>
              <w:left w:val="nil"/>
              <w:bottom w:val="nil"/>
              <w:right w:val="nil"/>
            </w:tcBorders>
            <w:shd w:val="clear" w:color="auto" w:fill="FFFFFF"/>
            <w:vAlign w:val="center"/>
            <w:hideMark/>
          </w:tcPr>
          <w:p w14:paraId="4FBA8C5A" w14:textId="77777777" w:rsidR="00394B08" w:rsidRPr="00596620" w:rsidRDefault="00394B08" w:rsidP="00394B08">
            <w:pPr>
              <w:rPr>
                <w:rFonts w:ascii="Arial" w:hAnsi="Arial" w:cs="Arial"/>
                <w:b/>
                <w:color w:val="000000"/>
                <w:sz w:val="20"/>
                <w:szCs w:val="20"/>
              </w:rPr>
            </w:pPr>
            <w:r w:rsidRPr="00596620">
              <w:rPr>
                <w:rFonts w:ascii="Arial" w:hAnsi="Arial" w:cs="Arial"/>
                <w:b/>
                <w:color w:val="000000"/>
                <w:sz w:val="20"/>
                <w:szCs w:val="20"/>
              </w:rPr>
              <w:t xml:space="preserve">Balance b/f at 1 April </w:t>
            </w:r>
          </w:p>
        </w:tc>
        <w:tc>
          <w:tcPr>
            <w:tcW w:w="1351" w:type="dxa"/>
            <w:tcBorders>
              <w:top w:val="nil"/>
              <w:left w:val="nil"/>
              <w:bottom w:val="single" w:sz="4" w:space="0" w:color="auto"/>
              <w:right w:val="nil"/>
            </w:tcBorders>
            <w:noWrap/>
            <w:vAlign w:val="center"/>
            <w:hideMark/>
          </w:tcPr>
          <w:p w14:paraId="42A746FD" w14:textId="1733F59F" w:rsidR="00394B08" w:rsidRPr="00596620" w:rsidRDefault="00394B08" w:rsidP="00394B08">
            <w:pPr>
              <w:jc w:val="right"/>
              <w:rPr>
                <w:rFonts w:ascii="Arial" w:hAnsi="Arial" w:cs="Arial"/>
                <w:color w:val="000000"/>
                <w:sz w:val="20"/>
                <w:szCs w:val="20"/>
              </w:rPr>
            </w:pPr>
            <w:r w:rsidRPr="00596620">
              <w:rPr>
                <w:rFonts w:ascii="Arial" w:hAnsi="Arial" w:cs="Arial"/>
                <w:color w:val="000000"/>
                <w:sz w:val="20"/>
                <w:szCs w:val="20"/>
              </w:rPr>
              <w:t>(1,</w:t>
            </w:r>
            <w:r w:rsidR="005B6EE1" w:rsidRPr="00596620">
              <w:rPr>
                <w:rFonts w:ascii="Arial" w:hAnsi="Arial" w:cs="Arial"/>
                <w:color w:val="000000"/>
                <w:sz w:val="20"/>
                <w:szCs w:val="20"/>
              </w:rPr>
              <w:t>295</w:t>
            </w:r>
            <w:r w:rsidR="00656F60" w:rsidRPr="00596620">
              <w:rPr>
                <w:rFonts w:ascii="Arial" w:hAnsi="Arial" w:cs="Arial"/>
                <w:color w:val="000000"/>
                <w:sz w:val="20"/>
                <w:szCs w:val="20"/>
              </w:rPr>
              <w:t>,387</w:t>
            </w:r>
            <w:r w:rsidRPr="00596620">
              <w:rPr>
                <w:rFonts w:ascii="Arial" w:hAnsi="Arial" w:cs="Arial"/>
                <w:color w:val="000000"/>
                <w:sz w:val="20"/>
                <w:szCs w:val="20"/>
              </w:rPr>
              <w:t>)</w:t>
            </w:r>
          </w:p>
        </w:tc>
        <w:tc>
          <w:tcPr>
            <w:tcW w:w="1351" w:type="dxa"/>
            <w:tcBorders>
              <w:top w:val="nil"/>
              <w:left w:val="nil"/>
              <w:bottom w:val="single" w:sz="4" w:space="0" w:color="auto"/>
              <w:right w:val="nil"/>
            </w:tcBorders>
            <w:noWrap/>
            <w:vAlign w:val="center"/>
            <w:hideMark/>
          </w:tcPr>
          <w:p w14:paraId="265B4023" w14:textId="5B03DAEC" w:rsidR="00394B08" w:rsidRPr="00596620" w:rsidRDefault="000C39B1" w:rsidP="00394B08">
            <w:pPr>
              <w:jc w:val="right"/>
              <w:rPr>
                <w:rFonts w:ascii="Arial" w:hAnsi="Arial" w:cs="Arial"/>
                <w:color w:val="000000"/>
                <w:sz w:val="20"/>
                <w:szCs w:val="20"/>
              </w:rPr>
            </w:pPr>
            <w:r w:rsidRPr="00596620">
              <w:rPr>
                <w:rFonts w:ascii="Arial" w:hAnsi="Arial" w:cs="Arial"/>
                <w:color w:val="000000"/>
                <w:sz w:val="20"/>
                <w:szCs w:val="20"/>
              </w:rPr>
              <w:t>(1,</w:t>
            </w:r>
            <w:r w:rsidR="00387714" w:rsidRPr="00596620">
              <w:rPr>
                <w:rFonts w:ascii="Arial" w:hAnsi="Arial" w:cs="Arial"/>
                <w:color w:val="000000"/>
                <w:sz w:val="20"/>
                <w:szCs w:val="20"/>
              </w:rPr>
              <w:t>0</w:t>
            </w:r>
            <w:r w:rsidR="00A903ED">
              <w:rPr>
                <w:rFonts w:ascii="Arial" w:hAnsi="Arial" w:cs="Arial"/>
                <w:color w:val="000000"/>
                <w:sz w:val="20"/>
                <w:szCs w:val="20"/>
              </w:rPr>
              <w:t>19,79</w:t>
            </w:r>
            <w:r w:rsidR="00387714" w:rsidRPr="00596620">
              <w:rPr>
                <w:rFonts w:ascii="Arial" w:hAnsi="Arial" w:cs="Arial"/>
                <w:color w:val="000000"/>
                <w:sz w:val="20"/>
                <w:szCs w:val="20"/>
              </w:rPr>
              <w:t>7</w:t>
            </w:r>
            <w:r w:rsidRPr="00596620">
              <w:rPr>
                <w:rFonts w:ascii="Arial" w:hAnsi="Arial" w:cs="Arial"/>
                <w:color w:val="000000"/>
                <w:sz w:val="20"/>
                <w:szCs w:val="20"/>
              </w:rPr>
              <w:t>)</w:t>
            </w:r>
          </w:p>
        </w:tc>
        <w:tc>
          <w:tcPr>
            <w:tcW w:w="1351" w:type="dxa"/>
            <w:tcBorders>
              <w:top w:val="nil"/>
              <w:left w:val="nil"/>
              <w:bottom w:val="single" w:sz="4" w:space="0" w:color="auto"/>
              <w:right w:val="nil"/>
            </w:tcBorders>
            <w:noWrap/>
            <w:vAlign w:val="center"/>
            <w:hideMark/>
          </w:tcPr>
          <w:p w14:paraId="15B84B98" w14:textId="0DEA8A8A" w:rsidR="00394B08" w:rsidRPr="00596620" w:rsidRDefault="001D54A7" w:rsidP="00394B08">
            <w:pPr>
              <w:jc w:val="right"/>
              <w:rPr>
                <w:rFonts w:ascii="Arial" w:hAnsi="Arial" w:cs="Arial"/>
                <w:color w:val="000000"/>
                <w:sz w:val="20"/>
                <w:szCs w:val="20"/>
              </w:rPr>
            </w:pPr>
            <w:r w:rsidRPr="00596620">
              <w:rPr>
                <w:rFonts w:ascii="Arial" w:hAnsi="Arial" w:cs="Arial"/>
                <w:color w:val="000000"/>
                <w:sz w:val="20"/>
                <w:szCs w:val="20"/>
              </w:rPr>
              <w:t>(1,</w:t>
            </w:r>
            <w:r w:rsidR="00387714" w:rsidRPr="00596620">
              <w:rPr>
                <w:rFonts w:ascii="Arial" w:hAnsi="Arial" w:cs="Arial"/>
                <w:color w:val="000000"/>
                <w:sz w:val="20"/>
                <w:szCs w:val="20"/>
              </w:rPr>
              <w:t>0</w:t>
            </w:r>
            <w:r w:rsidR="007A68C8">
              <w:rPr>
                <w:rFonts w:ascii="Arial" w:hAnsi="Arial" w:cs="Arial"/>
                <w:color w:val="000000"/>
                <w:sz w:val="20"/>
                <w:szCs w:val="20"/>
              </w:rPr>
              <w:t>40,297</w:t>
            </w:r>
            <w:r w:rsidRPr="00596620">
              <w:rPr>
                <w:rFonts w:ascii="Arial" w:hAnsi="Arial" w:cs="Arial"/>
                <w:color w:val="000000"/>
                <w:sz w:val="20"/>
                <w:szCs w:val="20"/>
              </w:rPr>
              <w:t>)</w:t>
            </w:r>
          </w:p>
        </w:tc>
        <w:tc>
          <w:tcPr>
            <w:tcW w:w="1351" w:type="dxa"/>
            <w:tcBorders>
              <w:top w:val="nil"/>
              <w:left w:val="nil"/>
              <w:bottom w:val="single" w:sz="4" w:space="0" w:color="auto"/>
              <w:right w:val="nil"/>
            </w:tcBorders>
            <w:noWrap/>
            <w:vAlign w:val="center"/>
            <w:hideMark/>
          </w:tcPr>
          <w:p w14:paraId="5A38C7A1" w14:textId="759381C6" w:rsidR="00394B08" w:rsidRPr="00596620" w:rsidRDefault="001D54A7" w:rsidP="00394B08">
            <w:pPr>
              <w:jc w:val="right"/>
              <w:rPr>
                <w:rFonts w:ascii="Arial" w:hAnsi="Arial" w:cs="Arial"/>
                <w:color w:val="000000"/>
                <w:sz w:val="20"/>
                <w:szCs w:val="20"/>
              </w:rPr>
            </w:pPr>
            <w:r w:rsidRPr="00596620">
              <w:rPr>
                <w:rFonts w:ascii="Arial" w:hAnsi="Arial" w:cs="Arial"/>
                <w:color w:val="000000"/>
                <w:sz w:val="20"/>
                <w:szCs w:val="20"/>
              </w:rPr>
              <w:t>(1,</w:t>
            </w:r>
            <w:r w:rsidR="007A68C8">
              <w:rPr>
                <w:rFonts w:ascii="Arial" w:hAnsi="Arial" w:cs="Arial"/>
                <w:color w:val="000000"/>
                <w:sz w:val="20"/>
                <w:szCs w:val="20"/>
              </w:rPr>
              <w:t>077,967</w:t>
            </w:r>
            <w:r w:rsidRPr="00596620">
              <w:rPr>
                <w:rFonts w:ascii="Arial" w:hAnsi="Arial" w:cs="Arial"/>
                <w:color w:val="000000"/>
                <w:sz w:val="20"/>
                <w:szCs w:val="20"/>
              </w:rPr>
              <w:t>)</w:t>
            </w:r>
          </w:p>
        </w:tc>
        <w:tc>
          <w:tcPr>
            <w:tcW w:w="1353" w:type="dxa"/>
            <w:tcBorders>
              <w:top w:val="nil"/>
              <w:left w:val="nil"/>
              <w:bottom w:val="single" w:sz="4" w:space="0" w:color="auto"/>
              <w:right w:val="nil"/>
            </w:tcBorders>
            <w:noWrap/>
            <w:vAlign w:val="bottom"/>
            <w:hideMark/>
          </w:tcPr>
          <w:p w14:paraId="4F4F5B48" w14:textId="3A16EDEB" w:rsidR="00394B08" w:rsidRPr="00596620" w:rsidRDefault="001D54A7" w:rsidP="00394B08">
            <w:pPr>
              <w:jc w:val="right"/>
              <w:rPr>
                <w:rFonts w:ascii="Arial" w:hAnsi="Arial" w:cs="Arial"/>
                <w:color w:val="000000"/>
                <w:sz w:val="20"/>
                <w:szCs w:val="20"/>
              </w:rPr>
            </w:pPr>
            <w:r w:rsidRPr="00596620">
              <w:rPr>
                <w:rFonts w:ascii="Arial" w:hAnsi="Arial" w:cs="Arial"/>
                <w:color w:val="000000"/>
                <w:sz w:val="20"/>
                <w:szCs w:val="20"/>
              </w:rPr>
              <w:t>(1,</w:t>
            </w:r>
            <w:r w:rsidR="007A68C8">
              <w:rPr>
                <w:rFonts w:ascii="Arial" w:hAnsi="Arial" w:cs="Arial"/>
                <w:color w:val="000000"/>
                <w:sz w:val="20"/>
                <w:szCs w:val="20"/>
              </w:rPr>
              <w:t>165,307</w:t>
            </w:r>
            <w:r w:rsidRPr="00596620">
              <w:rPr>
                <w:rFonts w:ascii="Arial" w:hAnsi="Arial" w:cs="Arial"/>
                <w:color w:val="000000"/>
                <w:sz w:val="20"/>
                <w:szCs w:val="20"/>
              </w:rPr>
              <w:t>)</w:t>
            </w:r>
          </w:p>
        </w:tc>
      </w:tr>
      <w:tr w:rsidR="00CA78ED" w14:paraId="59EB4104" w14:textId="77777777" w:rsidTr="0010288D">
        <w:trPr>
          <w:trHeight w:val="300"/>
        </w:trPr>
        <w:tc>
          <w:tcPr>
            <w:tcW w:w="3861" w:type="dxa"/>
            <w:tcBorders>
              <w:top w:val="nil"/>
              <w:left w:val="nil"/>
              <w:bottom w:val="nil"/>
              <w:right w:val="nil"/>
            </w:tcBorders>
            <w:shd w:val="clear" w:color="auto" w:fill="FFFFFF"/>
            <w:vAlign w:val="center"/>
            <w:hideMark/>
          </w:tcPr>
          <w:p w14:paraId="358431CB" w14:textId="77777777" w:rsidR="00394B08" w:rsidRPr="00596620" w:rsidRDefault="00394B08" w:rsidP="00394B08">
            <w:pPr>
              <w:rPr>
                <w:rFonts w:ascii="Arial" w:hAnsi="Arial" w:cs="Arial"/>
                <w:b/>
                <w:color w:val="000000"/>
                <w:sz w:val="20"/>
                <w:szCs w:val="20"/>
              </w:rPr>
            </w:pPr>
            <w:r w:rsidRPr="00596620">
              <w:rPr>
                <w:rFonts w:ascii="Arial" w:hAnsi="Arial" w:cs="Arial"/>
                <w:b/>
                <w:color w:val="000000"/>
                <w:sz w:val="20"/>
                <w:szCs w:val="20"/>
              </w:rPr>
              <w:t>Balance c/f at 31 March</w:t>
            </w:r>
          </w:p>
        </w:tc>
        <w:tc>
          <w:tcPr>
            <w:tcW w:w="1351" w:type="dxa"/>
            <w:tcBorders>
              <w:top w:val="single" w:sz="4" w:space="0" w:color="auto"/>
              <w:left w:val="nil"/>
              <w:bottom w:val="double" w:sz="4" w:space="0" w:color="auto"/>
              <w:right w:val="nil"/>
            </w:tcBorders>
            <w:shd w:val="clear" w:color="auto" w:fill="FFFFFF"/>
            <w:noWrap/>
            <w:vAlign w:val="center"/>
            <w:hideMark/>
          </w:tcPr>
          <w:p w14:paraId="2B7701A7" w14:textId="7635B350" w:rsidR="00394B08" w:rsidRPr="00596620" w:rsidRDefault="003516D0" w:rsidP="00394B08">
            <w:pPr>
              <w:jc w:val="right"/>
              <w:rPr>
                <w:rFonts w:ascii="Arial" w:hAnsi="Arial" w:cs="Arial"/>
                <w:b/>
                <w:color w:val="000000"/>
                <w:sz w:val="20"/>
                <w:szCs w:val="20"/>
              </w:rPr>
            </w:pPr>
            <w:r w:rsidRPr="00596620">
              <w:rPr>
                <w:rFonts w:ascii="Arial" w:hAnsi="Arial" w:cs="Arial"/>
                <w:b/>
                <w:color w:val="000000"/>
                <w:sz w:val="20"/>
                <w:szCs w:val="20"/>
              </w:rPr>
              <w:t>(1,</w:t>
            </w:r>
            <w:r w:rsidR="00DF2518" w:rsidRPr="00596620">
              <w:rPr>
                <w:rFonts w:ascii="Arial" w:hAnsi="Arial" w:cs="Arial"/>
                <w:b/>
                <w:color w:val="000000"/>
                <w:sz w:val="20"/>
                <w:szCs w:val="20"/>
              </w:rPr>
              <w:t>0</w:t>
            </w:r>
            <w:r w:rsidR="00A903ED">
              <w:rPr>
                <w:rFonts w:ascii="Arial" w:hAnsi="Arial" w:cs="Arial"/>
                <w:b/>
                <w:color w:val="000000"/>
                <w:sz w:val="20"/>
                <w:szCs w:val="20"/>
              </w:rPr>
              <w:t>19,797</w:t>
            </w:r>
            <w:r w:rsidRPr="00596620">
              <w:rPr>
                <w:rFonts w:ascii="Arial" w:hAnsi="Arial" w:cs="Arial"/>
                <w:b/>
                <w:color w:val="000000"/>
                <w:sz w:val="20"/>
                <w:szCs w:val="20"/>
              </w:rPr>
              <w:t>)</w:t>
            </w:r>
          </w:p>
        </w:tc>
        <w:tc>
          <w:tcPr>
            <w:tcW w:w="1351" w:type="dxa"/>
            <w:tcBorders>
              <w:top w:val="single" w:sz="4" w:space="0" w:color="auto"/>
              <w:left w:val="nil"/>
              <w:bottom w:val="double" w:sz="4" w:space="0" w:color="auto"/>
              <w:right w:val="nil"/>
            </w:tcBorders>
            <w:shd w:val="clear" w:color="auto" w:fill="FFFFFF"/>
            <w:noWrap/>
            <w:vAlign w:val="center"/>
            <w:hideMark/>
          </w:tcPr>
          <w:p w14:paraId="0F873365" w14:textId="1F4A18FC" w:rsidR="00394B08" w:rsidRPr="00596620" w:rsidRDefault="003516D0" w:rsidP="00394B08">
            <w:pPr>
              <w:jc w:val="right"/>
              <w:rPr>
                <w:rFonts w:ascii="Arial" w:hAnsi="Arial" w:cs="Arial"/>
                <w:b/>
                <w:color w:val="000000"/>
                <w:sz w:val="20"/>
                <w:szCs w:val="20"/>
              </w:rPr>
            </w:pPr>
            <w:r w:rsidRPr="00596620">
              <w:rPr>
                <w:rFonts w:ascii="Arial" w:hAnsi="Arial" w:cs="Arial"/>
                <w:b/>
                <w:color w:val="000000"/>
                <w:sz w:val="20"/>
                <w:szCs w:val="20"/>
              </w:rPr>
              <w:t>(1,</w:t>
            </w:r>
            <w:r w:rsidR="00492DB3" w:rsidRPr="00596620">
              <w:rPr>
                <w:rFonts w:ascii="Arial" w:hAnsi="Arial" w:cs="Arial"/>
                <w:b/>
                <w:color w:val="000000"/>
                <w:sz w:val="20"/>
                <w:szCs w:val="20"/>
              </w:rPr>
              <w:t>0</w:t>
            </w:r>
            <w:r w:rsidR="007A68C8">
              <w:rPr>
                <w:rFonts w:ascii="Arial" w:hAnsi="Arial" w:cs="Arial"/>
                <w:b/>
                <w:color w:val="000000"/>
                <w:sz w:val="20"/>
                <w:szCs w:val="20"/>
              </w:rPr>
              <w:t>40,29</w:t>
            </w:r>
            <w:r w:rsidR="00492DB3" w:rsidRPr="00596620">
              <w:rPr>
                <w:rFonts w:ascii="Arial" w:hAnsi="Arial" w:cs="Arial"/>
                <w:b/>
                <w:color w:val="000000"/>
                <w:sz w:val="20"/>
                <w:szCs w:val="20"/>
              </w:rPr>
              <w:t>7</w:t>
            </w:r>
            <w:r w:rsidRPr="00596620">
              <w:rPr>
                <w:rFonts w:ascii="Arial" w:hAnsi="Arial" w:cs="Arial"/>
                <w:b/>
                <w:color w:val="000000"/>
                <w:sz w:val="20"/>
                <w:szCs w:val="20"/>
              </w:rPr>
              <w:t>)</w:t>
            </w:r>
          </w:p>
        </w:tc>
        <w:tc>
          <w:tcPr>
            <w:tcW w:w="1351" w:type="dxa"/>
            <w:tcBorders>
              <w:top w:val="single" w:sz="4" w:space="0" w:color="auto"/>
              <w:left w:val="nil"/>
              <w:bottom w:val="double" w:sz="4" w:space="0" w:color="auto"/>
              <w:right w:val="nil"/>
            </w:tcBorders>
            <w:shd w:val="clear" w:color="auto" w:fill="FFFFFF"/>
            <w:noWrap/>
            <w:vAlign w:val="center"/>
            <w:hideMark/>
          </w:tcPr>
          <w:p w14:paraId="50CB675B" w14:textId="2847AD4A" w:rsidR="00394B08" w:rsidRPr="00596620" w:rsidRDefault="003516D0" w:rsidP="00394B08">
            <w:pPr>
              <w:jc w:val="right"/>
              <w:rPr>
                <w:rFonts w:ascii="Arial" w:hAnsi="Arial" w:cs="Arial"/>
                <w:b/>
                <w:color w:val="000000"/>
                <w:sz w:val="20"/>
                <w:szCs w:val="20"/>
              </w:rPr>
            </w:pPr>
            <w:r w:rsidRPr="00596620">
              <w:rPr>
                <w:rFonts w:ascii="Arial" w:hAnsi="Arial" w:cs="Arial"/>
                <w:b/>
                <w:color w:val="000000"/>
                <w:sz w:val="20"/>
                <w:szCs w:val="20"/>
              </w:rPr>
              <w:t>(1,</w:t>
            </w:r>
            <w:r w:rsidR="007A68C8">
              <w:rPr>
                <w:rFonts w:ascii="Arial" w:hAnsi="Arial" w:cs="Arial"/>
                <w:b/>
                <w:color w:val="000000"/>
                <w:sz w:val="20"/>
                <w:szCs w:val="20"/>
              </w:rPr>
              <w:t>077,96</w:t>
            </w:r>
            <w:r w:rsidR="00492DB3" w:rsidRPr="00596620">
              <w:rPr>
                <w:rFonts w:ascii="Arial" w:hAnsi="Arial" w:cs="Arial"/>
                <w:b/>
                <w:color w:val="000000"/>
                <w:sz w:val="20"/>
                <w:szCs w:val="20"/>
              </w:rPr>
              <w:t>7</w:t>
            </w:r>
            <w:r w:rsidRPr="00596620">
              <w:rPr>
                <w:rFonts w:ascii="Arial" w:hAnsi="Arial" w:cs="Arial"/>
                <w:b/>
                <w:color w:val="000000"/>
                <w:sz w:val="20"/>
                <w:szCs w:val="20"/>
              </w:rPr>
              <w:t>)</w:t>
            </w:r>
          </w:p>
        </w:tc>
        <w:tc>
          <w:tcPr>
            <w:tcW w:w="1351" w:type="dxa"/>
            <w:tcBorders>
              <w:top w:val="single" w:sz="4" w:space="0" w:color="auto"/>
              <w:left w:val="nil"/>
              <w:bottom w:val="double" w:sz="4" w:space="0" w:color="auto"/>
              <w:right w:val="nil"/>
            </w:tcBorders>
            <w:shd w:val="clear" w:color="auto" w:fill="FFFFFF"/>
            <w:noWrap/>
            <w:vAlign w:val="center"/>
            <w:hideMark/>
          </w:tcPr>
          <w:p w14:paraId="2648FAB5" w14:textId="3B3DB2C1" w:rsidR="00394B08" w:rsidRPr="00596620" w:rsidRDefault="003516D0" w:rsidP="00394B08">
            <w:pPr>
              <w:jc w:val="right"/>
              <w:rPr>
                <w:rFonts w:ascii="Arial" w:hAnsi="Arial" w:cs="Arial"/>
                <w:b/>
                <w:color w:val="000000"/>
                <w:sz w:val="20"/>
                <w:szCs w:val="20"/>
              </w:rPr>
            </w:pPr>
            <w:r w:rsidRPr="00596620">
              <w:rPr>
                <w:rFonts w:ascii="Arial" w:hAnsi="Arial" w:cs="Arial"/>
                <w:b/>
                <w:color w:val="000000"/>
                <w:sz w:val="20"/>
                <w:szCs w:val="20"/>
              </w:rPr>
              <w:t>(1,</w:t>
            </w:r>
            <w:r w:rsidR="007A68C8">
              <w:rPr>
                <w:rFonts w:ascii="Arial" w:hAnsi="Arial" w:cs="Arial"/>
                <w:b/>
                <w:color w:val="000000"/>
                <w:sz w:val="20"/>
                <w:szCs w:val="20"/>
              </w:rPr>
              <w:t>165,30</w:t>
            </w:r>
            <w:r w:rsidR="00492DB3" w:rsidRPr="00596620">
              <w:rPr>
                <w:rFonts w:ascii="Arial" w:hAnsi="Arial" w:cs="Arial"/>
                <w:b/>
                <w:color w:val="000000"/>
                <w:sz w:val="20"/>
                <w:szCs w:val="20"/>
              </w:rPr>
              <w:t>7</w:t>
            </w:r>
            <w:r w:rsidRPr="00596620">
              <w:rPr>
                <w:rFonts w:ascii="Arial" w:hAnsi="Arial" w:cs="Arial"/>
                <w:b/>
                <w:color w:val="000000"/>
                <w:sz w:val="20"/>
                <w:szCs w:val="20"/>
              </w:rPr>
              <w:t>)</w:t>
            </w:r>
          </w:p>
        </w:tc>
        <w:tc>
          <w:tcPr>
            <w:tcW w:w="1353" w:type="dxa"/>
            <w:tcBorders>
              <w:top w:val="single" w:sz="4" w:space="0" w:color="auto"/>
              <w:left w:val="nil"/>
              <w:bottom w:val="double" w:sz="4" w:space="0" w:color="auto"/>
              <w:right w:val="nil"/>
            </w:tcBorders>
            <w:shd w:val="clear" w:color="auto" w:fill="FFFFFF"/>
            <w:noWrap/>
            <w:vAlign w:val="center"/>
            <w:hideMark/>
          </w:tcPr>
          <w:p w14:paraId="58C6B3C4" w14:textId="1BB1AE9F" w:rsidR="00394B08" w:rsidRPr="005D0310" w:rsidRDefault="00FF17DA" w:rsidP="00394B08">
            <w:pPr>
              <w:jc w:val="right"/>
              <w:rPr>
                <w:rFonts w:ascii="Arial" w:hAnsi="Arial" w:cs="Arial"/>
                <w:b/>
                <w:color w:val="000000"/>
                <w:sz w:val="20"/>
                <w:szCs w:val="20"/>
              </w:rPr>
            </w:pPr>
            <w:r w:rsidRPr="00596620">
              <w:rPr>
                <w:rFonts w:ascii="Arial" w:hAnsi="Arial" w:cs="Arial"/>
                <w:b/>
                <w:color w:val="000000"/>
                <w:sz w:val="20"/>
                <w:szCs w:val="20"/>
              </w:rPr>
              <w:t>(1,</w:t>
            </w:r>
            <w:r w:rsidR="007A68C8">
              <w:rPr>
                <w:rFonts w:ascii="Arial" w:hAnsi="Arial" w:cs="Arial"/>
                <w:b/>
                <w:color w:val="000000"/>
                <w:sz w:val="20"/>
                <w:szCs w:val="20"/>
              </w:rPr>
              <w:t>330,877</w:t>
            </w:r>
            <w:r w:rsidRPr="00596620">
              <w:rPr>
                <w:rFonts w:ascii="Arial" w:hAnsi="Arial" w:cs="Arial"/>
                <w:b/>
                <w:color w:val="000000"/>
                <w:sz w:val="20"/>
                <w:szCs w:val="20"/>
              </w:rPr>
              <w:t>)</w:t>
            </w:r>
          </w:p>
        </w:tc>
      </w:tr>
    </w:tbl>
    <w:p w14:paraId="196B0CBE" w14:textId="77777777" w:rsidR="00F47A82" w:rsidRDefault="00F47A82">
      <w:pPr>
        <w:rPr>
          <w:rFonts w:ascii="Arial" w:hAnsi="Arial" w:cs="Arial"/>
        </w:rPr>
      </w:pPr>
    </w:p>
    <w:p w14:paraId="7D8901DA" w14:textId="77777777" w:rsidR="00CE37B2" w:rsidRDefault="00CE37B2">
      <w:pPr>
        <w:rPr>
          <w:rFonts w:ascii="Arial" w:hAnsi="Arial" w:cs="Arial"/>
        </w:rPr>
      </w:pPr>
      <w:r>
        <w:rPr>
          <w:rFonts w:ascii="Arial" w:hAnsi="Arial" w:cs="Arial"/>
        </w:rPr>
        <w:br w:type="page"/>
      </w:r>
    </w:p>
    <w:p w14:paraId="4D4C36A5" w14:textId="77777777" w:rsidR="00E754A0" w:rsidRDefault="00E754A0" w:rsidP="009D6BBB">
      <w:pPr>
        <w:jc w:val="center"/>
        <w:rPr>
          <w:rFonts w:ascii="Arial" w:hAnsi="Arial" w:cs="Arial"/>
          <w:b/>
          <w:color w:val="000000"/>
          <w:sz w:val="20"/>
          <w:szCs w:val="20"/>
        </w:rPr>
        <w:sectPr w:rsidR="00E754A0" w:rsidSect="00963B6A">
          <w:headerReference w:type="default" r:id="rId29"/>
          <w:pgSz w:w="11906" w:h="16838" w:code="9"/>
          <w:pgMar w:top="1440" w:right="1106" w:bottom="1440" w:left="680" w:header="709" w:footer="709" w:gutter="0"/>
          <w:pgBorders w:offsetFrom="page">
            <w:bottom w:val="single" w:sz="4" w:space="24" w:color="auto"/>
          </w:pgBorders>
          <w:cols w:space="708"/>
          <w:docGrid w:linePitch="360"/>
        </w:sectPr>
      </w:pPr>
    </w:p>
    <w:p w14:paraId="2992E591" w14:textId="6F8C6C8D" w:rsidR="009D6BBB" w:rsidRPr="005D0310" w:rsidRDefault="009D6BBB" w:rsidP="009D6BBB">
      <w:pPr>
        <w:jc w:val="center"/>
        <w:rPr>
          <w:rFonts w:ascii="Arial" w:hAnsi="Arial" w:cs="Arial"/>
          <w:b/>
          <w:color w:val="000000"/>
          <w:sz w:val="20"/>
          <w:szCs w:val="20"/>
        </w:rPr>
      </w:pPr>
      <w:r w:rsidRPr="005D0310">
        <w:rPr>
          <w:rFonts w:ascii="Arial" w:hAnsi="Arial" w:cs="Arial"/>
          <w:b/>
          <w:color w:val="000000"/>
          <w:sz w:val="20"/>
          <w:szCs w:val="20"/>
        </w:rPr>
        <w:t xml:space="preserve">HOUSING </w:t>
      </w:r>
      <w:r>
        <w:rPr>
          <w:rFonts w:ascii="Arial" w:hAnsi="Arial" w:cs="Arial"/>
          <w:b/>
          <w:color w:val="000000"/>
          <w:sz w:val="20"/>
          <w:szCs w:val="20"/>
        </w:rPr>
        <w:t>REPAIRS SERVICE</w:t>
      </w:r>
      <w:r w:rsidRPr="005D0310">
        <w:rPr>
          <w:rFonts w:ascii="Arial" w:hAnsi="Arial" w:cs="Arial"/>
          <w:b/>
          <w:color w:val="000000"/>
          <w:sz w:val="20"/>
          <w:szCs w:val="20"/>
        </w:rPr>
        <w:t xml:space="preserve"> SUMMARY 2026/27 – 2030/31</w:t>
      </w:r>
    </w:p>
    <w:tbl>
      <w:tblPr>
        <w:tblW w:w="10120" w:type="dxa"/>
        <w:tblLook w:val="04A0" w:firstRow="1" w:lastRow="0" w:firstColumn="1" w:lastColumn="0" w:noHBand="0" w:noVBand="1"/>
      </w:tblPr>
      <w:tblGrid>
        <w:gridCol w:w="3654"/>
        <w:gridCol w:w="1239"/>
        <w:gridCol w:w="1315"/>
        <w:gridCol w:w="1434"/>
        <w:gridCol w:w="1239"/>
        <w:gridCol w:w="1239"/>
      </w:tblGrid>
      <w:tr w:rsidR="00CA78ED" w14:paraId="6F18E1B5" w14:textId="77777777" w:rsidTr="00452A3D">
        <w:trPr>
          <w:trHeight w:val="255"/>
        </w:trPr>
        <w:tc>
          <w:tcPr>
            <w:tcW w:w="3654" w:type="dxa"/>
            <w:tcBorders>
              <w:top w:val="nil"/>
              <w:left w:val="nil"/>
              <w:bottom w:val="nil"/>
              <w:right w:val="nil"/>
            </w:tcBorders>
            <w:noWrap/>
            <w:vAlign w:val="bottom"/>
            <w:hideMark/>
          </w:tcPr>
          <w:p w14:paraId="2A62C939" w14:textId="77777777" w:rsidR="00437F84" w:rsidRDefault="00437F84">
            <w:pPr>
              <w:rPr>
                <w:sz w:val="20"/>
                <w:szCs w:val="20"/>
                <w:lang w:eastAsia="en-GB"/>
              </w:rPr>
            </w:pPr>
          </w:p>
          <w:p w14:paraId="17C60EB4" w14:textId="77777777" w:rsidR="00437F84" w:rsidRDefault="00437F84">
            <w:pPr>
              <w:rPr>
                <w:sz w:val="20"/>
                <w:szCs w:val="20"/>
                <w:lang w:eastAsia="en-GB"/>
              </w:rPr>
            </w:pPr>
          </w:p>
        </w:tc>
        <w:tc>
          <w:tcPr>
            <w:tcW w:w="1239" w:type="dxa"/>
            <w:tcBorders>
              <w:top w:val="nil"/>
              <w:left w:val="nil"/>
              <w:bottom w:val="nil"/>
              <w:right w:val="nil"/>
            </w:tcBorders>
            <w:vAlign w:val="center"/>
            <w:hideMark/>
          </w:tcPr>
          <w:p w14:paraId="242EBBD3" w14:textId="77777777" w:rsidR="00437F84" w:rsidRDefault="00437F84">
            <w:pPr>
              <w:jc w:val="center"/>
              <w:rPr>
                <w:rFonts w:ascii="Arial" w:hAnsi="Arial" w:cs="Arial"/>
                <w:b/>
                <w:bCs/>
                <w:sz w:val="20"/>
                <w:szCs w:val="20"/>
              </w:rPr>
            </w:pPr>
            <w:r>
              <w:rPr>
                <w:rFonts w:ascii="Arial" w:hAnsi="Arial" w:cs="Arial"/>
                <w:b/>
                <w:bCs/>
                <w:sz w:val="20"/>
                <w:szCs w:val="20"/>
              </w:rPr>
              <w:t>2026/27</w:t>
            </w:r>
          </w:p>
        </w:tc>
        <w:tc>
          <w:tcPr>
            <w:tcW w:w="1315" w:type="dxa"/>
            <w:tcBorders>
              <w:top w:val="nil"/>
              <w:left w:val="nil"/>
              <w:bottom w:val="nil"/>
              <w:right w:val="nil"/>
            </w:tcBorders>
            <w:vAlign w:val="center"/>
            <w:hideMark/>
          </w:tcPr>
          <w:p w14:paraId="2FE85C7A" w14:textId="77777777" w:rsidR="00437F84" w:rsidRDefault="00437F84">
            <w:pPr>
              <w:jc w:val="center"/>
              <w:rPr>
                <w:rFonts w:ascii="Arial" w:hAnsi="Arial" w:cs="Arial"/>
                <w:b/>
                <w:bCs/>
                <w:sz w:val="20"/>
                <w:szCs w:val="20"/>
              </w:rPr>
            </w:pPr>
            <w:r>
              <w:rPr>
                <w:rFonts w:ascii="Arial" w:hAnsi="Arial" w:cs="Arial"/>
                <w:b/>
                <w:bCs/>
                <w:sz w:val="20"/>
                <w:szCs w:val="20"/>
              </w:rPr>
              <w:t>2027/28</w:t>
            </w:r>
          </w:p>
        </w:tc>
        <w:tc>
          <w:tcPr>
            <w:tcW w:w="1434" w:type="dxa"/>
            <w:tcBorders>
              <w:top w:val="nil"/>
              <w:left w:val="nil"/>
              <w:bottom w:val="nil"/>
              <w:right w:val="nil"/>
            </w:tcBorders>
            <w:vAlign w:val="center"/>
            <w:hideMark/>
          </w:tcPr>
          <w:p w14:paraId="00309176" w14:textId="77777777" w:rsidR="00437F84" w:rsidRDefault="00437F84">
            <w:pPr>
              <w:jc w:val="center"/>
              <w:rPr>
                <w:rFonts w:ascii="Arial" w:hAnsi="Arial" w:cs="Arial"/>
                <w:b/>
                <w:bCs/>
                <w:sz w:val="20"/>
                <w:szCs w:val="20"/>
              </w:rPr>
            </w:pPr>
            <w:r>
              <w:rPr>
                <w:rFonts w:ascii="Arial" w:hAnsi="Arial" w:cs="Arial"/>
                <w:b/>
                <w:bCs/>
                <w:sz w:val="20"/>
                <w:szCs w:val="20"/>
              </w:rPr>
              <w:t>2028/29</w:t>
            </w:r>
          </w:p>
        </w:tc>
        <w:tc>
          <w:tcPr>
            <w:tcW w:w="1239" w:type="dxa"/>
            <w:tcBorders>
              <w:top w:val="nil"/>
              <w:left w:val="nil"/>
              <w:bottom w:val="nil"/>
              <w:right w:val="nil"/>
            </w:tcBorders>
            <w:vAlign w:val="center"/>
            <w:hideMark/>
          </w:tcPr>
          <w:p w14:paraId="624906E0" w14:textId="77777777" w:rsidR="00437F84" w:rsidRDefault="00437F84">
            <w:pPr>
              <w:jc w:val="center"/>
              <w:rPr>
                <w:rFonts w:ascii="Arial" w:hAnsi="Arial" w:cs="Arial"/>
                <w:b/>
                <w:bCs/>
                <w:sz w:val="20"/>
                <w:szCs w:val="20"/>
              </w:rPr>
            </w:pPr>
            <w:r>
              <w:rPr>
                <w:rFonts w:ascii="Arial" w:hAnsi="Arial" w:cs="Arial"/>
                <w:b/>
                <w:bCs/>
                <w:sz w:val="20"/>
                <w:szCs w:val="20"/>
              </w:rPr>
              <w:t>2029/30</w:t>
            </w:r>
          </w:p>
        </w:tc>
        <w:tc>
          <w:tcPr>
            <w:tcW w:w="1239" w:type="dxa"/>
            <w:tcBorders>
              <w:top w:val="nil"/>
              <w:left w:val="nil"/>
              <w:bottom w:val="nil"/>
              <w:right w:val="nil"/>
            </w:tcBorders>
            <w:vAlign w:val="center"/>
            <w:hideMark/>
          </w:tcPr>
          <w:p w14:paraId="2699A342" w14:textId="77777777" w:rsidR="00437F84" w:rsidRDefault="00437F84">
            <w:pPr>
              <w:jc w:val="center"/>
              <w:rPr>
                <w:rFonts w:ascii="Arial" w:hAnsi="Arial" w:cs="Arial"/>
                <w:b/>
                <w:bCs/>
                <w:sz w:val="20"/>
                <w:szCs w:val="20"/>
              </w:rPr>
            </w:pPr>
            <w:r>
              <w:rPr>
                <w:rFonts w:ascii="Arial" w:hAnsi="Arial" w:cs="Arial"/>
                <w:b/>
                <w:bCs/>
                <w:sz w:val="20"/>
                <w:szCs w:val="20"/>
              </w:rPr>
              <w:t>2030/31</w:t>
            </w:r>
          </w:p>
        </w:tc>
      </w:tr>
      <w:tr w:rsidR="00CA78ED" w14:paraId="0FD1C512" w14:textId="77777777" w:rsidTr="00452A3D">
        <w:trPr>
          <w:trHeight w:val="255"/>
        </w:trPr>
        <w:tc>
          <w:tcPr>
            <w:tcW w:w="3654" w:type="dxa"/>
            <w:tcBorders>
              <w:top w:val="nil"/>
              <w:left w:val="nil"/>
              <w:bottom w:val="nil"/>
              <w:right w:val="nil"/>
            </w:tcBorders>
            <w:noWrap/>
            <w:vAlign w:val="bottom"/>
            <w:hideMark/>
          </w:tcPr>
          <w:p w14:paraId="2897C894" w14:textId="77777777" w:rsidR="00437F84" w:rsidRDefault="00437F84">
            <w:pPr>
              <w:jc w:val="center"/>
              <w:rPr>
                <w:rFonts w:ascii="Arial" w:hAnsi="Arial" w:cs="Arial"/>
                <w:b/>
                <w:bCs/>
                <w:sz w:val="20"/>
                <w:szCs w:val="20"/>
              </w:rPr>
            </w:pPr>
          </w:p>
        </w:tc>
        <w:tc>
          <w:tcPr>
            <w:tcW w:w="1239" w:type="dxa"/>
            <w:tcBorders>
              <w:top w:val="nil"/>
              <w:left w:val="nil"/>
              <w:bottom w:val="nil"/>
              <w:right w:val="nil"/>
            </w:tcBorders>
            <w:vAlign w:val="center"/>
            <w:hideMark/>
          </w:tcPr>
          <w:p w14:paraId="61F697ED" w14:textId="77777777" w:rsidR="00437F84" w:rsidRDefault="00437F84">
            <w:pPr>
              <w:jc w:val="center"/>
              <w:rPr>
                <w:rFonts w:ascii="Arial" w:hAnsi="Arial" w:cs="Arial"/>
                <w:b/>
                <w:bCs/>
                <w:sz w:val="20"/>
                <w:szCs w:val="20"/>
              </w:rPr>
            </w:pPr>
            <w:r>
              <w:rPr>
                <w:rFonts w:ascii="Arial" w:hAnsi="Arial" w:cs="Arial"/>
                <w:b/>
                <w:bCs/>
                <w:sz w:val="20"/>
                <w:szCs w:val="20"/>
              </w:rPr>
              <w:t>Estimate</w:t>
            </w:r>
          </w:p>
        </w:tc>
        <w:tc>
          <w:tcPr>
            <w:tcW w:w="1315" w:type="dxa"/>
            <w:tcBorders>
              <w:top w:val="nil"/>
              <w:left w:val="nil"/>
              <w:bottom w:val="nil"/>
              <w:right w:val="nil"/>
            </w:tcBorders>
            <w:vAlign w:val="center"/>
            <w:hideMark/>
          </w:tcPr>
          <w:p w14:paraId="4C2F47D9" w14:textId="77777777" w:rsidR="00437F84" w:rsidRDefault="00437F84">
            <w:pPr>
              <w:jc w:val="center"/>
              <w:rPr>
                <w:rFonts w:ascii="Arial" w:hAnsi="Arial" w:cs="Arial"/>
                <w:b/>
                <w:bCs/>
                <w:sz w:val="20"/>
                <w:szCs w:val="20"/>
              </w:rPr>
            </w:pPr>
            <w:r>
              <w:rPr>
                <w:rFonts w:ascii="Arial" w:hAnsi="Arial" w:cs="Arial"/>
                <w:b/>
                <w:bCs/>
                <w:sz w:val="20"/>
                <w:szCs w:val="20"/>
              </w:rPr>
              <w:t>Estimate</w:t>
            </w:r>
          </w:p>
        </w:tc>
        <w:tc>
          <w:tcPr>
            <w:tcW w:w="1434" w:type="dxa"/>
            <w:tcBorders>
              <w:top w:val="nil"/>
              <w:left w:val="nil"/>
              <w:bottom w:val="nil"/>
              <w:right w:val="nil"/>
            </w:tcBorders>
            <w:vAlign w:val="center"/>
            <w:hideMark/>
          </w:tcPr>
          <w:p w14:paraId="4CE4271F" w14:textId="77777777" w:rsidR="00437F84" w:rsidRDefault="00437F84">
            <w:pPr>
              <w:jc w:val="center"/>
              <w:rPr>
                <w:rFonts w:ascii="Arial" w:hAnsi="Arial" w:cs="Arial"/>
                <w:b/>
                <w:bCs/>
                <w:sz w:val="20"/>
                <w:szCs w:val="20"/>
              </w:rPr>
            </w:pPr>
            <w:r>
              <w:rPr>
                <w:rFonts w:ascii="Arial" w:hAnsi="Arial" w:cs="Arial"/>
                <w:b/>
                <w:bCs/>
                <w:sz w:val="20"/>
                <w:szCs w:val="20"/>
              </w:rPr>
              <w:t>Estimate</w:t>
            </w:r>
          </w:p>
        </w:tc>
        <w:tc>
          <w:tcPr>
            <w:tcW w:w="1239" w:type="dxa"/>
            <w:tcBorders>
              <w:top w:val="nil"/>
              <w:left w:val="nil"/>
              <w:bottom w:val="nil"/>
              <w:right w:val="nil"/>
            </w:tcBorders>
            <w:vAlign w:val="center"/>
            <w:hideMark/>
          </w:tcPr>
          <w:p w14:paraId="67BDC18D" w14:textId="77777777" w:rsidR="00437F84" w:rsidRDefault="00437F84">
            <w:pPr>
              <w:jc w:val="center"/>
              <w:rPr>
                <w:rFonts w:ascii="Arial" w:hAnsi="Arial" w:cs="Arial"/>
                <w:b/>
                <w:bCs/>
                <w:sz w:val="20"/>
                <w:szCs w:val="20"/>
              </w:rPr>
            </w:pPr>
            <w:r>
              <w:rPr>
                <w:rFonts w:ascii="Arial" w:hAnsi="Arial" w:cs="Arial"/>
                <w:b/>
                <w:bCs/>
                <w:sz w:val="20"/>
                <w:szCs w:val="20"/>
              </w:rPr>
              <w:t>Estimate</w:t>
            </w:r>
          </w:p>
        </w:tc>
        <w:tc>
          <w:tcPr>
            <w:tcW w:w="1239" w:type="dxa"/>
            <w:tcBorders>
              <w:top w:val="nil"/>
              <w:left w:val="nil"/>
              <w:bottom w:val="nil"/>
              <w:right w:val="nil"/>
            </w:tcBorders>
            <w:vAlign w:val="center"/>
            <w:hideMark/>
          </w:tcPr>
          <w:p w14:paraId="75B730A3" w14:textId="77777777" w:rsidR="00437F84" w:rsidRDefault="00437F84">
            <w:pPr>
              <w:jc w:val="center"/>
              <w:rPr>
                <w:rFonts w:ascii="Arial" w:hAnsi="Arial" w:cs="Arial"/>
                <w:b/>
                <w:bCs/>
                <w:sz w:val="20"/>
                <w:szCs w:val="20"/>
              </w:rPr>
            </w:pPr>
            <w:r>
              <w:rPr>
                <w:rFonts w:ascii="Arial" w:hAnsi="Arial" w:cs="Arial"/>
                <w:b/>
                <w:bCs/>
                <w:sz w:val="20"/>
                <w:szCs w:val="20"/>
              </w:rPr>
              <w:t>Estimate</w:t>
            </w:r>
          </w:p>
        </w:tc>
      </w:tr>
      <w:tr w:rsidR="00CA78ED" w14:paraId="7DCC6A6C" w14:textId="77777777" w:rsidTr="00452A3D">
        <w:trPr>
          <w:trHeight w:val="255"/>
        </w:trPr>
        <w:tc>
          <w:tcPr>
            <w:tcW w:w="3654" w:type="dxa"/>
            <w:tcBorders>
              <w:top w:val="nil"/>
              <w:left w:val="nil"/>
              <w:bottom w:val="nil"/>
              <w:right w:val="nil"/>
            </w:tcBorders>
            <w:noWrap/>
            <w:vAlign w:val="bottom"/>
            <w:hideMark/>
          </w:tcPr>
          <w:p w14:paraId="7D81EDB8" w14:textId="77777777" w:rsidR="00437F84" w:rsidRDefault="00437F84">
            <w:pPr>
              <w:jc w:val="center"/>
              <w:rPr>
                <w:rFonts w:ascii="Arial" w:hAnsi="Arial" w:cs="Arial"/>
                <w:b/>
                <w:bCs/>
                <w:sz w:val="20"/>
                <w:szCs w:val="20"/>
              </w:rPr>
            </w:pPr>
          </w:p>
        </w:tc>
        <w:tc>
          <w:tcPr>
            <w:tcW w:w="1239" w:type="dxa"/>
            <w:tcBorders>
              <w:top w:val="nil"/>
              <w:left w:val="nil"/>
              <w:bottom w:val="nil"/>
              <w:right w:val="nil"/>
            </w:tcBorders>
            <w:noWrap/>
            <w:vAlign w:val="bottom"/>
            <w:hideMark/>
          </w:tcPr>
          <w:p w14:paraId="7C89B628" w14:textId="77777777" w:rsidR="00437F84" w:rsidRDefault="00437F84">
            <w:pPr>
              <w:jc w:val="center"/>
              <w:rPr>
                <w:rFonts w:ascii="Arial" w:hAnsi="Arial" w:cs="Arial"/>
                <w:b/>
                <w:bCs/>
                <w:sz w:val="20"/>
                <w:szCs w:val="20"/>
              </w:rPr>
            </w:pPr>
            <w:r>
              <w:rPr>
                <w:rFonts w:ascii="Arial" w:hAnsi="Arial" w:cs="Arial"/>
                <w:b/>
                <w:bCs/>
                <w:sz w:val="20"/>
                <w:szCs w:val="20"/>
              </w:rPr>
              <w:t>£</w:t>
            </w:r>
          </w:p>
        </w:tc>
        <w:tc>
          <w:tcPr>
            <w:tcW w:w="1315" w:type="dxa"/>
            <w:tcBorders>
              <w:top w:val="nil"/>
              <w:left w:val="nil"/>
              <w:bottom w:val="nil"/>
              <w:right w:val="nil"/>
            </w:tcBorders>
            <w:noWrap/>
            <w:vAlign w:val="bottom"/>
            <w:hideMark/>
          </w:tcPr>
          <w:p w14:paraId="4A1E28B9" w14:textId="77777777" w:rsidR="00437F84" w:rsidRDefault="00437F84">
            <w:pPr>
              <w:jc w:val="center"/>
              <w:rPr>
                <w:rFonts w:ascii="Arial" w:hAnsi="Arial" w:cs="Arial"/>
                <w:b/>
                <w:bCs/>
                <w:sz w:val="20"/>
                <w:szCs w:val="20"/>
              </w:rPr>
            </w:pPr>
            <w:r>
              <w:rPr>
                <w:rFonts w:ascii="Arial" w:hAnsi="Arial" w:cs="Arial"/>
                <w:b/>
                <w:bCs/>
                <w:sz w:val="20"/>
                <w:szCs w:val="20"/>
              </w:rPr>
              <w:t>£</w:t>
            </w:r>
          </w:p>
        </w:tc>
        <w:tc>
          <w:tcPr>
            <w:tcW w:w="1434" w:type="dxa"/>
            <w:tcBorders>
              <w:top w:val="nil"/>
              <w:left w:val="nil"/>
              <w:bottom w:val="nil"/>
              <w:right w:val="nil"/>
            </w:tcBorders>
            <w:noWrap/>
            <w:vAlign w:val="bottom"/>
            <w:hideMark/>
          </w:tcPr>
          <w:p w14:paraId="020D155B" w14:textId="77777777" w:rsidR="00437F84" w:rsidRDefault="00437F84">
            <w:pPr>
              <w:jc w:val="center"/>
              <w:rPr>
                <w:rFonts w:ascii="Arial" w:hAnsi="Arial" w:cs="Arial"/>
                <w:b/>
                <w:bCs/>
                <w:sz w:val="20"/>
                <w:szCs w:val="20"/>
              </w:rPr>
            </w:pPr>
            <w:r>
              <w:rPr>
                <w:rFonts w:ascii="Arial" w:hAnsi="Arial" w:cs="Arial"/>
                <w:b/>
                <w:bCs/>
                <w:sz w:val="20"/>
                <w:szCs w:val="20"/>
              </w:rPr>
              <w:t>£</w:t>
            </w:r>
          </w:p>
        </w:tc>
        <w:tc>
          <w:tcPr>
            <w:tcW w:w="1239" w:type="dxa"/>
            <w:tcBorders>
              <w:top w:val="nil"/>
              <w:left w:val="nil"/>
              <w:bottom w:val="nil"/>
              <w:right w:val="nil"/>
            </w:tcBorders>
            <w:noWrap/>
            <w:vAlign w:val="bottom"/>
            <w:hideMark/>
          </w:tcPr>
          <w:p w14:paraId="4AF8F6DC" w14:textId="77777777" w:rsidR="00437F84" w:rsidRDefault="00437F84">
            <w:pPr>
              <w:jc w:val="center"/>
              <w:rPr>
                <w:rFonts w:ascii="Arial" w:hAnsi="Arial" w:cs="Arial"/>
                <w:b/>
                <w:bCs/>
                <w:sz w:val="20"/>
                <w:szCs w:val="20"/>
              </w:rPr>
            </w:pPr>
            <w:r>
              <w:rPr>
                <w:rFonts w:ascii="Arial" w:hAnsi="Arial" w:cs="Arial"/>
                <w:b/>
                <w:bCs/>
                <w:sz w:val="20"/>
                <w:szCs w:val="20"/>
              </w:rPr>
              <w:t>£</w:t>
            </w:r>
          </w:p>
        </w:tc>
        <w:tc>
          <w:tcPr>
            <w:tcW w:w="1239" w:type="dxa"/>
            <w:tcBorders>
              <w:top w:val="nil"/>
              <w:left w:val="nil"/>
              <w:bottom w:val="nil"/>
              <w:right w:val="nil"/>
            </w:tcBorders>
            <w:noWrap/>
            <w:vAlign w:val="bottom"/>
            <w:hideMark/>
          </w:tcPr>
          <w:p w14:paraId="4C23359B" w14:textId="77777777" w:rsidR="00437F84" w:rsidRDefault="00437F84">
            <w:pPr>
              <w:jc w:val="center"/>
              <w:rPr>
                <w:rFonts w:ascii="Arial" w:hAnsi="Arial" w:cs="Arial"/>
                <w:b/>
                <w:bCs/>
                <w:sz w:val="20"/>
                <w:szCs w:val="20"/>
              </w:rPr>
            </w:pPr>
            <w:r>
              <w:rPr>
                <w:rFonts w:ascii="Arial" w:hAnsi="Arial" w:cs="Arial"/>
                <w:b/>
                <w:bCs/>
                <w:sz w:val="20"/>
                <w:szCs w:val="20"/>
              </w:rPr>
              <w:t>£</w:t>
            </w:r>
          </w:p>
        </w:tc>
      </w:tr>
      <w:tr w:rsidR="00CA78ED" w14:paraId="392A3F7F" w14:textId="77777777" w:rsidTr="00452A3D">
        <w:trPr>
          <w:trHeight w:val="255"/>
        </w:trPr>
        <w:tc>
          <w:tcPr>
            <w:tcW w:w="3654" w:type="dxa"/>
            <w:tcBorders>
              <w:top w:val="nil"/>
              <w:left w:val="nil"/>
              <w:bottom w:val="nil"/>
              <w:right w:val="nil"/>
            </w:tcBorders>
            <w:noWrap/>
            <w:vAlign w:val="bottom"/>
            <w:hideMark/>
          </w:tcPr>
          <w:p w14:paraId="261BBFC0" w14:textId="77777777" w:rsidR="00437F84" w:rsidRDefault="00437F84">
            <w:pPr>
              <w:rPr>
                <w:rFonts w:ascii="Arial" w:hAnsi="Arial" w:cs="Arial"/>
                <w:b/>
                <w:bCs/>
                <w:sz w:val="20"/>
                <w:szCs w:val="20"/>
                <w:u w:val="single"/>
              </w:rPr>
            </w:pPr>
            <w:r>
              <w:rPr>
                <w:rFonts w:ascii="Arial" w:hAnsi="Arial" w:cs="Arial"/>
                <w:b/>
                <w:bCs/>
                <w:sz w:val="20"/>
                <w:szCs w:val="20"/>
                <w:u w:val="single"/>
              </w:rPr>
              <w:t>Expenditure</w:t>
            </w:r>
          </w:p>
        </w:tc>
        <w:tc>
          <w:tcPr>
            <w:tcW w:w="1239" w:type="dxa"/>
            <w:tcBorders>
              <w:top w:val="nil"/>
              <w:left w:val="nil"/>
              <w:bottom w:val="nil"/>
              <w:right w:val="nil"/>
            </w:tcBorders>
            <w:noWrap/>
            <w:vAlign w:val="bottom"/>
            <w:hideMark/>
          </w:tcPr>
          <w:p w14:paraId="1197EED0" w14:textId="77777777" w:rsidR="00437F84" w:rsidRDefault="00437F84">
            <w:pPr>
              <w:rPr>
                <w:rFonts w:ascii="Arial" w:hAnsi="Arial" w:cs="Arial"/>
                <w:b/>
                <w:bCs/>
                <w:sz w:val="20"/>
                <w:szCs w:val="20"/>
                <w:u w:val="single"/>
              </w:rPr>
            </w:pPr>
          </w:p>
        </w:tc>
        <w:tc>
          <w:tcPr>
            <w:tcW w:w="1315" w:type="dxa"/>
            <w:tcBorders>
              <w:top w:val="nil"/>
              <w:left w:val="nil"/>
              <w:bottom w:val="nil"/>
              <w:right w:val="nil"/>
            </w:tcBorders>
            <w:noWrap/>
            <w:vAlign w:val="bottom"/>
            <w:hideMark/>
          </w:tcPr>
          <w:p w14:paraId="0CB14EAC" w14:textId="77777777" w:rsidR="00437F84" w:rsidRDefault="00437F84">
            <w:pPr>
              <w:jc w:val="center"/>
              <w:rPr>
                <w:sz w:val="20"/>
                <w:szCs w:val="20"/>
              </w:rPr>
            </w:pPr>
          </w:p>
        </w:tc>
        <w:tc>
          <w:tcPr>
            <w:tcW w:w="1434" w:type="dxa"/>
            <w:tcBorders>
              <w:top w:val="nil"/>
              <w:left w:val="nil"/>
              <w:bottom w:val="nil"/>
              <w:right w:val="nil"/>
            </w:tcBorders>
            <w:noWrap/>
            <w:vAlign w:val="bottom"/>
            <w:hideMark/>
          </w:tcPr>
          <w:p w14:paraId="0923DD4D" w14:textId="77777777" w:rsidR="00437F84" w:rsidRDefault="00437F84">
            <w:pPr>
              <w:jc w:val="center"/>
              <w:rPr>
                <w:sz w:val="20"/>
                <w:szCs w:val="20"/>
              </w:rPr>
            </w:pPr>
          </w:p>
        </w:tc>
        <w:tc>
          <w:tcPr>
            <w:tcW w:w="1239" w:type="dxa"/>
            <w:tcBorders>
              <w:top w:val="nil"/>
              <w:left w:val="nil"/>
              <w:bottom w:val="nil"/>
              <w:right w:val="nil"/>
            </w:tcBorders>
            <w:noWrap/>
            <w:vAlign w:val="bottom"/>
            <w:hideMark/>
          </w:tcPr>
          <w:p w14:paraId="3FED8B05" w14:textId="77777777" w:rsidR="00437F84" w:rsidRDefault="00437F84">
            <w:pPr>
              <w:jc w:val="center"/>
              <w:rPr>
                <w:sz w:val="20"/>
                <w:szCs w:val="20"/>
              </w:rPr>
            </w:pPr>
          </w:p>
        </w:tc>
        <w:tc>
          <w:tcPr>
            <w:tcW w:w="1239" w:type="dxa"/>
            <w:tcBorders>
              <w:top w:val="nil"/>
              <w:left w:val="nil"/>
              <w:bottom w:val="nil"/>
              <w:right w:val="nil"/>
            </w:tcBorders>
            <w:noWrap/>
            <w:vAlign w:val="bottom"/>
            <w:hideMark/>
          </w:tcPr>
          <w:p w14:paraId="16FB1390" w14:textId="77777777" w:rsidR="00437F84" w:rsidRDefault="00437F84">
            <w:pPr>
              <w:jc w:val="center"/>
              <w:rPr>
                <w:sz w:val="20"/>
                <w:szCs w:val="20"/>
              </w:rPr>
            </w:pPr>
          </w:p>
        </w:tc>
      </w:tr>
      <w:tr w:rsidR="00CA78ED" w14:paraId="307DFBD4" w14:textId="77777777" w:rsidTr="00452A3D">
        <w:trPr>
          <w:trHeight w:val="255"/>
        </w:trPr>
        <w:tc>
          <w:tcPr>
            <w:tcW w:w="3654" w:type="dxa"/>
            <w:tcBorders>
              <w:top w:val="nil"/>
              <w:left w:val="nil"/>
              <w:bottom w:val="nil"/>
              <w:right w:val="nil"/>
            </w:tcBorders>
            <w:noWrap/>
            <w:vAlign w:val="bottom"/>
            <w:hideMark/>
          </w:tcPr>
          <w:p w14:paraId="24D2D038" w14:textId="77777777" w:rsidR="00437F84" w:rsidRDefault="00437F84">
            <w:pPr>
              <w:rPr>
                <w:rFonts w:ascii="Arial" w:hAnsi="Arial" w:cs="Arial"/>
                <w:sz w:val="20"/>
                <w:szCs w:val="20"/>
              </w:rPr>
            </w:pPr>
            <w:r>
              <w:rPr>
                <w:rFonts w:ascii="Arial" w:hAnsi="Arial" w:cs="Arial"/>
                <w:sz w:val="20"/>
                <w:szCs w:val="20"/>
              </w:rPr>
              <w:t>Employees</w:t>
            </w:r>
          </w:p>
        </w:tc>
        <w:tc>
          <w:tcPr>
            <w:tcW w:w="1239" w:type="dxa"/>
            <w:tcBorders>
              <w:top w:val="nil"/>
              <w:left w:val="nil"/>
              <w:bottom w:val="nil"/>
              <w:right w:val="nil"/>
            </w:tcBorders>
            <w:noWrap/>
            <w:vAlign w:val="bottom"/>
            <w:hideMark/>
          </w:tcPr>
          <w:p w14:paraId="468AA918" w14:textId="77777777" w:rsidR="00437F84" w:rsidRDefault="00437F84">
            <w:pPr>
              <w:jc w:val="right"/>
              <w:rPr>
                <w:rFonts w:ascii="Arial" w:hAnsi="Arial" w:cs="Arial"/>
                <w:sz w:val="20"/>
                <w:szCs w:val="20"/>
              </w:rPr>
            </w:pPr>
            <w:r>
              <w:rPr>
                <w:rFonts w:ascii="Arial" w:hAnsi="Arial" w:cs="Arial"/>
                <w:sz w:val="20"/>
                <w:szCs w:val="20"/>
              </w:rPr>
              <w:t>4,351,580</w:t>
            </w:r>
          </w:p>
        </w:tc>
        <w:tc>
          <w:tcPr>
            <w:tcW w:w="1315" w:type="dxa"/>
            <w:tcBorders>
              <w:top w:val="nil"/>
              <w:left w:val="nil"/>
              <w:bottom w:val="nil"/>
              <w:right w:val="nil"/>
            </w:tcBorders>
            <w:noWrap/>
            <w:vAlign w:val="bottom"/>
            <w:hideMark/>
          </w:tcPr>
          <w:p w14:paraId="5085D2C3" w14:textId="77777777" w:rsidR="00437F84" w:rsidRDefault="00437F84">
            <w:pPr>
              <w:jc w:val="right"/>
              <w:rPr>
                <w:rFonts w:ascii="Arial" w:hAnsi="Arial" w:cs="Arial"/>
                <w:sz w:val="20"/>
                <w:szCs w:val="20"/>
              </w:rPr>
            </w:pPr>
            <w:r>
              <w:rPr>
                <w:rFonts w:ascii="Arial" w:hAnsi="Arial" w:cs="Arial"/>
                <w:sz w:val="20"/>
                <w:szCs w:val="20"/>
              </w:rPr>
              <w:t>4,438,640</w:t>
            </w:r>
          </w:p>
        </w:tc>
        <w:tc>
          <w:tcPr>
            <w:tcW w:w="1434" w:type="dxa"/>
            <w:tcBorders>
              <w:top w:val="nil"/>
              <w:left w:val="nil"/>
              <w:bottom w:val="nil"/>
              <w:right w:val="nil"/>
            </w:tcBorders>
            <w:noWrap/>
            <w:vAlign w:val="bottom"/>
            <w:hideMark/>
          </w:tcPr>
          <w:p w14:paraId="38F362E6" w14:textId="77777777" w:rsidR="00437F84" w:rsidRDefault="00437F84">
            <w:pPr>
              <w:jc w:val="right"/>
              <w:rPr>
                <w:rFonts w:ascii="Arial" w:hAnsi="Arial" w:cs="Arial"/>
                <w:sz w:val="20"/>
                <w:szCs w:val="20"/>
              </w:rPr>
            </w:pPr>
            <w:r>
              <w:rPr>
                <w:rFonts w:ascii="Arial" w:hAnsi="Arial" w:cs="Arial"/>
                <w:sz w:val="20"/>
                <w:szCs w:val="20"/>
              </w:rPr>
              <w:t>4,541,010</w:t>
            </w:r>
          </w:p>
        </w:tc>
        <w:tc>
          <w:tcPr>
            <w:tcW w:w="1239" w:type="dxa"/>
            <w:tcBorders>
              <w:top w:val="nil"/>
              <w:left w:val="nil"/>
              <w:bottom w:val="nil"/>
              <w:right w:val="nil"/>
            </w:tcBorders>
            <w:noWrap/>
            <w:vAlign w:val="bottom"/>
            <w:hideMark/>
          </w:tcPr>
          <w:p w14:paraId="6C25E625" w14:textId="77777777" w:rsidR="00437F84" w:rsidRDefault="00437F84">
            <w:pPr>
              <w:jc w:val="right"/>
              <w:rPr>
                <w:rFonts w:ascii="Arial" w:hAnsi="Arial" w:cs="Arial"/>
                <w:sz w:val="20"/>
                <w:szCs w:val="20"/>
              </w:rPr>
            </w:pPr>
            <w:r>
              <w:rPr>
                <w:rFonts w:ascii="Arial" w:hAnsi="Arial" w:cs="Arial"/>
                <w:sz w:val="20"/>
                <w:szCs w:val="20"/>
              </w:rPr>
              <w:t>4,615,200</w:t>
            </w:r>
          </w:p>
        </w:tc>
        <w:tc>
          <w:tcPr>
            <w:tcW w:w="1239" w:type="dxa"/>
            <w:tcBorders>
              <w:top w:val="nil"/>
              <w:left w:val="nil"/>
              <w:bottom w:val="nil"/>
              <w:right w:val="nil"/>
            </w:tcBorders>
            <w:noWrap/>
            <w:vAlign w:val="bottom"/>
            <w:hideMark/>
          </w:tcPr>
          <w:p w14:paraId="04FB1C6C" w14:textId="77777777" w:rsidR="00437F84" w:rsidRDefault="00437F84">
            <w:pPr>
              <w:jc w:val="right"/>
              <w:rPr>
                <w:rFonts w:ascii="Arial" w:hAnsi="Arial" w:cs="Arial"/>
                <w:sz w:val="20"/>
                <w:szCs w:val="20"/>
              </w:rPr>
            </w:pPr>
            <w:r>
              <w:rPr>
                <w:rFonts w:ascii="Arial" w:hAnsi="Arial" w:cs="Arial"/>
                <w:sz w:val="20"/>
                <w:szCs w:val="20"/>
              </w:rPr>
              <w:t>4,705,800</w:t>
            </w:r>
          </w:p>
        </w:tc>
      </w:tr>
      <w:tr w:rsidR="00CA78ED" w14:paraId="62507B49" w14:textId="77777777" w:rsidTr="00452A3D">
        <w:trPr>
          <w:trHeight w:val="255"/>
        </w:trPr>
        <w:tc>
          <w:tcPr>
            <w:tcW w:w="3654" w:type="dxa"/>
            <w:tcBorders>
              <w:top w:val="nil"/>
              <w:left w:val="nil"/>
              <w:bottom w:val="nil"/>
              <w:right w:val="nil"/>
            </w:tcBorders>
            <w:noWrap/>
            <w:vAlign w:val="bottom"/>
            <w:hideMark/>
          </w:tcPr>
          <w:p w14:paraId="6C32CE60" w14:textId="77777777" w:rsidR="00437F84" w:rsidRDefault="00437F84">
            <w:pPr>
              <w:rPr>
                <w:rFonts w:ascii="Arial" w:hAnsi="Arial" w:cs="Arial"/>
                <w:sz w:val="20"/>
                <w:szCs w:val="20"/>
              </w:rPr>
            </w:pPr>
            <w:r>
              <w:rPr>
                <w:rFonts w:ascii="Arial" w:hAnsi="Arial" w:cs="Arial"/>
                <w:sz w:val="20"/>
                <w:szCs w:val="20"/>
              </w:rPr>
              <w:t>Capital Salary Recharges</w:t>
            </w:r>
          </w:p>
        </w:tc>
        <w:tc>
          <w:tcPr>
            <w:tcW w:w="1239" w:type="dxa"/>
            <w:tcBorders>
              <w:top w:val="nil"/>
              <w:left w:val="nil"/>
              <w:bottom w:val="nil"/>
              <w:right w:val="nil"/>
            </w:tcBorders>
            <w:noWrap/>
            <w:vAlign w:val="bottom"/>
            <w:hideMark/>
          </w:tcPr>
          <w:p w14:paraId="74243B53" w14:textId="77777777" w:rsidR="00437F84" w:rsidRDefault="00437F84">
            <w:pPr>
              <w:jc w:val="right"/>
              <w:rPr>
                <w:rFonts w:ascii="Arial" w:hAnsi="Arial" w:cs="Arial"/>
                <w:sz w:val="20"/>
                <w:szCs w:val="20"/>
              </w:rPr>
            </w:pPr>
            <w:r w:rsidRPr="004504E9">
              <w:rPr>
                <w:rFonts w:ascii="Arial" w:hAnsi="Arial" w:cs="Arial"/>
                <w:sz w:val="20"/>
                <w:szCs w:val="20"/>
              </w:rPr>
              <w:t>(398,680)</w:t>
            </w:r>
          </w:p>
        </w:tc>
        <w:tc>
          <w:tcPr>
            <w:tcW w:w="1315" w:type="dxa"/>
            <w:tcBorders>
              <w:top w:val="nil"/>
              <w:left w:val="nil"/>
              <w:bottom w:val="nil"/>
              <w:right w:val="nil"/>
            </w:tcBorders>
            <w:noWrap/>
            <w:vAlign w:val="bottom"/>
            <w:hideMark/>
          </w:tcPr>
          <w:p w14:paraId="2D04C222" w14:textId="77777777" w:rsidR="00437F84" w:rsidRDefault="00437F84">
            <w:pPr>
              <w:jc w:val="right"/>
              <w:rPr>
                <w:rFonts w:ascii="Arial" w:hAnsi="Arial" w:cs="Arial"/>
                <w:sz w:val="20"/>
                <w:szCs w:val="20"/>
              </w:rPr>
            </w:pPr>
            <w:r w:rsidRPr="004504E9">
              <w:rPr>
                <w:rFonts w:ascii="Arial" w:hAnsi="Arial" w:cs="Arial"/>
                <w:sz w:val="20"/>
                <w:szCs w:val="20"/>
              </w:rPr>
              <w:t>(404,350)</w:t>
            </w:r>
          </w:p>
        </w:tc>
        <w:tc>
          <w:tcPr>
            <w:tcW w:w="1434" w:type="dxa"/>
            <w:tcBorders>
              <w:top w:val="nil"/>
              <w:left w:val="nil"/>
              <w:bottom w:val="nil"/>
              <w:right w:val="nil"/>
            </w:tcBorders>
            <w:noWrap/>
            <w:vAlign w:val="bottom"/>
            <w:hideMark/>
          </w:tcPr>
          <w:p w14:paraId="2A986A3E" w14:textId="77777777" w:rsidR="00437F84" w:rsidRDefault="00437F84">
            <w:pPr>
              <w:jc w:val="right"/>
              <w:rPr>
                <w:rFonts w:ascii="Arial" w:hAnsi="Arial" w:cs="Arial"/>
                <w:sz w:val="20"/>
                <w:szCs w:val="20"/>
              </w:rPr>
            </w:pPr>
            <w:r w:rsidRPr="004504E9">
              <w:rPr>
                <w:rFonts w:ascii="Arial" w:hAnsi="Arial" w:cs="Arial"/>
                <w:sz w:val="20"/>
                <w:szCs w:val="20"/>
              </w:rPr>
              <w:t>(411,550)</w:t>
            </w:r>
          </w:p>
        </w:tc>
        <w:tc>
          <w:tcPr>
            <w:tcW w:w="1239" w:type="dxa"/>
            <w:tcBorders>
              <w:top w:val="nil"/>
              <w:left w:val="nil"/>
              <w:bottom w:val="nil"/>
              <w:right w:val="nil"/>
            </w:tcBorders>
            <w:noWrap/>
            <w:vAlign w:val="bottom"/>
            <w:hideMark/>
          </w:tcPr>
          <w:p w14:paraId="3430A8D6" w14:textId="77777777" w:rsidR="00437F84" w:rsidRDefault="00437F84">
            <w:pPr>
              <w:jc w:val="right"/>
              <w:rPr>
                <w:rFonts w:ascii="Arial" w:hAnsi="Arial" w:cs="Arial"/>
                <w:sz w:val="20"/>
                <w:szCs w:val="20"/>
              </w:rPr>
            </w:pPr>
            <w:r w:rsidRPr="004504E9">
              <w:rPr>
                <w:rFonts w:ascii="Arial" w:hAnsi="Arial" w:cs="Arial"/>
                <w:sz w:val="20"/>
                <w:szCs w:val="20"/>
              </w:rPr>
              <w:t>(419,530)</w:t>
            </w:r>
          </w:p>
        </w:tc>
        <w:tc>
          <w:tcPr>
            <w:tcW w:w="1239" w:type="dxa"/>
            <w:tcBorders>
              <w:top w:val="nil"/>
              <w:left w:val="nil"/>
              <w:bottom w:val="nil"/>
              <w:right w:val="nil"/>
            </w:tcBorders>
            <w:noWrap/>
            <w:vAlign w:val="bottom"/>
            <w:hideMark/>
          </w:tcPr>
          <w:p w14:paraId="49C9EB30" w14:textId="77777777" w:rsidR="00437F84" w:rsidRDefault="00437F84">
            <w:pPr>
              <w:jc w:val="right"/>
              <w:rPr>
                <w:rFonts w:ascii="Arial" w:hAnsi="Arial" w:cs="Arial"/>
                <w:sz w:val="20"/>
                <w:szCs w:val="20"/>
              </w:rPr>
            </w:pPr>
            <w:r w:rsidRPr="004504E9">
              <w:rPr>
                <w:rFonts w:ascii="Arial" w:hAnsi="Arial" w:cs="Arial"/>
                <w:sz w:val="20"/>
                <w:szCs w:val="20"/>
              </w:rPr>
              <w:t>(423,560)</w:t>
            </w:r>
          </w:p>
        </w:tc>
      </w:tr>
      <w:tr w:rsidR="00CA78ED" w14:paraId="2947F78F" w14:textId="77777777" w:rsidTr="00452A3D">
        <w:trPr>
          <w:trHeight w:val="255"/>
        </w:trPr>
        <w:tc>
          <w:tcPr>
            <w:tcW w:w="3654" w:type="dxa"/>
            <w:tcBorders>
              <w:top w:val="nil"/>
              <w:left w:val="nil"/>
              <w:bottom w:val="nil"/>
              <w:right w:val="nil"/>
            </w:tcBorders>
            <w:noWrap/>
            <w:vAlign w:val="bottom"/>
            <w:hideMark/>
          </w:tcPr>
          <w:p w14:paraId="44967A1C" w14:textId="77777777" w:rsidR="00437F84" w:rsidRDefault="00437F84">
            <w:pPr>
              <w:rPr>
                <w:rFonts w:ascii="Arial" w:hAnsi="Arial" w:cs="Arial"/>
                <w:sz w:val="20"/>
                <w:szCs w:val="20"/>
              </w:rPr>
            </w:pPr>
            <w:r>
              <w:rPr>
                <w:rFonts w:ascii="Arial" w:hAnsi="Arial" w:cs="Arial"/>
                <w:sz w:val="20"/>
                <w:szCs w:val="20"/>
              </w:rPr>
              <w:t>Premises</w:t>
            </w:r>
          </w:p>
        </w:tc>
        <w:tc>
          <w:tcPr>
            <w:tcW w:w="1239" w:type="dxa"/>
            <w:tcBorders>
              <w:top w:val="nil"/>
              <w:left w:val="nil"/>
              <w:bottom w:val="nil"/>
              <w:right w:val="nil"/>
            </w:tcBorders>
            <w:noWrap/>
            <w:vAlign w:val="bottom"/>
            <w:hideMark/>
          </w:tcPr>
          <w:p w14:paraId="5BD74ECD" w14:textId="77777777" w:rsidR="00437F84" w:rsidRDefault="00437F84">
            <w:pPr>
              <w:jc w:val="right"/>
              <w:rPr>
                <w:rFonts w:ascii="Arial" w:hAnsi="Arial" w:cs="Arial"/>
                <w:sz w:val="20"/>
                <w:szCs w:val="20"/>
              </w:rPr>
            </w:pPr>
            <w:r>
              <w:rPr>
                <w:rFonts w:ascii="Arial" w:hAnsi="Arial" w:cs="Arial"/>
                <w:sz w:val="20"/>
                <w:szCs w:val="20"/>
              </w:rPr>
              <w:t>206,260</w:t>
            </w:r>
          </w:p>
        </w:tc>
        <w:tc>
          <w:tcPr>
            <w:tcW w:w="1315" w:type="dxa"/>
            <w:tcBorders>
              <w:top w:val="nil"/>
              <w:left w:val="nil"/>
              <w:bottom w:val="nil"/>
              <w:right w:val="nil"/>
            </w:tcBorders>
            <w:noWrap/>
            <w:vAlign w:val="bottom"/>
            <w:hideMark/>
          </w:tcPr>
          <w:p w14:paraId="6DF6E503" w14:textId="77777777" w:rsidR="00437F84" w:rsidRDefault="00437F84">
            <w:pPr>
              <w:jc w:val="right"/>
              <w:rPr>
                <w:rFonts w:ascii="Arial" w:hAnsi="Arial" w:cs="Arial"/>
                <w:sz w:val="20"/>
                <w:szCs w:val="20"/>
              </w:rPr>
            </w:pPr>
            <w:r>
              <w:rPr>
                <w:rFonts w:ascii="Arial" w:hAnsi="Arial" w:cs="Arial"/>
                <w:sz w:val="20"/>
                <w:szCs w:val="20"/>
              </w:rPr>
              <w:t>208,910</w:t>
            </w:r>
          </w:p>
        </w:tc>
        <w:tc>
          <w:tcPr>
            <w:tcW w:w="1434" w:type="dxa"/>
            <w:tcBorders>
              <w:top w:val="nil"/>
              <w:left w:val="nil"/>
              <w:bottom w:val="nil"/>
              <w:right w:val="nil"/>
            </w:tcBorders>
            <w:noWrap/>
            <w:vAlign w:val="bottom"/>
            <w:hideMark/>
          </w:tcPr>
          <w:p w14:paraId="33BC9C6D" w14:textId="77777777" w:rsidR="00437F84" w:rsidRDefault="00437F84">
            <w:pPr>
              <w:jc w:val="right"/>
              <w:rPr>
                <w:rFonts w:ascii="Arial" w:hAnsi="Arial" w:cs="Arial"/>
                <w:sz w:val="20"/>
                <w:szCs w:val="20"/>
              </w:rPr>
            </w:pPr>
            <w:r>
              <w:rPr>
                <w:rFonts w:ascii="Arial" w:hAnsi="Arial" w:cs="Arial"/>
                <w:sz w:val="20"/>
                <w:szCs w:val="20"/>
              </w:rPr>
              <w:t>211,600</w:t>
            </w:r>
          </w:p>
        </w:tc>
        <w:tc>
          <w:tcPr>
            <w:tcW w:w="1239" w:type="dxa"/>
            <w:tcBorders>
              <w:top w:val="nil"/>
              <w:left w:val="nil"/>
              <w:bottom w:val="nil"/>
              <w:right w:val="nil"/>
            </w:tcBorders>
            <w:noWrap/>
            <w:vAlign w:val="bottom"/>
            <w:hideMark/>
          </w:tcPr>
          <w:p w14:paraId="65C9D0A5" w14:textId="77777777" w:rsidR="00437F84" w:rsidRDefault="00437F84">
            <w:pPr>
              <w:jc w:val="right"/>
              <w:rPr>
                <w:rFonts w:ascii="Arial" w:hAnsi="Arial" w:cs="Arial"/>
                <w:sz w:val="20"/>
                <w:szCs w:val="20"/>
              </w:rPr>
            </w:pPr>
            <w:r>
              <w:rPr>
                <w:rFonts w:ascii="Arial" w:hAnsi="Arial" w:cs="Arial"/>
                <w:sz w:val="20"/>
                <w:szCs w:val="20"/>
              </w:rPr>
              <w:t>214,320</w:t>
            </w:r>
          </w:p>
        </w:tc>
        <w:tc>
          <w:tcPr>
            <w:tcW w:w="1239" w:type="dxa"/>
            <w:tcBorders>
              <w:top w:val="nil"/>
              <w:left w:val="nil"/>
              <w:bottom w:val="nil"/>
              <w:right w:val="nil"/>
            </w:tcBorders>
            <w:noWrap/>
            <w:vAlign w:val="bottom"/>
            <w:hideMark/>
          </w:tcPr>
          <w:p w14:paraId="0A563BFC" w14:textId="77777777" w:rsidR="00437F84" w:rsidRDefault="00437F84">
            <w:pPr>
              <w:jc w:val="right"/>
              <w:rPr>
                <w:rFonts w:ascii="Arial" w:hAnsi="Arial" w:cs="Arial"/>
                <w:sz w:val="20"/>
                <w:szCs w:val="20"/>
              </w:rPr>
            </w:pPr>
            <w:r>
              <w:rPr>
                <w:rFonts w:ascii="Arial" w:hAnsi="Arial" w:cs="Arial"/>
                <w:sz w:val="20"/>
                <w:szCs w:val="20"/>
              </w:rPr>
              <w:t>217,090</w:t>
            </w:r>
          </w:p>
        </w:tc>
      </w:tr>
      <w:tr w:rsidR="00CA78ED" w14:paraId="0225F5FC" w14:textId="77777777" w:rsidTr="00452A3D">
        <w:trPr>
          <w:trHeight w:val="255"/>
        </w:trPr>
        <w:tc>
          <w:tcPr>
            <w:tcW w:w="3654" w:type="dxa"/>
            <w:tcBorders>
              <w:top w:val="nil"/>
              <w:left w:val="nil"/>
              <w:bottom w:val="nil"/>
              <w:right w:val="nil"/>
            </w:tcBorders>
            <w:noWrap/>
            <w:vAlign w:val="bottom"/>
            <w:hideMark/>
          </w:tcPr>
          <w:p w14:paraId="48F0E797" w14:textId="77777777" w:rsidR="00437F84" w:rsidRDefault="00437F84">
            <w:pPr>
              <w:rPr>
                <w:rFonts w:ascii="Arial" w:hAnsi="Arial" w:cs="Arial"/>
                <w:sz w:val="20"/>
                <w:szCs w:val="20"/>
              </w:rPr>
            </w:pPr>
            <w:r>
              <w:rPr>
                <w:rFonts w:ascii="Arial" w:hAnsi="Arial" w:cs="Arial"/>
                <w:sz w:val="20"/>
                <w:szCs w:val="20"/>
              </w:rPr>
              <w:t>Transport</w:t>
            </w:r>
          </w:p>
        </w:tc>
        <w:tc>
          <w:tcPr>
            <w:tcW w:w="1239" w:type="dxa"/>
            <w:tcBorders>
              <w:top w:val="nil"/>
              <w:left w:val="nil"/>
              <w:bottom w:val="nil"/>
              <w:right w:val="nil"/>
            </w:tcBorders>
            <w:noWrap/>
            <w:vAlign w:val="bottom"/>
            <w:hideMark/>
          </w:tcPr>
          <w:p w14:paraId="5CF16000" w14:textId="77777777" w:rsidR="00437F84" w:rsidRDefault="00437F84">
            <w:pPr>
              <w:jc w:val="right"/>
              <w:rPr>
                <w:rFonts w:ascii="Arial" w:hAnsi="Arial" w:cs="Arial"/>
                <w:sz w:val="20"/>
                <w:szCs w:val="20"/>
              </w:rPr>
            </w:pPr>
            <w:r>
              <w:rPr>
                <w:rFonts w:ascii="Arial" w:hAnsi="Arial" w:cs="Arial"/>
                <w:sz w:val="20"/>
                <w:szCs w:val="20"/>
              </w:rPr>
              <w:t>164,170</w:t>
            </w:r>
          </w:p>
        </w:tc>
        <w:tc>
          <w:tcPr>
            <w:tcW w:w="1315" w:type="dxa"/>
            <w:tcBorders>
              <w:top w:val="nil"/>
              <w:left w:val="nil"/>
              <w:bottom w:val="nil"/>
              <w:right w:val="nil"/>
            </w:tcBorders>
            <w:noWrap/>
            <w:vAlign w:val="bottom"/>
            <w:hideMark/>
          </w:tcPr>
          <w:p w14:paraId="32FCB92A" w14:textId="77777777" w:rsidR="00437F84" w:rsidRDefault="00437F84">
            <w:pPr>
              <w:jc w:val="right"/>
              <w:rPr>
                <w:rFonts w:ascii="Arial" w:hAnsi="Arial" w:cs="Arial"/>
                <w:sz w:val="20"/>
                <w:szCs w:val="20"/>
              </w:rPr>
            </w:pPr>
            <w:r>
              <w:rPr>
                <w:rFonts w:ascii="Arial" w:hAnsi="Arial" w:cs="Arial"/>
                <w:sz w:val="20"/>
                <w:szCs w:val="20"/>
              </w:rPr>
              <w:t>166,450</w:t>
            </w:r>
          </w:p>
        </w:tc>
        <w:tc>
          <w:tcPr>
            <w:tcW w:w="1434" w:type="dxa"/>
            <w:tcBorders>
              <w:top w:val="nil"/>
              <w:left w:val="nil"/>
              <w:bottom w:val="nil"/>
              <w:right w:val="nil"/>
            </w:tcBorders>
            <w:noWrap/>
            <w:vAlign w:val="bottom"/>
            <w:hideMark/>
          </w:tcPr>
          <w:p w14:paraId="24585FF1" w14:textId="77777777" w:rsidR="00437F84" w:rsidRDefault="00437F84">
            <w:pPr>
              <w:jc w:val="right"/>
              <w:rPr>
                <w:rFonts w:ascii="Arial" w:hAnsi="Arial" w:cs="Arial"/>
                <w:sz w:val="20"/>
                <w:szCs w:val="20"/>
              </w:rPr>
            </w:pPr>
            <w:r>
              <w:rPr>
                <w:rFonts w:ascii="Arial" w:hAnsi="Arial" w:cs="Arial"/>
                <w:sz w:val="20"/>
                <w:szCs w:val="20"/>
              </w:rPr>
              <w:t>168,130</w:t>
            </w:r>
          </w:p>
        </w:tc>
        <w:tc>
          <w:tcPr>
            <w:tcW w:w="1239" w:type="dxa"/>
            <w:tcBorders>
              <w:top w:val="nil"/>
              <w:left w:val="nil"/>
              <w:bottom w:val="nil"/>
              <w:right w:val="nil"/>
            </w:tcBorders>
            <w:noWrap/>
            <w:vAlign w:val="bottom"/>
            <w:hideMark/>
          </w:tcPr>
          <w:p w14:paraId="6D6578AA" w14:textId="77777777" w:rsidR="00437F84" w:rsidRDefault="00437F84">
            <w:pPr>
              <w:jc w:val="right"/>
              <w:rPr>
                <w:rFonts w:ascii="Arial" w:hAnsi="Arial" w:cs="Arial"/>
                <w:sz w:val="20"/>
                <w:szCs w:val="20"/>
              </w:rPr>
            </w:pPr>
            <w:r>
              <w:rPr>
                <w:rFonts w:ascii="Arial" w:hAnsi="Arial" w:cs="Arial"/>
                <w:sz w:val="20"/>
                <w:szCs w:val="20"/>
              </w:rPr>
              <w:t>170,500</w:t>
            </w:r>
          </w:p>
        </w:tc>
        <w:tc>
          <w:tcPr>
            <w:tcW w:w="1239" w:type="dxa"/>
            <w:tcBorders>
              <w:top w:val="nil"/>
              <w:left w:val="nil"/>
              <w:bottom w:val="nil"/>
              <w:right w:val="nil"/>
            </w:tcBorders>
            <w:noWrap/>
            <w:vAlign w:val="bottom"/>
            <w:hideMark/>
          </w:tcPr>
          <w:p w14:paraId="68D302F9" w14:textId="77777777" w:rsidR="00437F84" w:rsidRDefault="00437F84">
            <w:pPr>
              <w:jc w:val="right"/>
              <w:rPr>
                <w:rFonts w:ascii="Arial" w:hAnsi="Arial" w:cs="Arial"/>
                <w:sz w:val="20"/>
                <w:szCs w:val="20"/>
              </w:rPr>
            </w:pPr>
            <w:r>
              <w:rPr>
                <w:rFonts w:ascii="Arial" w:hAnsi="Arial" w:cs="Arial"/>
                <w:sz w:val="20"/>
                <w:szCs w:val="20"/>
              </w:rPr>
              <w:t>174,760</w:t>
            </w:r>
          </w:p>
        </w:tc>
      </w:tr>
      <w:tr w:rsidR="00CA78ED" w14:paraId="6110A2FA" w14:textId="77777777" w:rsidTr="00452A3D">
        <w:trPr>
          <w:trHeight w:val="255"/>
        </w:trPr>
        <w:tc>
          <w:tcPr>
            <w:tcW w:w="3654" w:type="dxa"/>
            <w:tcBorders>
              <w:top w:val="nil"/>
              <w:left w:val="nil"/>
              <w:bottom w:val="nil"/>
              <w:right w:val="nil"/>
            </w:tcBorders>
            <w:noWrap/>
            <w:vAlign w:val="bottom"/>
            <w:hideMark/>
          </w:tcPr>
          <w:p w14:paraId="055A6AC4" w14:textId="77777777" w:rsidR="00437F84" w:rsidRDefault="00437F84">
            <w:pPr>
              <w:rPr>
                <w:rFonts w:ascii="Arial" w:hAnsi="Arial" w:cs="Arial"/>
                <w:sz w:val="20"/>
                <w:szCs w:val="20"/>
              </w:rPr>
            </w:pPr>
            <w:r>
              <w:rPr>
                <w:rFonts w:ascii="Arial" w:hAnsi="Arial" w:cs="Arial"/>
                <w:sz w:val="20"/>
                <w:szCs w:val="20"/>
              </w:rPr>
              <w:t>Direct Materials</w:t>
            </w:r>
          </w:p>
        </w:tc>
        <w:tc>
          <w:tcPr>
            <w:tcW w:w="1239" w:type="dxa"/>
            <w:tcBorders>
              <w:top w:val="nil"/>
              <w:left w:val="nil"/>
              <w:bottom w:val="nil"/>
              <w:right w:val="nil"/>
            </w:tcBorders>
            <w:noWrap/>
            <w:vAlign w:val="bottom"/>
            <w:hideMark/>
          </w:tcPr>
          <w:p w14:paraId="78BE86BE" w14:textId="77777777" w:rsidR="00437F84" w:rsidRDefault="00437F84">
            <w:pPr>
              <w:jc w:val="right"/>
              <w:rPr>
                <w:rFonts w:ascii="Arial" w:hAnsi="Arial" w:cs="Arial"/>
                <w:sz w:val="20"/>
                <w:szCs w:val="20"/>
              </w:rPr>
            </w:pPr>
            <w:r>
              <w:rPr>
                <w:rFonts w:ascii="Arial" w:hAnsi="Arial" w:cs="Arial"/>
                <w:sz w:val="20"/>
                <w:szCs w:val="20"/>
              </w:rPr>
              <w:t>1,201,160</w:t>
            </w:r>
          </w:p>
        </w:tc>
        <w:tc>
          <w:tcPr>
            <w:tcW w:w="1315" w:type="dxa"/>
            <w:tcBorders>
              <w:top w:val="nil"/>
              <w:left w:val="nil"/>
              <w:bottom w:val="nil"/>
              <w:right w:val="nil"/>
            </w:tcBorders>
            <w:noWrap/>
            <w:vAlign w:val="bottom"/>
            <w:hideMark/>
          </w:tcPr>
          <w:p w14:paraId="404417EE" w14:textId="77777777" w:rsidR="00437F84" w:rsidRDefault="00437F84">
            <w:pPr>
              <w:jc w:val="right"/>
              <w:rPr>
                <w:rFonts w:ascii="Arial" w:hAnsi="Arial" w:cs="Arial"/>
                <w:sz w:val="20"/>
                <w:szCs w:val="20"/>
              </w:rPr>
            </w:pPr>
            <w:r>
              <w:rPr>
                <w:rFonts w:ascii="Arial" w:hAnsi="Arial" w:cs="Arial"/>
                <w:sz w:val="20"/>
                <w:szCs w:val="20"/>
              </w:rPr>
              <w:t>1,228,030</w:t>
            </w:r>
          </w:p>
        </w:tc>
        <w:tc>
          <w:tcPr>
            <w:tcW w:w="1434" w:type="dxa"/>
            <w:tcBorders>
              <w:top w:val="nil"/>
              <w:left w:val="nil"/>
              <w:bottom w:val="nil"/>
              <w:right w:val="nil"/>
            </w:tcBorders>
            <w:noWrap/>
            <w:vAlign w:val="bottom"/>
            <w:hideMark/>
          </w:tcPr>
          <w:p w14:paraId="0F56EC31" w14:textId="77777777" w:rsidR="00437F84" w:rsidRDefault="00437F84">
            <w:pPr>
              <w:jc w:val="right"/>
              <w:rPr>
                <w:rFonts w:ascii="Arial" w:hAnsi="Arial" w:cs="Arial"/>
                <w:sz w:val="20"/>
                <w:szCs w:val="20"/>
              </w:rPr>
            </w:pPr>
            <w:r>
              <w:rPr>
                <w:rFonts w:ascii="Arial" w:hAnsi="Arial" w:cs="Arial"/>
                <w:sz w:val="20"/>
                <w:szCs w:val="20"/>
              </w:rPr>
              <w:t>1,253,670</w:t>
            </w:r>
          </w:p>
        </w:tc>
        <w:tc>
          <w:tcPr>
            <w:tcW w:w="1239" w:type="dxa"/>
            <w:tcBorders>
              <w:top w:val="nil"/>
              <w:left w:val="nil"/>
              <w:bottom w:val="nil"/>
              <w:right w:val="nil"/>
            </w:tcBorders>
            <w:noWrap/>
            <w:vAlign w:val="bottom"/>
            <w:hideMark/>
          </w:tcPr>
          <w:p w14:paraId="14AFC867" w14:textId="77777777" w:rsidR="00437F84" w:rsidRDefault="00437F84">
            <w:pPr>
              <w:jc w:val="right"/>
              <w:rPr>
                <w:rFonts w:ascii="Arial" w:hAnsi="Arial" w:cs="Arial"/>
                <w:sz w:val="20"/>
                <w:szCs w:val="20"/>
              </w:rPr>
            </w:pPr>
            <w:r>
              <w:rPr>
                <w:rFonts w:ascii="Arial" w:hAnsi="Arial" w:cs="Arial"/>
                <w:sz w:val="20"/>
                <w:szCs w:val="20"/>
              </w:rPr>
              <w:t>1,279,050</w:t>
            </w:r>
          </w:p>
        </w:tc>
        <w:tc>
          <w:tcPr>
            <w:tcW w:w="1239" w:type="dxa"/>
            <w:tcBorders>
              <w:top w:val="nil"/>
              <w:left w:val="nil"/>
              <w:bottom w:val="nil"/>
              <w:right w:val="nil"/>
            </w:tcBorders>
            <w:noWrap/>
            <w:vAlign w:val="bottom"/>
            <w:hideMark/>
          </w:tcPr>
          <w:p w14:paraId="36A7DE87" w14:textId="77777777" w:rsidR="00437F84" w:rsidRDefault="00437F84">
            <w:pPr>
              <w:jc w:val="right"/>
              <w:rPr>
                <w:rFonts w:ascii="Arial" w:hAnsi="Arial" w:cs="Arial"/>
                <w:sz w:val="20"/>
                <w:szCs w:val="20"/>
              </w:rPr>
            </w:pPr>
            <w:r>
              <w:rPr>
                <w:rFonts w:ascii="Arial" w:hAnsi="Arial" w:cs="Arial"/>
                <w:sz w:val="20"/>
                <w:szCs w:val="20"/>
              </w:rPr>
              <w:t>1,310,000</w:t>
            </w:r>
          </w:p>
        </w:tc>
      </w:tr>
      <w:tr w:rsidR="00CA78ED" w14:paraId="1472C57A" w14:textId="77777777" w:rsidTr="00452A3D">
        <w:trPr>
          <w:trHeight w:val="255"/>
        </w:trPr>
        <w:tc>
          <w:tcPr>
            <w:tcW w:w="3654" w:type="dxa"/>
            <w:tcBorders>
              <w:top w:val="nil"/>
              <w:left w:val="nil"/>
              <w:bottom w:val="nil"/>
              <w:right w:val="nil"/>
            </w:tcBorders>
            <w:noWrap/>
            <w:vAlign w:val="bottom"/>
            <w:hideMark/>
          </w:tcPr>
          <w:p w14:paraId="56494B07" w14:textId="77777777" w:rsidR="00437F84" w:rsidRDefault="00437F84">
            <w:pPr>
              <w:rPr>
                <w:rFonts w:ascii="Arial" w:hAnsi="Arial" w:cs="Arial"/>
                <w:sz w:val="20"/>
                <w:szCs w:val="20"/>
              </w:rPr>
            </w:pPr>
            <w:r>
              <w:rPr>
                <w:rFonts w:ascii="Arial" w:hAnsi="Arial" w:cs="Arial"/>
                <w:sz w:val="20"/>
                <w:szCs w:val="20"/>
              </w:rPr>
              <w:t>Sub-Contractors</w:t>
            </w:r>
          </w:p>
        </w:tc>
        <w:tc>
          <w:tcPr>
            <w:tcW w:w="1239" w:type="dxa"/>
            <w:tcBorders>
              <w:top w:val="nil"/>
              <w:left w:val="nil"/>
              <w:bottom w:val="nil"/>
              <w:right w:val="nil"/>
            </w:tcBorders>
            <w:noWrap/>
            <w:vAlign w:val="bottom"/>
            <w:hideMark/>
          </w:tcPr>
          <w:p w14:paraId="54D02F32" w14:textId="77777777" w:rsidR="00437F84" w:rsidRDefault="00437F84">
            <w:pPr>
              <w:jc w:val="right"/>
              <w:rPr>
                <w:rFonts w:ascii="Arial" w:hAnsi="Arial" w:cs="Arial"/>
                <w:sz w:val="20"/>
                <w:szCs w:val="20"/>
              </w:rPr>
            </w:pPr>
            <w:r>
              <w:rPr>
                <w:rFonts w:ascii="Arial" w:hAnsi="Arial" w:cs="Arial"/>
                <w:sz w:val="20"/>
                <w:szCs w:val="20"/>
              </w:rPr>
              <w:t>2,032,120</w:t>
            </w:r>
          </w:p>
        </w:tc>
        <w:tc>
          <w:tcPr>
            <w:tcW w:w="1315" w:type="dxa"/>
            <w:tcBorders>
              <w:top w:val="nil"/>
              <w:left w:val="nil"/>
              <w:bottom w:val="nil"/>
              <w:right w:val="nil"/>
            </w:tcBorders>
            <w:noWrap/>
            <w:vAlign w:val="bottom"/>
            <w:hideMark/>
          </w:tcPr>
          <w:p w14:paraId="51AF8155" w14:textId="77777777" w:rsidR="00437F84" w:rsidRDefault="00437F84">
            <w:pPr>
              <w:jc w:val="right"/>
              <w:rPr>
                <w:rFonts w:ascii="Arial" w:hAnsi="Arial" w:cs="Arial"/>
                <w:sz w:val="20"/>
                <w:szCs w:val="20"/>
              </w:rPr>
            </w:pPr>
            <w:r>
              <w:rPr>
                <w:rFonts w:ascii="Arial" w:hAnsi="Arial" w:cs="Arial"/>
                <w:sz w:val="20"/>
                <w:szCs w:val="20"/>
              </w:rPr>
              <w:t>2,051,200</w:t>
            </w:r>
          </w:p>
        </w:tc>
        <w:tc>
          <w:tcPr>
            <w:tcW w:w="1434" w:type="dxa"/>
            <w:tcBorders>
              <w:top w:val="nil"/>
              <w:left w:val="nil"/>
              <w:bottom w:val="nil"/>
              <w:right w:val="nil"/>
            </w:tcBorders>
            <w:noWrap/>
            <w:vAlign w:val="bottom"/>
            <w:hideMark/>
          </w:tcPr>
          <w:p w14:paraId="5501707F" w14:textId="77777777" w:rsidR="00437F84" w:rsidRDefault="00437F84">
            <w:pPr>
              <w:jc w:val="right"/>
              <w:rPr>
                <w:rFonts w:ascii="Arial" w:hAnsi="Arial" w:cs="Arial"/>
                <w:sz w:val="20"/>
                <w:szCs w:val="20"/>
              </w:rPr>
            </w:pPr>
            <w:r>
              <w:rPr>
                <w:rFonts w:ascii="Arial" w:hAnsi="Arial" w:cs="Arial"/>
                <w:sz w:val="20"/>
                <w:szCs w:val="20"/>
              </w:rPr>
              <w:t>2,094,380</w:t>
            </w:r>
          </w:p>
        </w:tc>
        <w:tc>
          <w:tcPr>
            <w:tcW w:w="1239" w:type="dxa"/>
            <w:tcBorders>
              <w:top w:val="nil"/>
              <w:left w:val="nil"/>
              <w:bottom w:val="nil"/>
              <w:right w:val="nil"/>
            </w:tcBorders>
            <w:noWrap/>
            <w:vAlign w:val="bottom"/>
            <w:hideMark/>
          </w:tcPr>
          <w:p w14:paraId="33459114" w14:textId="77777777" w:rsidR="00437F84" w:rsidRDefault="00437F84">
            <w:pPr>
              <w:jc w:val="right"/>
              <w:rPr>
                <w:rFonts w:ascii="Arial" w:hAnsi="Arial" w:cs="Arial"/>
                <w:sz w:val="20"/>
                <w:szCs w:val="20"/>
              </w:rPr>
            </w:pPr>
            <w:r>
              <w:rPr>
                <w:rFonts w:ascii="Arial" w:hAnsi="Arial" w:cs="Arial"/>
                <w:sz w:val="20"/>
                <w:szCs w:val="20"/>
              </w:rPr>
              <w:t>2,136,890</w:t>
            </w:r>
          </w:p>
        </w:tc>
        <w:tc>
          <w:tcPr>
            <w:tcW w:w="1239" w:type="dxa"/>
            <w:tcBorders>
              <w:top w:val="nil"/>
              <w:left w:val="nil"/>
              <w:bottom w:val="nil"/>
              <w:right w:val="nil"/>
            </w:tcBorders>
            <w:noWrap/>
            <w:vAlign w:val="bottom"/>
            <w:hideMark/>
          </w:tcPr>
          <w:p w14:paraId="0EDB770C" w14:textId="77777777" w:rsidR="00437F84" w:rsidRDefault="00437F84">
            <w:pPr>
              <w:jc w:val="right"/>
              <w:rPr>
                <w:rFonts w:ascii="Arial" w:hAnsi="Arial" w:cs="Arial"/>
                <w:sz w:val="20"/>
                <w:szCs w:val="20"/>
              </w:rPr>
            </w:pPr>
            <w:r>
              <w:rPr>
                <w:rFonts w:ascii="Arial" w:hAnsi="Arial" w:cs="Arial"/>
                <w:sz w:val="20"/>
                <w:szCs w:val="20"/>
              </w:rPr>
              <w:t>2,190,320</w:t>
            </w:r>
          </w:p>
        </w:tc>
      </w:tr>
      <w:tr w:rsidR="00CA78ED" w14:paraId="42B3760B" w14:textId="77777777" w:rsidTr="00452A3D">
        <w:trPr>
          <w:trHeight w:val="255"/>
        </w:trPr>
        <w:tc>
          <w:tcPr>
            <w:tcW w:w="3654" w:type="dxa"/>
            <w:tcBorders>
              <w:top w:val="nil"/>
              <w:left w:val="nil"/>
              <w:bottom w:val="nil"/>
              <w:right w:val="nil"/>
            </w:tcBorders>
            <w:noWrap/>
            <w:vAlign w:val="center"/>
            <w:hideMark/>
          </w:tcPr>
          <w:p w14:paraId="120EA30E" w14:textId="77777777" w:rsidR="00437F84" w:rsidRDefault="00437F84">
            <w:pPr>
              <w:rPr>
                <w:rFonts w:ascii="Arial" w:hAnsi="Arial" w:cs="Arial"/>
                <w:sz w:val="20"/>
                <w:szCs w:val="20"/>
              </w:rPr>
            </w:pPr>
            <w:r>
              <w:rPr>
                <w:rFonts w:ascii="Arial" w:hAnsi="Arial" w:cs="Arial"/>
                <w:sz w:val="20"/>
                <w:szCs w:val="20"/>
              </w:rPr>
              <w:t>Supplies &amp; Services</w:t>
            </w:r>
          </w:p>
        </w:tc>
        <w:tc>
          <w:tcPr>
            <w:tcW w:w="1239" w:type="dxa"/>
            <w:tcBorders>
              <w:top w:val="nil"/>
              <w:left w:val="nil"/>
              <w:bottom w:val="nil"/>
              <w:right w:val="nil"/>
            </w:tcBorders>
            <w:noWrap/>
            <w:vAlign w:val="bottom"/>
            <w:hideMark/>
          </w:tcPr>
          <w:p w14:paraId="5691F95F" w14:textId="77777777" w:rsidR="00437F84" w:rsidRDefault="00437F84">
            <w:pPr>
              <w:jc w:val="right"/>
              <w:rPr>
                <w:rFonts w:ascii="Arial" w:hAnsi="Arial" w:cs="Arial"/>
                <w:sz w:val="20"/>
                <w:szCs w:val="20"/>
              </w:rPr>
            </w:pPr>
            <w:r>
              <w:rPr>
                <w:rFonts w:ascii="Arial" w:hAnsi="Arial" w:cs="Arial"/>
                <w:sz w:val="20"/>
                <w:szCs w:val="20"/>
              </w:rPr>
              <w:t>360,470</w:t>
            </w:r>
          </w:p>
        </w:tc>
        <w:tc>
          <w:tcPr>
            <w:tcW w:w="1315" w:type="dxa"/>
            <w:tcBorders>
              <w:top w:val="nil"/>
              <w:left w:val="nil"/>
              <w:bottom w:val="nil"/>
              <w:right w:val="nil"/>
            </w:tcBorders>
            <w:noWrap/>
            <w:vAlign w:val="bottom"/>
            <w:hideMark/>
          </w:tcPr>
          <w:p w14:paraId="39188E93" w14:textId="77777777" w:rsidR="00437F84" w:rsidRDefault="00437F84">
            <w:pPr>
              <w:jc w:val="right"/>
              <w:rPr>
                <w:rFonts w:ascii="Arial" w:hAnsi="Arial" w:cs="Arial"/>
                <w:sz w:val="20"/>
                <w:szCs w:val="20"/>
              </w:rPr>
            </w:pPr>
            <w:r>
              <w:rPr>
                <w:rFonts w:ascii="Arial" w:hAnsi="Arial" w:cs="Arial"/>
                <w:sz w:val="20"/>
                <w:szCs w:val="20"/>
              </w:rPr>
              <w:t>360,470</w:t>
            </w:r>
          </w:p>
        </w:tc>
        <w:tc>
          <w:tcPr>
            <w:tcW w:w="1434" w:type="dxa"/>
            <w:tcBorders>
              <w:top w:val="nil"/>
              <w:left w:val="nil"/>
              <w:bottom w:val="nil"/>
              <w:right w:val="nil"/>
            </w:tcBorders>
            <w:noWrap/>
            <w:vAlign w:val="bottom"/>
            <w:hideMark/>
          </w:tcPr>
          <w:p w14:paraId="7E2267CD" w14:textId="77777777" w:rsidR="00437F84" w:rsidRDefault="00437F84">
            <w:pPr>
              <w:jc w:val="right"/>
              <w:rPr>
                <w:rFonts w:ascii="Arial" w:hAnsi="Arial" w:cs="Arial"/>
                <w:sz w:val="20"/>
                <w:szCs w:val="20"/>
              </w:rPr>
            </w:pPr>
            <w:r>
              <w:rPr>
                <w:rFonts w:ascii="Arial" w:hAnsi="Arial" w:cs="Arial"/>
                <w:sz w:val="20"/>
                <w:szCs w:val="20"/>
              </w:rPr>
              <w:t>360,500</w:t>
            </w:r>
          </w:p>
        </w:tc>
        <w:tc>
          <w:tcPr>
            <w:tcW w:w="1239" w:type="dxa"/>
            <w:tcBorders>
              <w:top w:val="nil"/>
              <w:left w:val="nil"/>
              <w:bottom w:val="nil"/>
              <w:right w:val="nil"/>
            </w:tcBorders>
            <w:noWrap/>
            <w:vAlign w:val="bottom"/>
            <w:hideMark/>
          </w:tcPr>
          <w:p w14:paraId="08F531D7" w14:textId="77777777" w:rsidR="00437F84" w:rsidRDefault="00437F84">
            <w:pPr>
              <w:jc w:val="right"/>
              <w:rPr>
                <w:rFonts w:ascii="Arial" w:hAnsi="Arial" w:cs="Arial"/>
                <w:sz w:val="20"/>
                <w:szCs w:val="20"/>
              </w:rPr>
            </w:pPr>
            <w:r>
              <w:rPr>
                <w:rFonts w:ascii="Arial" w:hAnsi="Arial" w:cs="Arial"/>
                <w:sz w:val="20"/>
                <w:szCs w:val="20"/>
              </w:rPr>
              <w:t>360,530</w:t>
            </w:r>
          </w:p>
        </w:tc>
        <w:tc>
          <w:tcPr>
            <w:tcW w:w="1239" w:type="dxa"/>
            <w:tcBorders>
              <w:top w:val="nil"/>
              <w:left w:val="nil"/>
              <w:bottom w:val="nil"/>
              <w:right w:val="nil"/>
            </w:tcBorders>
            <w:noWrap/>
            <w:vAlign w:val="bottom"/>
            <w:hideMark/>
          </w:tcPr>
          <w:p w14:paraId="4185BD14" w14:textId="77777777" w:rsidR="00437F84" w:rsidRDefault="00437F84">
            <w:pPr>
              <w:jc w:val="right"/>
              <w:rPr>
                <w:rFonts w:ascii="Arial" w:hAnsi="Arial" w:cs="Arial"/>
                <w:sz w:val="20"/>
                <w:szCs w:val="20"/>
              </w:rPr>
            </w:pPr>
            <w:r>
              <w:rPr>
                <w:rFonts w:ascii="Arial" w:hAnsi="Arial" w:cs="Arial"/>
                <w:sz w:val="20"/>
                <w:szCs w:val="20"/>
              </w:rPr>
              <w:t>360,660</w:t>
            </w:r>
          </w:p>
        </w:tc>
      </w:tr>
      <w:tr w:rsidR="00CA78ED" w14:paraId="66C67DF1" w14:textId="77777777" w:rsidTr="00452A3D">
        <w:trPr>
          <w:trHeight w:val="255"/>
        </w:trPr>
        <w:tc>
          <w:tcPr>
            <w:tcW w:w="3654" w:type="dxa"/>
            <w:tcBorders>
              <w:top w:val="nil"/>
              <w:left w:val="nil"/>
              <w:bottom w:val="nil"/>
              <w:right w:val="nil"/>
            </w:tcBorders>
            <w:noWrap/>
            <w:vAlign w:val="bottom"/>
            <w:hideMark/>
          </w:tcPr>
          <w:p w14:paraId="79C44C4C" w14:textId="77777777" w:rsidR="00437F84" w:rsidRDefault="00437F84">
            <w:pPr>
              <w:rPr>
                <w:rFonts w:ascii="Arial" w:hAnsi="Arial" w:cs="Arial"/>
                <w:sz w:val="20"/>
                <w:szCs w:val="20"/>
              </w:rPr>
            </w:pPr>
            <w:r>
              <w:rPr>
                <w:rFonts w:ascii="Arial" w:hAnsi="Arial" w:cs="Arial"/>
                <w:sz w:val="20"/>
                <w:szCs w:val="20"/>
              </w:rPr>
              <w:t>GENF &amp; HRA CSS</w:t>
            </w:r>
          </w:p>
        </w:tc>
        <w:tc>
          <w:tcPr>
            <w:tcW w:w="1239" w:type="dxa"/>
            <w:tcBorders>
              <w:top w:val="nil"/>
              <w:left w:val="nil"/>
              <w:bottom w:val="nil"/>
              <w:right w:val="nil"/>
            </w:tcBorders>
            <w:noWrap/>
            <w:vAlign w:val="bottom"/>
            <w:hideMark/>
          </w:tcPr>
          <w:p w14:paraId="7AB00AAC" w14:textId="77777777" w:rsidR="00437F84" w:rsidRDefault="00437F84">
            <w:pPr>
              <w:jc w:val="right"/>
              <w:rPr>
                <w:rFonts w:ascii="Arial" w:hAnsi="Arial" w:cs="Arial"/>
                <w:sz w:val="20"/>
                <w:szCs w:val="20"/>
              </w:rPr>
            </w:pPr>
            <w:r>
              <w:rPr>
                <w:rFonts w:ascii="Arial" w:hAnsi="Arial" w:cs="Arial"/>
                <w:sz w:val="20"/>
                <w:szCs w:val="20"/>
              </w:rPr>
              <w:t>723,090</w:t>
            </w:r>
          </w:p>
        </w:tc>
        <w:tc>
          <w:tcPr>
            <w:tcW w:w="1315" w:type="dxa"/>
            <w:tcBorders>
              <w:top w:val="nil"/>
              <w:left w:val="nil"/>
              <w:bottom w:val="nil"/>
              <w:right w:val="nil"/>
            </w:tcBorders>
            <w:noWrap/>
            <w:vAlign w:val="bottom"/>
            <w:hideMark/>
          </w:tcPr>
          <w:p w14:paraId="4E966D7B" w14:textId="77777777" w:rsidR="00437F84" w:rsidRDefault="00437F84">
            <w:pPr>
              <w:jc w:val="right"/>
              <w:rPr>
                <w:rFonts w:ascii="Arial" w:hAnsi="Arial" w:cs="Arial"/>
                <w:sz w:val="20"/>
                <w:szCs w:val="20"/>
              </w:rPr>
            </w:pPr>
            <w:r>
              <w:rPr>
                <w:rFonts w:ascii="Arial" w:hAnsi="Arial" w:cs="Arial"/>
                <w:sz w:val="20"/>
                <w:szCs w:val="20"/>
              </w:rPr>
              <w:t>741,120</w:t>
            </w:r>
          </w:p>
        </w:tc>
        <w:tc>
          <w:tcPr>
            <w:tcW w:w="1434" w:type="dxa"/>
            <w:tcBorders>
              <w:top w:val="nil"/>
              <w:left w:val="nil"/>
              <w:bottom w:val="nil"/>
              <w:right w:val="nil"/>
            </w:tcBorders>
            <w:noWrap/>
            <w:vAlign w:val="bottom"/>
            <w:hideMark/>
          </w:tcPr>
          <w:p w14:paraId="7BF2F167" w14:textId="77777777" w:rsidR="00437F84" w:rsidRDefault="00437F84">
            <w:pPr>
              <w:jc w:val="right"/>
              <w:rPr>
                <w:rFonts w:ascii="Arial" w:hAnsi="Arial" w:cs="Arial"/>
                <w:sz w:val="20"/>
                <w:szCs w:val="20"/>
              </w:rPr>
            </w:pPr>
            <w:r>
              <w:rPr>
                <w:rFonts w:ascii="Arial" w:hAnsi="Arial" w:cs="Arial"/>
                <w:sz w:val="20"/>
                <w:szCs w:val="20"/>
              </w:rPr>
              <w:t>757,920</w:t>
            </w:r>
          </w:p>
        </w:tc>
        <w:tc>
          <w:tcPr>
            <w:tcW w:w="1239" w:type="dxa"/>
            <w:tcBorders>
              <w:top w:val="nil"/>
              <w:left w:val="nil"/>
              <w:bottom w:val="nil"/>
              <w:right w:val="nil"/>
            </w:tcBorders>
            <w:noWrap/>
            <w:vAlign w:val="bottom"/>
            <w:hideMark/>
          </w:tcPr>
          <w:p w14:paraId="322407F0" w14:textId="77777777" w:rsidR="00437F84" w:rsidRDefault="00437F84">
            <w:pPr>
              <w:jc w:val="right"/>
              <w:rPr>
                <w:rFonts w:ascii="Arial" w:hAnsi="Arial" w:cs="Arial"/>
                <w:sz w:val="20"/>
                <w:szCs w:val="20"/>
              </w:rPr>
            </w:pPr>
            <w:r>
              <w:rPr>
                <w:rFonts w:ascii="Arial" w:hAnsi="Arial" w:cs="Arial"/>
                <w:sz w:val="20"/>
                <w:szCs w:val="20"/>
              </w:rPr>
              <w:t>773,950</w:t>
            </w:r>
          </w:p>
        </w:tc>
        <w:tc>
          <w:tcPr>
            <w:tcW w:w="1239" w:type="dxa"/>
            <w:tcBorders>
              <w:top w:val="nil"/>
              <w:left w:val="nil"/>
              <w:bottom w:val="nil"/>
              <w:right w:val="nil"/>
            </w:tcBorders>
            <w:noWrap/>
            <w:vAlign w:val="bottom"/>
            <w:hideMark/>
          </w:tcPr>
          <w:p w14:paraId="2B513E0F" w14:textId="77777777" w:rsidR="00437F84" w:rsidRDefault="00437F84">
            <w:pPr>
              <w:jc w:val="right"/>
              <w:rPr>
                <w:rFonts w:ascii="Arial" w:hAnsi="Arial" w:cs="Arial"/>
                <w:sz w:val="20"/>
                <w:szCs w:val="20"/>
              </w:rPr>
            </w:pPr>
            <w:r>
              <w:rPr>
                <w:rFonts w:ascii="Arial" w:hAnsi="Arial" w:cs="Arial"/>
                <w:sz w:val="20"/>
                <w:szCs w:val="20"/>
              </w:rPr>
              <w:t>790,110</w:t>
            </w:r>
          </w:p>
        </w:tc>
      </w:tr>
      <w:tr w:rsidR="00CA78ED" w14:paraId="18265D92" w14:textId="77777777" w:rsidTr="00452A3D">
        <w:trPr>
          <w:trHeight w:val="255"/>
        </w:trPr>
        <w:tc>
          <w:tcPr>
            <w:tcW w:w="3654" w:type="dxa"/>
            <w:tcBorders>
              <w:top w:val="nil"/>
              <w:left w:val="nil"/>
              <w:bottom w:val="nil"/>
              <w:right w:val="nil"/>
            </w:tcBorders>
            <w:noWrap/>
            <w:vAlign w:val="bottom"/>
            <w:hideMark/>
          </w:tcPr>
          <w:p w14:paraId="67DA851A" w14:textId="77777777" w:rsidR="00437F84" w:rsidRDefault="00437F84">
            <w:pPr>
              <w:rPr>
                <w:rFonts w:ascii="Arial" w:hAnsi="Arial" w:cs="Arial"/>
                <w:sz w:val="20"/>
                <w:szCs w:val="20"/>
              </w:rPr>
            </w:pPr>
            <w:r>
              <w:rPr>
                <w:rFonts w:ascii="Arial" w:hAnsi="Arial" w:cs="Arial"/>
                <w:sz w:val="20"/>
                <w:szCs w:val="20"/>
              </w:rPr>
              <w:t>HRS Administration &amp; DLO</w:t>
            </w:r>
          </w:p>
        </w:tc>
        <w:tc>
          <w:tcPr>
            <w:tcW w:w="1239" w:type="dxa"/>
            <w:tcBorders>
              <w:top w:val="nil"/>
              <w:left w:val="nil"/>
              <w:bottom w:val="nil"/>
              <w:right w:val="nil"/>
            </w:tcBorders>
            <w:noWrap/>
            <w:vAlign w:val="bottom"/>
            <w:hideMark/>
          </w:tcPr>
          <w:p w14:paraId="45312EA1" w14:textId="77777777" w:rsidR="00437F84" w:rsidRDefault="00437F84">
            <w:pPr>
              <w:jc w:val="right"/>
              <w:rPr>
                <w:rFonts w:ascii="Arial" w:hAnsi="Arial" w:cs="Arial"/>
                <w:sz w:val="20"/>
                <w:szCs w:val="20"/>
              </w:rPr>
            </w:pPr>
            <w:r>
              <w:rPr>
                <w:rFonts w:ascii="Arial" w:hAnsi="Arial" w:cs="Arial"/>
                <w:sz w:val="20"/>
                <w:szCs w:val="20"/>
              </w:rPr>
              <w:t>0</w:t>
            </w:r>
          </w:p>
        </w:tc>
        <w:tc>
          <w:tcPr>
            <w:tcW w:w="1315" w:type="dxa"/>
            <w:tcBorders>
              <w:top w:val="nil"/>
              <w:left w:val="nil"/>
              <w:bottom w:val="nil"/>
              <w:right w:val="nil"/>
            </w:tcBorders>
            <w:noWrap/>
            <w:vAlign w:val="bottom"/>
            <w:hideMark/>
          </w:tcPr>
          <w:p w14:paraId="0AD6BDD1" w14:textId="77777777" w:rsidR="00437F84" w:rsidRDefault="00437F84">
            <w:pPr>
              <w:jc w:val="right"/>
              <w:rPr>
                <w:rFonts w:ascii="Arial" w:hAnsi="Arial" w:cs="Arial"/>
                <w:sz w:val="20"/>
                <w:szCs w:val="20"/>
              </w:rPr>
            </w:pPr>
            <w:r>
              <w:rPr>
                <w:rFonts w:ascii="Arial" w:hAnsi="Arial" w:cs="Arial"/>
                <w:sz w:val="20"/>
                <w:szCs w:val="20"/>
              </w:rPr>
              <w:t>0</w:t>
            </w:r>
          </w:p>
        </w:tc>
        <w:tc>
          <w:tcPr>
            <w:tcW w:w="1434" w:type="dxa"/>
            <w:tcBorders>
              <w:top w:val="nil"/>
              <w:left w:val="nil"/>
              <w:bottom w:val="nil"/>
              <w:right w:val="nil"/>
            </w:tcBorders>
            <w:noWrap/>
            <w:vAlign w:val="bottom"/>
            <w:hideMark/>
          </w:tcPr>
          <w:p w14:paraId="6B3CC0E8" w14:textId="77777777" w:rsidR="00437F84" w:rsidRDefault="00437F84">
            <w:pPr>
              <w:jc w:val="right"/>
              <w:rPr>
                <w:rFonts w:ascii="Arial" w:hAnsi="Arial" w:cs="Arial"/>
                <w:sz w:val="20"/>
                <w:szCs w:val="20"/>
              </w:rPr>
            </w:pPr>
            <w:r>
              <w:rPr>
                <w:rFonts w:ascii="Arial" w:hAnsi="Arial" w:cs="Arial"/>
                <w:sz w:val="20"/>
                <w:szCs w:val="20"/>
              </w:rPr>
              <w:t>0</w:t>
            </w:r>
          </w:p>
        </w:tc>
        <w:tc>
          <w:tcPr>
            <w:tcW w:w="1239" w:type="dxa"/>
            <w:tcBorders>
              <w:top w:val="nil"/>
              <w:left w:val="nil"/>
              <w:bottom w:val="nil"/>
              <w:right w:val="nil"/>
            </w:tcBorders>
            <w:noWrap/>
            <w:vAlign w:val="bottom"/>
            <w:hideMark/>
          </w:tcPr>
          <w:p w14:paraId="14C17726" w14:textId="77777777" w:rsidR="00437F84" w:rsidRDefault="00437F84">
            <w:pPr>
              <w:jc w:val="right"/>
              <w:rPr>
                <w:rFonts w:ascii="Arial" w:hAnsi="Arial" w:cs="Arial"/>
                <w:sz w:val="20"/>
                <w:szCs w:val="20"/>
              </w:rPr>
            </w:pPr>
            <w:r>
              <w:rPr>
                <w:rFonts w:ascii="Arial" w:hAnsi="Arial" w:cs="Arial"/>
                <w:sz w:val="20"/>
                <w:szCs w:val="20"/>
              </w:rPr>
              <w:t>0</w:t>
            </w:r>
          </w:p>
        </w:tc>
        <w:tc>
          <w:tcPr>
            <w:tcW w:w="1239" w:type="dxa"/>
            <w:tcBorders>
              <w:top w:val="nil"/>
              <w:left w:val="nil"/>
              <w:bottom w:val="nil"/>
              <w:right w:val="nil"/>
            </w:tcBorders>
            <w:noWrap/>
            <w:vAlign w:val="bottom"/>
            <w:hideMark/>
          </w:tcPr>
          <w:p w14:paraId="5D04B1D0" w14:textId="77777777" w:rsidR="00437F84" w:rsidRDefault="00437F84">
            <w:pPr>
              <w:jc w:val="right"/>
              <w:rPr>
                <w:rFonts w:ascii="Arial" w:hAnsi="Arial" w:cs="Arial"/>
                <w:sz w:val="20"/>
                <w:szCs w:val="20"/>
              </w:rPr>
            </w:pPr>
            <w:r>
              <w:rPr>
                <w:rFonts w:ascii="Arial" w:hAnsi="Arial" w:cs="Arial"/>
                <w:sz w:val="20"/>
                <w:szCs w:val="20"/>
              </w:rPr>
              <w:t>0</w:t>
            </w:r>
          </w:p>
        </w:tc>
      </w:tr>
      <w:tr w:rsidR="00CA78ED" w14:paraId="0B225E67" w14:textId="77777777" w:rsidTr="00452A3D">
        <w:trPr>
          <w:trHeight w:val="255"/>
        </w:trPr>
        <w:tc>
          <w:tcPr>
            <w:tcW w:w="3654" w:type="dxa"/>
            <w:tcBorders>
              <w:top w:val="nil"/>
              <w:left w:val="nil"/>
              <w:bottom w:val="nil"/>
              <w:right w:val="nil"/>
            </w:tcBorders>
            <w:noWrap/>
            <w:vAlign w:val="bottom"/>
            <w:hideMark/>
          </w:tcPr>
          <w:p w14:paraId="12E057D3" w14:textId="77777777" w:rsidR="00437F84" w:rsidRDefault="00437F84">
            <w:pPr>
              <w:rPr>
                <w:rFonts w:ascii="Arial" w:hAnsi="Arial" w:cs="Arial"/>
                <w:sz w:val="20"/>
                <w:szCs w:val="20"/>
              </w:rPr>
            </w:pPr>
            <w:r>
              <w:rPr>
                <w:rFonts w:ascii="Arial" w:hAnsi="Arial" w:cs="Arial"/>
                <w:sz w:val="20"/>
                <w:szCs w:val="20"/>
              </w:rPr>
              <w:t>Capital Charges - Fleet</w:t>
            </w:r>
          </w:p>
        </w:tc>
        <w:tc>
          <w:tcPr>
            <w:tcW w:w="1239" w:type="dxa"/>
            <w:tcBorders>
              <w:top w:val="nil"/>
              <w:left w:val="nil"/>
              <w:bottom w:val="nil"/>
              <w:right w:val="nil"/>
            </w:tcBorders>
            <w:noWrap/>
            <w:vAlign w:val="bottom"/>
            <w:hideMark/>
          </w:tcPr>
          <w:p w14:paraId="4395EC74" w14:textId="77777777" w:rsidR="00437F84" w:rsidRDefault="00437F84">
            <w:pPr>
              <w:jc w:val="right"/>
              <w:rPr>
                <w:rFonts w:ascii="Arial" w:hAnsi="Arial" w:cs="Arial"/>
                <w:sz w:val="20"/>
                <w:szCs w:val="20"/>
              </w:rPr>
            </w:pPr>
            <w:r>
              <w:rPr>
                <w:rFonts w:ascii="Arial" w:hAnsi="Arial" w:cs="Arial"/>
                <w:sz w:val="20"/>
                <w:szCs w:val="20"/>
              </w:rPr>
              <w:t>283,120</w:t>
            </w:r>
          </w:p>
        </w:tc>
        <w:tc>
          <w:tcPr>
            <w:tcW w:w="1315" w:type="dxa"/>
            <w:tcBorders>
              <w:top w:val="nil"/>
              <w:left w:val="nil"/>
              <w:bottom w:val="nil"/>
              <w:right w:val="nil"/>
            </w:tcBorders>
            <w:noWrap/>
            <w:vAlign w:val="bottom"/>
            <w:hideMark/>
          </w:tcPr>
          <w:p w14:paraId="699CFDD2" w14:textId="77777777" w:rsidR="00437F84" w:rsidRDefault="00437F84">
            <w:pPr>
              <w:jc w:val="right"/>
              <w:rPr>
                <w:rFonts w:ascii="Arial" w:hAnsi="Arial" w:cs="Arial"/>
                <w:sz w:val="20"/>
                <w:szCs w:val="20"/>
              </w:rPr>
            </w:pPr>
            <w:r>
              <w:rPr>
                <w:rFonts w:ascii="Arial" w:hAnsi="Arial" w:cs="Arial"/>
                <w:sz w:val="20"/>
                <w:szCs w:val="20"/>
              </w:rPr>
              <w:t>306,220</w:t>
            </w:r>
          </w:p>
        </w:tc>
        <w:tc>
          <w:tcPr>
            <w:tcW w:w="1434" w:type="dxa"/>
            <w:tcBorders>
              <w:top w:val="nil"/>
              <w:left w:val="nil"/>
              <w:bottom w:val="nil"/>
              <w:right w:val="nil"/>
            </w:tcBorders>
            <w:noWrap/>
            <w:vAlign w:val="bottom"/>
            <w:hideMark/>
          </w:tcPr>
          <w:p w14:paraId="46C25FC5" w14:textId="77777777" w:rsidR="00437F84" w:rsidRDefault="00437F84">
            <w:pPr>
              <w:jc w:val="right"/>
              <w:rPr>
                <w:rFonts w:ascii="Arial" w:hAnsi="Arial" w:cs="Arial"/>
                <w:sz w:val="20"/>
                <w:szCs w:val="20"/>
              </w:rPr>
            </w:pPr>
            <w:r>
              <w:rPr>
                <w:rFonts w:ascii="Arial" w:hAnsi="Arial" w:cs="Arial"/>
                <w:sz w:val="20"/>
                <w:szCs w:val="20"/>
              </w:rPr>
              <w:t>311,870</w:t>
            </w:r>
          </w:p>
        </w:tc>
        <w:tc>
          <w:tcPr>
            <w:tcW w:w="1239" w:type="dxa"/>
            <w:tcBorders>
              <w:top w:val="nil"/>
              <w:left w:val="nil"/>
              <w:bottom w:val="nil"/>
              <w:right w:val="nil"/>
            </w:tcBorders>
            <w:noWrap/>
            <w:vAlign w:val="bottom"/>
            <w:hideMark/>
          </w:tcPr>
          <w:p w14:paraId="29E0D36C" w14:textId="77777777" w:rsidR="00437F84" w:rsidRDefault="00437F84">
            <w:pPr>
              <w:jc w:val="right"/>
              <w:rPr>
                <w:rFonts w:ascii="Arial" w:hAnsi="Arial" w:cs="Arial"/>
                <w:sz w:val="20"/>
                <w:szCs w:val="20"/>
              </w:rPr>
            </w:pPr>
            <w:r>
              <w:rPr>
                <w:rFonts w:ascii="Arial" w:hAnsi="Arial" w:cs="Arial"/>
                <w:sz w:val="20"/>
                <w:szCs w:val="20"/>
              </w:rPr>
              <w:t>330,100</w:t>
            </w:r>
          </w:p>
        </w:tc>
        <w:tc>
          <w:tcPr>
            <w:tcW w:w="1239" w:type="dxa"/>
            <w:tcBorders>
              <w:top w:val="nil"/>
              <w:left w:val="nil"/>
              <w:bottom w:val="nil"/>
              <w:right w:val="nil"/>
            </w:tcBorders>
            <w:noWrap/>
            <w:vAlign w:val="bottom"/>
            <w:hideMark/>
          </w:tcPr>
          <w:p w14:paraId="311B9B52" w14:textId="77777777" w:rsidR="00437F84" w:rsidRDefault="00437F84">
            <w:pPr>
              <w:jc w:val="right"/>
              <w:rPr>
                <w:rFonts w:ascii="Arial" w:hAnsi="Arial" w:cs="Arial"/>
                <w:sz w:val="20"/>
                <w:szCs w:val="20"/>
              </w:rPr>
            </w:pPr>
            <w:r>
              <w:rPr>
                <w:rFonts w:ascii="Arial" w:hAnsi="Arial" w:cs="Arial"/>
                <w:sz w:val="20"/>
                <w:szCs w:val="20"/>
              </w:rPr>
              <w:t>325,700</w:t>
            </w:r>
          </w:p>
        </w:tc>
      </w:tr>
      <w:tr w:rsidR="00CA78ED" w14:paraId="541AE260" w14:textId="77777777" w:rsidTr="00452A3D">
        <w:trPr>
          <w:trHeight w:val="255"/>
        </w:trPr>
        <w:tc>
          <w:tcPr>
            <w:tcW w:w="3654" w:type="dxa"/>
            <w:tcBorders>
              <w:top w:val="nil"/>
              <w:left w:val="nil"/>
              <w:bottom w:val="nil"/>
              <w:right w:val="nil"/>
            </w:tcBorders>
            <w:noWrap/>
            <w:vAlign w:val="bottom"/>
            <w:hideMark/>
          </w:tcPr>
          <w:p w14:paraId="408C3F14" w14:textId="77777777" w:rsidR="00437F84" w:rsidRDefault="00437F84">
            <w:pPr>
              <w:jc w:val="right"/>
              <w:rPr>
                <w:rFonts w:ascii="Arial" w:hAnsi="Arial" w:cs="Arial"/>
                <w:sz w:val="20"/>
                <w:szCs w:val="20"/>
              </w:rPr>
            </w:pPr>
          </w:p>
        </w:tc>
        <w:tc>
          <w:tcPr>
            <w:tcW w:w="1239" w:type="dxa"/>
            <w:tcBorders>
              <w:top w:val="nil"/>
              <w:left w:val="nil"/>
              <w:bottom w:val="nil"/>
              <w:right w:val="nil"/>
            </w:tcBorders>
            <w:noWrap/>
            <w:vAlign w:val="bottom"/>
            <w:hideMark/>
          </w:tcPr>
          <w:p w14:paraId="5F5CBBCE" w14:textId="77777777" w:rsidR="00437F84" w:rsidRDefault="00437F84">
            <w:pPr>
              <w:rPr>
                <w:sz w:val="20"/>
                <w:szCs w:val="20"/>
              </w:rPr>
            </w:pPr>
          </w:p>
        </w:tc>
        <w:tc>
          <w:tcPr>
            <w:tcW w:w="1315" w:type="dxa"/>
            <w:tcBorders>
              <w:top w:val="nil"/>
              <w:left w:val="nil"/>
              <w:bottom w:val="nil"/>
              <w:right w:val="nil"/>
            </w:tcBorders>
            <w:noWrap/>
            <w:vAlign w:val="bottom"/>
            <w:hideMark/>
          </w:tcPr>
          <w:p w14:paraId="039DAA00" w14:textId="77777777" w:rsidR="00437F84" w:rsidRDefault="00437F84">
            <w:pPr>
              <w:rPr>
                <w:sz w:val="20"/>
                <w:szCs w:val="20"/>
              </w:rPr>
            </w:pPr>
          </w:p>
        </w:tc>
        <w:tc>
          <w:tcPr>
            <w:tcW w:w="1434" w:type="dxa"/>
            <w:tcBorders>
              <w:top w:val="nil"/>
              <w:left w:val="nil"/>
              <w:bottom w:val="nil"/>
              <w:right w:val="nil"/>
            </w:tcBorders>
            <w:noWrap/>
            <w:vAlign w:val="bottom"/>
            <w:hideMark/>
          </w:tcPr>
          <w:p w14:paraId="528F8582" w14:textId="77777777" w:rsidR="00437F84" w:rsidRDefault="00437F84">
            <w:pPr>
              <w:rPr>
                <w:sz w:val="20"/>
                <w:szCs w:val="20"/>
              </w:rPr>
            </w:pPr>
          </w:p>
        </w:tc>
        <w:tc>
          <w:tcPr>
            <w:tcW w:w="1239" w:type="dxa"/>
            <w:tcBorders>
              <w:top w:val="nil"/>
              <w:left w:val="nil"/>
              <w:bottom w:val="nil"/>
              <w:right w:val="nil"/>
            </w:tcBorders>
            <w:noWrap/>
            <w:vAlign w:val="bottom"/>
            <w:hideMark/>
          </w:tcPr>
          <w:p w14:paraId="6701BF50" w14:textId="77777777" w:rsidR="00437F84" w:rsidRDefault="00437F84">
            <w:pPr>
              <w:rPr>
                <w:sz w:val="20"/>
                <w:szCs w:val="20"/>
              </w:rPr>
            </w:pPr>
          </w:p>
        </w:tc>
        <w:tc>
          <w:tcPr>
            <w:tcW w:w="1239" w:type="dxa"/>
            <w:tcBorders>
              <w:top w:val="nil"/>
              <w:left w:val="nil"/>
              <w:bottom w:val="nil"/>
              <w:right w:val="nil"/>
            </w:tcBorders>
            <w:noWrap/>
            <w:vAlign w:val="bottom"/>
            <w:hideMark/>
          </w:tcPr>
          <w:p w14:paraId="49156044" w14:textId="77777777" w:rsidR="00437F84" w:rsidRDefault="00437F84">
            <w:pPr>
              <w:rPr>
                <w:sz w:val="20"/>
                <w:szCs w:val="20"/>
              </w:rPr>
            </w:pPr>
          </w:p>
        </w:tc>
      </w:tr>
      <w:tr w:rsidR="00CA78ED" w14:paraId="12EF4928" w14:textId="77777777" w:rsidTr="00452A3D">
        <w:trPr>
          <w:trHeight w:val="255"/>
        </w:trPr>
        <w:tc>
          <w:tcPr>
            <w:tcW w:w="3654" w:type="dxa"/>
            <w:tcBorders>
              <w:top w:val="nil"/>
              <w:left w:val="nil"/>
              <w:bottom w:val="nil"/>
              <w:right w:val="nil"/>
            </w:tcBorders>
            <w:noWrap/>
            <w:vAlign w:val="bottom"/>
            <w:hideMark/>
          </w:tcPr>
          <w:p w14:paraId="266B5644" w14:textId="77777777" w:rsidR="00437F84" w:rsidRPr="00364831" w:rsidRDefault="00437F84">
            <w:pPr>
              <w:rPr>
                <w:rFonts w:ascii="Arial" w:hAnsi="Arial" w:cs="Arial"/>
                <w:b/>
                <w:sz w:val="20"/>
                <w:szCs w:val="20"/>
              </w:rPr>
            </w:pPr>
            <w:r w:rsidRPr="00364831">
              <w:rPr>
                <w:rFonts w:ascii="Arial" w:hAnsi="Arial" w:cs="Arial"/>
                <w:b/>
                <w:sz w:val="20"/>
                <w:szCs w:val="20"/>
              </w:rPr>
              <w:t>Total Expenditure</w:t>
            </w:r>
          </w:p>
        </w:tc>
        <w:tc>
          <w:tcPr>
            <w:tcW w:w="1239" w:type="dxa"/>
            <w:tcBorders>
              <w:top w:val="single" w:sz="4" w:space="0" w:color="auto"/>
              <w:left w:val="nil"/>
              <w:bottom w:val="single" w:sz="4" w:space="0" w:color="auto"/>
              <w:right w:val="nil"/>
            </w:tcBorders>
            <w:noWrap/>
            <w:vAlign w:val="bottom"/>
            <w:hideMark/>
          </w:tcPr>
          <w:p w14:paraId="7ED93CED" w14:textId="77777777" w:rsidR="00437F84" w:rsidRDefault="00437F84">
            <w:pPr>
              <w:jc w:val="right"/>
              <w:rPr>
                <w:rFonts w:ascii="Arial" w:hAnsi="Arial" w:cs="Arial"/>
                <w:b/>
                <w:bCs/>
                <w:sz w:val="20"/>
                <w:szCs w:val="20"/>
              </w:rPr>
            </w:pPr>
            <w:r>
              <w:rPr>
                <w:rFonts w:ascii="Arial" w:hAnsi="Arial" w:cs="Arial"/>
                <w:b/>
                <w:bCs/>
                <w:sz w:val="20"/>
                <w:szCs w:val="20"/>
              </w:rPr>
              <w:t>8,923,290</w:t>
            </w:r>
          </w:p>
        </w:tc>
        <w:tc>
          <w:tcPr>
            <w:tcW w:w="1315" w:type="dxa"/>
            <w:tcBorders>
              <w:top w:val="single" w:sz="4" w:space="0" w:color="auto"/>
              <w:left w:val="nil"/>
              <w:bottom w:val="single" w:sz="4" w:space="0" w:color="auto"/>
              <w:right w:val="nil"/>
            </w:tcBorders>
            <w:noWrap/>
            <w:vAlign w:val="bottom"/>
            <w:hideMark/>
          </w:tcPr>
          <w:p w14:paraId="6F034236" w14:textId="77777777" w:rsidR="00437F84" w:rsidRDefault="00437F84">
            <w:pPr>
              <w:jc w:val="right"/>
              <w:rPr>
                <w:rFonts w:ascii="Arial" w:hAnsi="Arial" w:cs="Arial"/>
                <w:b/>
                <w:bCs/>
                <w:sz w:val="20"/>
                <w:szCs w:val="20"/>
              </w:rPr>
            </w:pPr>
            <w:r>
              <w:rPr>
                <w:rFonts w:ascii="Arial" w:hAnsi="Arial" w:cs="Arial"/>
                <w:b/>
                <w:bCs/>
                <w:sz w:val="20"/>
                <w:szCs w:val="20"/>
              </w:rPr>
              <w:t>9,096,690</w:t>
            </w:r>
          </w:p>
        </w:tc>
        <w:tc>
          <w:tcPr>
            <w:tcW w:w="1434" w:type="dxa"/>
            <w:tcBorders>
              <w:top w:val="single" w:sz="4" w:space="0" w:color="auto"/>
              <w:left w:val="nil"/>
              <w:bottom w:val="single" w:sz="4" w:space="0" w:color="auto"/>
              <w:right w:val="nil"/>
            </w:tcBorders>
            <w:noWrap/>
            <w:vAlign w:val="bottom"/>
            <w:hideMark/>
          </w:tcPr>
          <w:p w14:paraId="6B100408" w14:textId="77777777" w:rsidR="00437F84" w:rsidRDefault="00437F84">
            <w:pPr>
              <w:jc w:val="right"/>
              <w:rPr>
                <w:rFonts w:ascii="Arial" w:hAnsi="Arial" w:cs="Arial"/>
                <w:b/>
                <w:bCs/>
                <w:sz w:val="20"/>
                <w:szCs w:val="20"/>
              </w:rPr>
            </w:pPr>
            <w:r>
              <w:rPr>
                <w:rFonts w:ascii="Arial" w:hAnsi="Arial" w:cs="Arial"/>
                <w:b/>
                <w:bCs/>
                <w:sz w:val="20"/>
                <w:szCs w:val="20"/>
              </w:rPr>
              <w:t>9,287,530</w:t>
            </w:r>
          </w:p>
        </w:tc>
        <w:tc>
          <w:tcPr>
            <w:tcW w:w="1239" w:type="dxa"/>
            <w:tcBorders>
              <w:top w:val="single" w:sz="4" w:space="0" w:color="auto"/>
              <w:left w:val="nil"/>
              <w:bottom w:val="single" w:sz="4" w:space="0" w:color="auto"/>
              <w:right w:val="nil"/>
            </w:tcBorders>
            <w:noWrap/>
            <w:vAlign w:val="bottom"/>
            <w:hideMark/>
          </w:tcPr>
          <w:p w14:paraId="60778ED5" w14:textId="77777777" w:rsidR="00437F84" w:rsidRDefault="00437F84">
            <w:pPr>
              <w:jc w:val="right"/>
              <w:rPr>
                <w:rFonts w:ascii="Arial" w:hAnsi="Arial" w:cs="Arial"/>
                <w:b/>
                <w:bCs/>
                <w:sz w:val="20"/>
                <w:szCs w:val="20"/>
              </w:rPr>
            </w:pPr>
            <w:r>
              <w:rPr>
                <w:rFonts w:ascii="Arial" w:hAnsi="Arial" w:cs="Arial"/>
                <w:b/>
                <w:bCs/>
                <w:sz w:val="20"/>
                <w:szCs w:val="20"/>
              </w:rPr>
              <w:t>9,461,010</w:t>
            </w:r>
          </w:p>
        </w:tc>
        <w:tc>
          <w:tcPr>
            <w:tcW w:w="1239" w:type="dxa"/>
            <w:tcBorders>
              <w:top w:val="single" w:sz="4" w:space="0" w:color="auto"/>
              <w:left w:val="nil"/>
              <w:bottom w:val="single" w:sz="4" w:space="0" w:color="auto"/>
              <w:right w:val="nil"/>
            </w:tcBorders>
            <w:noWrap/>
            <w:vAlign w:val="bottom"/>
            <w:hideMark/>
          </w:tcPr>
          <w:p w14:paraId="65AF58D1" w14:textId="77777777" w:rsidR="00437F84" w:rsidRDefault="00437F84">
            <w:pPr>
              <w:jc w:val="right"/>
              <w:rPr>
                <w:rFonts w:ascii="Arial" w:hAnsi="Arial" w:cs="Arial"/>
                <w:b/>
                <w:bCs/>
                <w:sz w:val="20"/>
                <w:szCs w:val="20"/>
              </w:rPr>
            </w:pPr>
            <w:r>
              <w:rPr>
                <w:rFonts w:ascii="Arial" w:hAnsi="Arial" w:cs="Arial"/>
                <w:b/>
                <w:bCs/>
                <w:sz w:val="20"/>
                <w:szCs w:val="20"/>
              </w:rPr>
              <w:t>9,650,880</w:t>
            </w:r>
          </w:p>
        </w:tc>
      </w:tr>
      <w:tr w:rsidR="00CA78ED" w14:paraId="41C757E1" w14:textId="77777777" w:rsidTr="00452A3D">
        <w:trPr>
          <w:trHeight w:val="255"/>
        </w:trPr>
        <w:tc>
          <w:tcPr>
            <w:tcW w:w="3654" w:type="dxa"/>
            <w:tcBorders>
              <w:top w:val="nil"/>
              <w:left w:val="nil"/>
              <w:bottom w:val="nil"/>
              <w:right w:val="nil"/>
            </w:tcBorders>
            <w:noWrap/>
            <w:vAlign w:val="bottom"/>
            <w:hideMark/>
          </w:tcPr>
          <w:p w14:paraId="00D64758" w14:textId="77777777" w:rsidR="00437F84" w:rsidRDefault="00437F84">
            <w:pPr>
              <w:jc w:val="right"/>
              <w:rPr>
                <w:rFonts w:ascii="Arial" w:hAnsi="Arial" w:cs="Arial"/>
                <w:b/>
                <w:bCs/>
                <w:sz w:val="20"/>
                <w:szCs w:val="20"/>
              </w:rPr>
            </w:pPr>
          </w:p>
        </w:tc>
        <w:tc>
          <w:tcPr>
            <w:tcW w:w="1239" w:type="dxa"/>
            <w:tcBorders>
              <w:top w:val="nil"/>
              <w:left w:val="nil"/>
              <w:bottom w:val="nil"/>
              <w:right w:val="nil"/>
            </w:tcBorders>
            <w:noWrap/>
            <w:vAlign w:val="bottom"/>
            <w:hideMark/>
          </w:tcPr>
          <w:p w14:paraId="377BBD35" w14:textId="77777777" w:rsidR="00437F84" w:rsidRDefault="00437F84">
            <w:pPr>
              <w:rPr>
                <w:sz w:val="20"/>
                <w:szCs w:val="20"/>
              </w:rPr>
            </w:pPr>
          </w:p>
        </w:tc>
        <w:tc>
          <w:tcPr>
            <w:tcW w:w="1315" w:type="dxa"/>
            <w:tcBorders>
              <w:top w:val="nil"/>
              <w:left w:val="nil"/>
              <w:bottom w:val="nil"/>
              <w:right w:val="nil"/>
            </w:tcBorders>
            <w:noWrap/>
            <w:vAlign w:val="bottom"/>
            <w:hideMark/>
          </w:tcPr>
          <w:p w14:paraId="2116639D" w14:textId="77777777" w:rsidR="00437F84" w:rsidRDefault="00437F84">
            <w:pPr>
              <w:rPr>
                <w:sz w:val="20"/>
                <w:szCs w:val="20"/>
              </w:rPr>
            </w:pPr>
          </w:p>
        </w:tc>
        <w:tc>
          <w:tcPr>
            <w:tcW w:w="1434" w:type="dxa"/>
            <w:tcBorders>
              <w:top w:val="nil"/>
              <w:left w:val="nil"/>
              <w:bottom w:val="nil"/>
              <w:right w:val="nil"/>
            </w:tcBorders>
            <w:noWrap/>
            <w:vAlign w:val="bottom"/>
            <w:hideMark/>
          </w:tcPr>
          <w:p w14:paraId="72F8364E" w14:textId="77777777" w:rsidR="00437F84" w:rsidRDefault="00437F84">
            <w:pPr>
              <w:rPr>
                <w:sz w:val="20"/>
                <w:szCs w:val="20"/>
              </w:rPr>
            </w:pPr>
          </w:p>
        </w:tc>
        <w:tc>
          <w:tcPr>
            <w:tcW w:w="1239" w:type="dxa"/>
            <w:tcBorders>
              <w:top w:val="nil"/>
              <w:left w:val="nil"/>
              <w:bottom w:val="nil"/>
              <w:right w:val="nil"/>
            </w:tcBorders>
            <w:noWrap/>
            <w:vAlign w:val="bottom"/>
            <w:hideMark/>
          </w:tcPr>
          <w:p w14:paraId="374837FC" w14:textId="77777777" w:rsidR="00437F84" w:rsidRDefault="00437F84">
            <w:pPr>
              <w:rPr>
                <w:sz w:val="20"/>
                <w:szCs w:val="20"/>
              </w:rPr>
            </w:pPr>
          </w:p>
        </w:tc>
        <w:tc>
          <w:tcPr>
            <w:tcW w:w="1239" w:type="dxa"/>
            <w:tcBorders>
              <w:top w:val="nil"/>
              <w:left w:val="nil"/>
              <w:bottom w:val="nil"/>
              <w:right w:val="nil"/>
            </w:tcBorders>
            <w:noWrap/>
            <w:vAlign w:val="bottom"/>
            <w:hideMark/>
          </w:tcPr>
          <w:p w14:paraId="68989CE1" w14:textId="77777777" w:rsidR="00437F84" w:rsidRDefault="00437F84">
            <w:pPr>
              <w:rPr>
                <w:sz w:val="20"/>
                <w:szCs w:val="20"/>
              </w:rPr>
            </w:pPr>
          </w:p>
        </w:tc>
      </w:tr>
      <w:tr w:rsidR="00CA78ED" w14:paraId="0056B236" w14:textId="77777777" w:rsidTr="00452A3D">
        <w:trPr>
          <w:trHeight w:val="255"/>
        </w:trPr>
        <w:tc>
          <w:tcPr>
            <w:tcW w:w="3654" w:type="dxa"/>
            <w:tcBorders>
              <w:top w:val="nil"/>
              <w:left w:val="nil"/>
              <w:bottom w:val="nil"/>
              <w:right w:val="nil"/>
            </w:tcBorders>
            <w:noWrap/>
            <w:vAlign w:val="bottom"/>
            <w:hideMark/>
          </w:tcPr>
          <w:p w14:paraId="17831B0C" w14:textId="77777777" w:rsidR="00437F84" w:rsidRDefault="00437F84">
            <w:pPr>
              <w:rPr>
                <w:rFonts w:ascii="Arial" w:hAnsi="Arial" w:cs="Arial"/>
                <w:b/>
                <w:bCs/>
                <w:sz w:val="20"/>
                <w:szCs w:val="20"/>
                <w:u w:val="single"/>
              </w:rPr>
            </w:pPr>
            <w:r>
              <w:rPr>
                <w:rFonts w:ascii="Arial" w:hAnsi="Arial" w:cs="Arial"/>
                <w:b/>
                <w:bCs/>
                <w:sz w:val="20"/>
                <w:szCs w:val="20"/>
                <w:u w:val="single"/>
              </w:rPr>
              <w:t>Income</w:t>
            </w:r>
          </w:p>
        </w:tc>
        <w:tc>
          <w:tcPr>
            <w:tcW w:w="1239" w:type="dxa"/>
            <w:tcBorders>
              <w:top w:val="nil"/>
              <w:left w:val="nil"/>
              <w:bottom w:val="nil"/>
              <w:right w:val="nil"/>
            </w:tcBorders>
            <w:noWrap/>
            <w:vAlign w:val="bottom"/>
            <w:hideMark/>
          </w:tcPr>
          <w:p w14:paraId="1BB159B4" w14:textId="77777777" w:rsidR="00437F84" w:rsidRDefault="00437F84">
            <w:pPr>
              <w:rPr>
                <w:rFonts w:ascii="Arial" w:hAnsi="Arial" w:cs="Arial"/>
                <w:b/>
                <w:bCs/>
                <w:sz w:val="20"/>
                <w:szCs w:val="20"/>
                <w:u w:val="single"/>
              </w:rPr>
            </w:pPr>
          </w:p>
        </w:tc>
        <w:tc>
          <w:tcPr>
            <w:tcW w:w="1315" w:type="dxa"/>
            <w:tcBorders>
              <w:top w:val="nil"/>
              <w:left w:val="nil"/>
              <w:bottom w:val="nil"/>
              <w:right w:val="nil"/>
            </w:tcBorders>
            <w:noWrap/>
            <w:vAlign w:val="bottom"/>
            <w:hideMark/>
          </w:tcPr>
          <w:p w14:paraId="7DCB06A9" w14:textId="77777777" w:rsidR="00437F84" w:rsidRDefault="00437F84">
            <w:pPr>
              <w:rPr>
                <w:sz w:val="20"/>
                <w:szCs w:val="20"/>
              </w:rPr>
            </w:pPr>
          </w:p>
        </w:tc>
        <w:tc>
          <w:tcPr>
            <w:tcW w:w="1434" w:type="dxa"/>
            <w:tcBorders>
              <w:top w:val="nil"/>
              <w:left w:val="nil"/>
              <w:bottom w:val="nil"/>
              <w:right w:val="nil"/>
            </w:tcBorders>
            <w:noWrap/>
            <w:vAlign w:val="bottom"/>
            <w:hideMark/>
          </w:tcPr>
          <w:p w14:paraId="70CB6B0A" w14:textId="77777777" w:rsidR="00437F84" w:rsidRDefault="00437F84">
            <w:pPr>
              <w:rPr>
                <w:sz w:val="20"/>
                <w:szCs w:val="20"/>
              </w:rPr>
            </w:pPr>
          </w:p>
        </w:tc>
        <w:tc>
          <w:tcPr>
            <w:tcW w:w="1239" w:type="dxa"/>
            <w:tcBorders>
              <w:top w:val="nil"/>
              <w:left w:val="nil"/>
              <w:bottom w:val="nil"/>
              <w:right w:val="nil"/>
            </w:tcBorders>
            <w:noWrap/>
            <w:vAlign w:val="bottom"/>
            <w:hideMark/>
          </w:tcPr>
          <w:p w14:paraId="46D66355" w14:textId="77777777" w:rsidR="00437F84" w:rsidRDefault="00437F84">
            <w:pPr>
              <w:rPr>
                <w:sz w:val="20"/>
                <w:szCs w:val="20"/>
              </w:rPr>
            </w:pPr>
          </w:p>
        </w:tc>
        <w:tc>
          <w:tcPr>
            <w:tcW w:w="1239" w:type="dxa"/>
            <w:tcBorders>
              <w:top w:val="nil"/>
              <w:left w:val="nil"/>
              <w:bottom w:val="nil"/>
              <w:right w:val="nil"/>
            </w:tcBorders>
            <w:noWrap/>
            <w:vAlign w:val="bottom"/>
            <w:hideMark/>
          </w:tcPr>
          <w:p w14:paraId="29AD81BB" w14:textId="77777777" w:rsidR="00437F84" w:rsidRDefault="00437F84">
            <w:pPr>
              <w:rPr>
                <w:sz w:val="20"/>
                <w:szCs w:val="20"/>
              </w:rPr>
            </w:pPr>
          </w:p>
        </w:tc>
      </w:tr>
      <w:tr w:rsidR="00CA78ED" w14:paraId="3E78EA8C" w14:textId="77777777" w:rsidTr="00452A3D">
        <w:trPr>
          <w:trHeight w:val="255"/>
        </w:trPr>
        <w:tc>
          <w:tcPr>
            <w:tcW w:w="3654" w:type="dxa"/>
            <w:tcBorders>
              <w:top w:val="nil"/>
              <w:left w:val="nil"/>
              <w:bottom w:val="nil"/>
              <w:right w:val="nil"/>
            </w:tcBorders>
            <w:noWrap/>
            <w:vAlign w:val="bottom"/>
            <w:hideMark/>
          </w:tcPr>
          <w:p w14:paraId="18FF7BD7" w14:textId="77777777" w:rsidR="00437F84" w:rsidRDefault="00437F84">
            <w:pPr>
              <w:rPr>
                <w:rFonts w:ascii="Arial" w:hAnsi="Arial" w:cs="Arial"/>
                <w:sz w:val="20"/>
                <w:szCs w:val="20"/>
              </w:rPr>
            </w:pPr>
            <w:r>
              <w:rPr>
                <w:rFonts w:ascii="Arial" w:hAnsi="Arial" w:cs="Arial"/>
                <w:sz w:val="20"/>
                <w:szCs w:val="20"/>
              </w:rPr>
              <w:t>Other Income</w:t>
            </w:r>
          </w:p>
        </w:tc>
        <w:tc>
          <w:tcPr>
            <w:tcW w:w="1239" w:type="dxa"/>
            <w:tcBorders>
              <w:top w:val="nil"/>
              <w:left w:val="nil"/>
              <w:bottom w:val="nil"/>
              <w:right w:val="nil"/>
            </w:tcBorders>
            <w:noWrap/>
            <w:vAlign w:val="bottom"/>
            <w:hideMark/>
          </w:tcPr>
          <w:p w14:paraId="1C3E9FC1" w14:textId="77777777" w:rsidR="00437F84" w:rsidRDefault="00437F84">
            <w:pPr>
              <w:jc w:val="right"/>
              <w:rPr>
                <w:rFonts w:ascii="Arial" w:hAnsi="Arial" w:cs="Arial"/>
                <w:sz w:val="20"/>
                <w:szCs w:val="20"/>
              </w:rPr>
            </w:pPr>
            <w:r w:rsidRPr="004504E9">
              <w:rPr>
                <w:rFonts w:ascii="Arial" w:hAnsi="Arial" w:cs="Arial"/>
                <w:sz w:val="20"/>
                <w:szCs w:val="20"/>
              </w:rPr>
              <w:t>(242,280)</w:t>
            </w:r>
          </w:p>
        </w:tc>
        <w:tc>
          <w:tcPr>
            <w:tcW w:w="1315" w:type="dxa"/>
            <w:tcBorders>
              <w:top w:val="nil"/>
              <w:left w:val="nil"/>
              <w:bottom w:val="nil"/>
              <w:right w:val="nil"/>
            </w:tcBorders>
            <w:noWrap/>
            <w:vAlign w:val="bottom"/>
            <w:hideMark/>
          </w:tcPr>
          <w:p w14:paraId="29837D3F" w14:textId="77777777" w:rsidR="00437F84" w:rsidRDefault="00437F84">
            <w:pPr>
              <w:jc w:val="right"/>
              <w:rPr>
                <w:rFonts w:ascii="Arial" w:hAnsi="Arial" w:cs="Arial"/>
                <w:sz w:val="20"/>
                <w:szCs w:val="20"/>
              </w:rPr>
            </w:pPr>
            <w:r w:rsidRPr="004504E9">
              <w:rPr>
                <w:rFonts w:ascii="Arial" w:hAnsi="Arial" w:cs="Arial"/>
                <w:sz w:val="20"/>
                <w:szCs w:val="20"/>
              </w:rPr>
              <w:t>(243,360)</w:t>
            </w:r>
          </w:p>
        </w:tc>
        <w:tc>
          <w:tcPr>
            <w:tcW w:w="1434" w:type="dxa"/>
            <w:tcBorders>
              <w:top w:val="nil"/>
              <w:left w:val="nil"/>
              <w:bottom w:val="nil"/>
              <w:right w:val="nil"/>
            </w:tcBorders>
            <w:noWrap/>
            <w:vAlign w:val="bottom"/>
            <w:hideMark/>
          </w:tcPr>
          <w:p w14:paraId="3468A68A" w14:textId="77777777" w:rsidR="00437F84" w:rsidRDefault="00437F84">
            <w:pPr>
              <w:jc w:val="right"/>
              <w:rPr>
                <w:rFonts w:ascii="Arial" w:hAnsi="Arial" w:cs="Arial"/>
                <w:sz w:val="20"/>
                <w:szCs w:val="20"/>
              </w:rPr>
            </w:pPr>
            <w:r w:rsidRPr="004504E9">
              <w:rPr>
                <w:rFonts w:ascii="Arial" w:hAnsi="Arial" w:cs="Arial"/>
                <w:sz w:val="20"/>
                <w:szCs w:val="20"/>
              </w:rPr>
              <w:t>(244,560)</w:t>
            </w:r>
          </w:p>
        </w:tc>
        <w:tc>
          <w:tcPr>
            <w:tcW w:w="1239" w:type="dxa"/>
            <w:tcBorders>
              <w:top w:val="nil"/>
              <w:left w:val="nil"/>
              <w:bottom w:val="nil"/>
              <w:right w:val="nil"/>
            </w:tcBorders>
            <w:noWrap/>
            <w:vAlign w:val="bottom"/>
            <w:hideMark/>
          </w:tcPr>
          <w:p w14:paraId="2DC9CF01" w14:textId="77777777" w:rsidR="00437F84" w:rsidRDefault="00437F84">
            <w:pPr>
              <w:jc w:val="right"/>
              <w:rPr>
                <w:rFonts w:ascii="Arial" w:hAnsi="Arial" w:cs="Arial"/>
                <w:sz w:val="20"/>
                <w:szCs w:val="20"/>
              </w:rPr>
            </w:pPr>
            <w:r w:rsidRPr="004504E9">
              <w:rPr>
                <w:rFonts w:ascii="Arial" w:hAnsi="Arial" w:cs="Arial"/>
                <w:sz w:val="20"/>
                <w:szCs w:val="20"/>
              </w:rPr>
              <w:t>(245,790)</w:t>
            </w:r>
          </w:p>
        </w:tc>
        <w:tc>
          <w:tcPr>
            <w:tcW w:w="1239" w:type="dxa"/>
            <w:tcBorders>
              <w:top w:val="nil"/>
              <w:left w:val="nil"/>
              <w:bottom w:val="nil"/>
              <w:right w:val="nil"/>
            </w:tcBorders>
            <w:noWrap/>
            <w:vAlign w:val="bottom"/>
            <w:hideMark/>
          </w:tcPr>
          <w:p w14:paraId="32172F28" w14:textId="77777777" w:rsidR="00437F84" w:rsidRDefault="00437F84">
            <w:pPr>
              <w:jc w:val="right"/>
              <w:rPr>
                <w:rFonts w:ascii="Arial" w:hAnsi="Arial" w:cs="Arial"/>
                <w:sz w:val="20"/>
                <w:szCs w:val="20"/>
              </w:rPr>
            </w:pPr>
            <w:r w:rsidRPr="004504E9">
              <w:rPr>
                <w:rFonts w:ascii="Arial" w:hAnsi="Arial" w:cs="Arial"/>
                <w:sz w:val="20"/>
                <w:szCs w:val="20"/>
              </w:rPr>
              <w:t>(247,060)</w:t>
            </w:r>
          </w:p>
        </w:tc>
      </w:tr>
      <w:tr w:rsidR="00CA78ED" w14:paraId="7751761F" w14:textId="77777777" w:rsidTr="00452A3D">
        <w:trPr>
          <w:trHeight w:val="255"/>
        </w:trPr>
        <w:tc>
          <w:tcPr>
            <w:tcW w:w="3654" w:type="dxa"/>
            <w:tcBorders>
              <w:top w:val="nil"/>
              <w:left w:val="nil"/>
              <w:bottom w:val="nil"/>
              <w:right w:val="nil"/>
            </w:tcBorders>
            <w:noWrap/>
            <w:vAlign w:val="bottom"/>
            <w:hideMark/>
          </w:tcPr>
          <w:p w14:paraId="3FCACE9B" w14:textId="77777777" w:rsidR="00437F84" w:rsidRDefault="00437F84">
            <w:pPr>
              <w:rPr>
                <w:rFonts w:ascii="Arial" w:hAnsi="Arial" w:cs="Arial"/>
                <w:sz w:val="20"/>
                <w:szCs w:val="20"/>
              </w:rPr>
            </w:pPr>
            <w:r>
              <w:rPr>
                <w:rFonts w:ascii="Arial" w:hAnsi="Arial" w:cs="Arial"/>
                <w:sz w:val="20"/>
                <w:szCs w:val="20"/>
              </w:rPr>
              <w:t>Responsive</w:t>
            </w:r>
          </w:p>
        </w:tc>
        <w:tc>
          <w:tcPr>
            <w:tcW w:w="1239" w:type="dxa"/>
            <w:tcBorders>
              <w:top w:val="nil"/>
              <w:left w:val="nil"/>
              <w:bottom w:val="nil"/>
              <w:right w:val="nil"/>
            </w:tcBorders>
            <w:noWrap/>
            <w:vAlign w:val="bottom"/>
            <w:hideMark/>
          </w:tcPr>
          <w:p w14:paraId="6264F0AA" w14:textId="77777777" w:rsidR="00437F84" w:rsidRDefault="00437F84">
            <w:pPr>
              <w:jc w:val="right"/>
              <w:rPr>
                <w:rFonts w:ascii="Arial" w:hAnsi="Arial" w:cs="Arial"/>
                <w:sz w:val="20"/>
                <w:szCs w:val="20"/>
              </w:rPr>
            </w:pPr>
            <w:r w:rsidRPr="004504E9">
              <w:rPr>
                <w:rFonts w:ascii="Arial" w:hAnsi="Arial" w:cs="Arial"/>
                <w:sz w:val="20"/>
                <w:szCs w:val="20"/>
              </w:rPr>
              <w:t>(5,223,610)</w:t>
            </w:r>
          </w:p>
        </w:tc>
        <w:tc>
          <w:tcPr>
            <w:tcW w:w="1315" w:type="dxa"/>
            <w:tcBorders>
              <w:top w:val="nil"/>
              <w:left w:val="nil"/>
              <w:bottom w:val="nil"/>
              <w:right w:val="nil"/>
            </w:tcBorders>
            <w:noWrap/>
            <w:vAlign w:val="bottom"/>
            <w:hideMark/>
          </w:tcPr>
          <w:p w14:paraId="55719A39" w14:textId="77777777" w:rsidR="00437F84" w:rsidRDefault="00437F84">
            <w:pPr>
              <w:jc w:val="right"/>
              <w:rPr>
                <w:rFonts w:ascii="Arial" w:hAnsi="Arial" w:cs="Arial"/>
                <w:sz w:val="20"/>
                <w:szCs w:val="20"/>
              </w:rPr>
            </w:pPr>
            <w:r w:rsidRPr="004504E9">
              <w:rPr>
                <w:rFonts w:ascii="Arial" w:hAnsi="Arial" w:cs="Arial"/>
                <w:sz w:val="20"/>
                <w:szCs w:val="20"/>
              </w:rPr>
              <w:t>(5,341,550)</w:t>
            </w:r>
          </w:p>
        </w:tc>
        <w:tc>
          <w:tcPr>
            <w:tcW w:w="1434" w:type="dxa"/>
            <w:tcBorders>
              <w:top w:val="nil"/>
              <w:left w:val="nil"/>
              <w:bottom w:val="nil"/>
              <w:right w:val="nil"/>
            </w:tcBorders>
            <w:noWrap/>
            <w:vAlign w:val="bottom"/>
            <w:hideMark/>
          </w:tcPr>
          <w:p w14:paraId="02366F34" w14:textId="77777777" w:rsidR="00437F84" w:rsidRDefault="00437F84">
            <w:pPr>
              <w:jc w:val="right"/>
              <w:rPr>
                <w:rFonts w:ascii="Arial" w:hAnsi="Arial" w:cs="Arial"/>
                <w:sz w:val="20"/>
                <w:szCs w:val="20"/>
              </w:rPr>
            </w:pPr>
            <w:r w:rsidRPr="004504E9">
              <w:rPr>
                <w:rFonts w:ascii="Arial" w:hAnsi="Arial" w:cs="Arial"/>
                <w:sz w:val="20"/>
                <w:szCs w:val="20"/>
              </w:rPr>
              <w:t>(5,466,960)</w:t>
            </w:r>
          </w:p>
        </w:tc>
        <w:tc>
          <w:tcPr>
            <w:tcW w:w="1239" w:type="dxa"/>
            <w:tcBorders>
              <w:top w:val="nil"/>
              <w:left w:val="nil"/>
              <w:bottom w:val="nil"/>
              <w:right w:val="nil"/>
            </w:tcBorders>
            <w:noWrap/>
            <w:vAlign w:val="bottom"/>
            <w:hideMark/>
          </w:tcPr>
          <w:p w14:paraId="7D54BFFB" w14:textId="77777777" w:rsidR="00437F84" w:rsidRDefault="00437F84">
            <w:pPr>
              <w:jc w:val="right"/>
              <w:rPr>
                <w:rFonts w:ascii="Arial" w:hAnsi="Arial" w:cs="Arial"/>
                <w:sz w:val="20"/>
                <w:szCs w:val="20"/>
              </w:rPr>
            </w:pPr>
            <w:r w:rsidRPr="004504E9">
              <w:rPr>
                <w:rFonts w:ascii="Arial" w:hAnsi="Arial" w:cs="Arial"/>
                <w:sz w:val="20"/>
                <w:szCs w:val="20"/>
              </w:rPr>
              <w:t>(5,561,460)</w:t>
            </w:r>
          </w:p>
        </w:tc>
        <w:tc>
          <w:tcPr>
            <w:tcW w:w="1239" w:type="dxa"/>
            <w:tcBorders>
              <w:top w:val="nil"/>
              <w:left w:val="nil"/>
              <w:bottom w:val="nil"/>
              <w:right w:val="nil"/>
            </w:tcBorders>
            <w:noWrap/>
            <w:vAlign w:val="bottom"/>
            <w:hideMark/>
          </w:tcPr>
          <w:p w14:paraId="3755F2D4" w14:textId="77777777" w:rsidR="00437F84" w:rsidRDefault="00437F84">
            <w:pPr>
              <w:jc w:val="right"/>
              <w:rPr>
                <w:rFonts w:ascii="Arial" w:hAnsi="Arial" w:cs="Arial"/>
                <w:sz w:val="20"/>
                <w:szCs w:val="20"/>
              </w:rPr>
            </w:pPr>
            <w:r w:rsidRPr="004504E9">
              <w:rPr>
                <w:rFonts w:ascii="Arial" w:hAnsi="Arial" w:cs="Arial"/>
                <w:sz w:val="20"/>
                <w:szCs w:val="20"/>
              </w:rPr>
              <w:t>(5,688,650)</w:t>
            </w:r>
          </w:p>
        </w:tc>
      </w:tr>
      <w:tr w:rsidR="00CA78ED" w14:paraId="000D1D99" w14:textId="77777777" w:rsidTr="00452A3D">
        <w:trPr>
          <w:trHeight w:val="255"/>
        </w:trPr>
        <w:tc>
          <w:tcPr>
            <w:tcW w:w="3654" w:type="dxa"/>
            <w:tcBorders>
              <w:top w:val="nil"/>
              <w:left w:val="nil"/>
              <w:bottom w:val="nil"/>
              <w:right w:val="nil"/>
            </w:tcBorders>
            <w:noWrap/>
            <w:vAlign w:val="bottom"/>
            <w:hideMark/>
          </w:tcPr>
          <w:p w14:paraId="0B2D6B91" w14:textId="77777777" w:rsidR="00437F84" w:rsidRDefault="00437F84">
            <w:pPr>
              <w:rPr>
                <w:rFonts w:ascii="Arial" w:hAnsi="Arial" w:cs="Arial"/>
                <w:sz w:val="20"/>
                <w:szCs w:val="20"/>
              </w:rPr>
            </w:pPr>
            <w:r>
              <w:rPr>
                <w:rFonts w:ascii="Arial" w:hAnsi="Arial" w:cs="Arial"/>
                <w:sz w:val="20"/>
                <w:szCs w:val="20"/>
              </w:rPr>
              <w:t>Voids</w:t>
            </w:r>
          </w:p>
        </w:tc>
        <w:tc>
          <w:tcPr>
            <w:tcW w:w="1239" w:type="dxa"/>
            <w:tcBorders>
              <w:top w:val="nil"/>
              <w:left w:val="nil"/>
              <w:bottom w:val="nil"/>
              <w:right w:val="nil"/>
            </w:tcBorders>
            <w:noWrap/>
            <w:vAlign w:val="bottom"/>
            <w:hideMark/>
          </w:tcPr>
          <w:p w14:paraId="68844728" w14:textId="77777777" w:rsidR="00437F84" w:rsidRDefault="00437F84">
            <w:pPr>
              <w:jc w:val="right"/>
              <w:rPr>
                <w:rFonts w:ascii="Arial" w:hAnsi="Arial" w:cs="Arial"/>
                <w:sz w:val="20"/>
                <w:szCs w:val="20"/>
              </w:rPr>
            </w:pPr>
            <w:r w:rsidRPr="004504E9">
              <w:rPr>
                <w:rFonts w:ascii="Arial" w:hAnsi="Arial" w:cs="Arial"/>
                <w:sz w:val="20"/>
                <w:szCs w:val="20"/>
              </w:rPr>
              <w:t>(2,797,120)</w:t>
            </w:r>
          </w:p>
        </w:tc>
        <w:tc>
          <w:tcPr>
            <w:tcW w:w="1315" w:type="dxa"/>
            <w:tcBorders>
              <w:top w:val="nil"/>
              <w:left w:val="nil"/>
              <w:bottom w:val="nil"/>
              <w:right w:val="nil"/>
            </w:tcBorders>
            <w:noWrap/>
            <w:vAlign w:val="bottom"/>
            <w:hideMark/>
          </w:tcPr>
          <w:p w14:paraId="35AAAD30" w14:textId="77777777" w:rsidR="00437F84" w:rsidRDefault="00437F84">
            <w:pPr>
              <w:jc w:val="right"/>
              <w:rPr>
                <w:rFonts w:ascii="Arial" w:hAnsi="Arial" w:cs="Arial"/>
                <w:sz w:val="20"/>
                <w:szCs w:val="20"/>
              </w:rPr>
            </w:pPr>
            <w:r w:rsidRPr="004504E9">
              <w:rPr>
                <w:rFonts w:ascii="Arial" w:hAnsi="Arial" w:cs="Arial"/>
                <w:sz w:val="20"/>
                <w:szCs w:val="20"/>
              </w:rPr>
              <w:t>(2,836,860)</w:t>
            </w:r>
          </w:p>
        </w:tc>
        <w:tc>
          <w:tcPr>
            <w:tcW w:w="1434" w:type="dxa"/>
            <w:tcBorders>
              <w:top w:val="nil"/>
              <w:left w:val="nil"/>
              <w:bottom w:val="nil"/>
              <w:right w:val="nil"/>
            </w:tcBorders>
            <w:noWrap/>
            <w:vAlign w:val="bottom"/>
            <w:hideMark/>
          </w:tcPr>
          <w:p w14:paraId="6FC2D43D" w14:textId="77777777" w:rsidR="00437F84" w:rsidRDefault="00437F84">
            <w:pPr>
              <w:jc w:val="right"/>
              <w:rPr>
                <w:rFonts w:ascii="Arial" w:hAnsi="Arial" w:cs="Arial"/>
                <w:sz w:val="20"/>
                <w:szCs w:val="20"/>
              </w:rPr>
            </w:pPr>
            <w:r w:rsidRPr="004504E9">
              <w:rPr>
                <w:rFonts w:ascii="Arial" w:hAnsi="Arial" w:cs="Arial"/>
                <w:sz w:val="20"/>
                <w:szCs w:val="20"/>
              </w:rPr>
              <w:t>(2,887,410)</w:t>
            </w:r>
          </w:p>
        </w:tc>
        <w:tc>
          <w:tcPr>
            <w:tcW w:w="1239" w:type="dxa"/>
            <w:tcBorders>
              <w:top w:val="nil"/>
              <w:left w:val="nil"/>
              <w:bottom w:val="nil"/>
              <w:right w:val="nil"/>
            </w:tcBorders>
            <w:noWrap/>
            <w:vAlign w:val="bottom"/>
            <w:hideMark/>
          </w:tcPr>
          <w:p w14:paraId="20552525" w14:textId="77777777" w:rsidR="00437F84" w:rsidRDefault="00437F84">
            <w:pPr>
              <w:jc w:val="right"/>
              <w:rPr>
                <w:rFonts w:ascii="Arial" w:hAnsi="Arial" w:cs="Arial"/>
                <w:sz w:val="20"/>
                <w:szCs w:val="20"/>
              </w:rPr>
            </w:pPr>
            <w:r w:rsidRPr="004504E9">
              <w:rPr>
                <w:rFonts w:ascii="Arial" w:hAnsi="Arial" w:cs="Arial"/>
                <w:sz w:val="20"/>
                <w:szCs w:val="20"/>
              </w:rPr>
              <w:t>(2,943,390)</w:t>
            </w:r>
          </w:p>
        </w:tc>
        <w:tc>
          <w:tcPr>
            <w:tcW w:w="1239" w:type="dxa"/>
            <w:tcBorders>
              <w:top w:val="nil"/>
              <w:left w:val="nil"/>
              <w:bottom w:val="nil"/>
              <w:right w:val="nil"/>
            </w:tcBorders>
            <w:noWrap/>
            <w:vAlign w:val="bottom"/>
            <w:hideMark/>
          </w:tcPr>
          <w:p w14:paraId="7D7EAF04" w14:textId="77777777" w:rsidR="00437F84" w:rsidRDefault="00437F84">
            <w:pPr>
              <w:jc w:val="right"/>
              <w:rPr>
                <w:rFonts w:ascii="Arial" w:hAnsi="Arial" w:cs="Arial"/>
                <w:sz w:val="20"/>
                <w:szCs w:val="20"/>
              </w:rPr>
            </w:pPr>
            <w:r w:rsidRPr="004504E9">
              <w:rPr>
                <w:rFonts w:ascii="Arial" w:hAnsi="Arial" w:cs="Arial"/>
                <w:sz w:val="20"/>
                <w:szCs w:val="20"/>
              </w:rPr>
              <w:t>(2,971,640)</w:t>
            </w:r>
          </w:p>
        </w:tc>
      </w:tr>
      <w:tr w:rsidR="00CA78ED" w14:paraId="05D5A8E8" w14:textId="77777777" w:rsidTr="00452A3D">
        <w:trPr>
          <w:trHeight w:val="255"/>
        </w:trPr>
        <w:tc>
          <w:tcPr>
            <w:tcW w:w="3654" w:type="dxa"/>
            <w:tcBorders>
              <w:top w:val="nil"/>
              <w:left w:val="nil"/>
              <w:bottom w:val="nil"/>
              <w:right w:val="nil"/>
            </w:tcBorders>
            <w:noWrap/>
            <w:vAlign w:val="bottom"/>
            <w:hideMark/>
          </w:tcPr>
          <w:p w14:paraId="123534DA" w14:textId="77777777" w:rsidR="00437F84" w:rsidRDefault="00437F84">
            <w:pPr>
              <w:rPr>
                <w:rFonts w:ascii="Arial" w:hAnsi="Arial" w:cs="Arial"/>
                <w:sz w:val="20"/>
                <w:szCs w:val="20"/>
              </w:rPr>
            </w:pPr>
            <w:r>
              <w:rPr>
                <w:rFonts w:ascii="Arial" w:hAnsi="Arial" w:cs="Arial"/>
                <w:sz w:val="20"/>
                <w:szCs w:val="20"/>
              </w:rPr>
              <w:t>Aids &amp; Adapts</w:t>
            </w:r>
          </w:p>
        </w:tc>
        <w:tc>
          <w:tcPr>
            <w:tcW w:w="1239" w:type="dxa"/>
            <w:tcBorders>
              <w:top w:val="nil"/>
              <w:left w:val="nil"/>
              <w:bottom w:val="nil"/>
              <w:right w:val="nil"/>
            </w:tcBorders>
            <w:noWrap/>
            <w:vAlign w:val="bottom"/>
            <w:hideMark/>
          </w:tcPr>
          <w:p w14:paraId="1E394080" w14:textId="77777777" w:rsidR="00437F84" w:rsidRDefault="00437F84">
            <w:pPr>
              <w:jc w:val="right"/>
              <w:rPr>
                <w:rFonts w:ascii="Arial" w:hAnsi="Arial" w:cs="Arial"/>
                <w:sz w:val="20"/>
                <w:szCs w:val="20"/>
              </w:rPr>
            </w:pPr>
            <w:r w:rsidRPr="004504E9">
              <w:rPr>
                <w:rFonts w:ascii="Arial" w:hAnsi="Arial" w:cs="Arial"/>
                <w:sz w:val="20"/>
                <w:szCs w:val="20"/>
              </w:rPr>
              <w:t>(578,550)</w:t>
            </w:r>
          </w:p>
        </w:tc>
        <w:tc>
          <w:tcPr>
            <w:tcW w:w="1315" w:type="dxa"/>
            <w:tcBorders>
              <w:top w:val="nil"/>
              <w:left w:val="nil"/>
              <w:bottom w:val="nil"/>
              <w:right w:val="nil"/>
            </w:tcBorders>
            <w:noWrap/>
            <w:vAlign w:val="bottom"/>
            <w:hideMark/>
          </w:tcPr>
          <w:p w14:paraId="156C4391" w14:textId="77777777" w:rsidR="00437F84" w:rsidRDefault="00437F84">
            <w:pPr>
              <w:jc w:val="right"/>
              <w:rPr>
                <w:rFonts w:ascii="Arial" w:hAnsi="Arial" w:cs="Arial"/>
                <w:sz w:val="20"/>
                <w:szCs w:val="20"/>
              </w:rPr>
            </w:pPr>
            <w:r w:rsidRPr="004504E9">
              <w:rPr>
                <w:rFonts w:ascii="Arial" w:hAnsi="Arial" w:cs="Arial"/>
                <w:sz w:val="20"/>
                <w:szCs w:val="20"/>
              </w:rPr>
              <w:t>(591,260)</w:t>
            </w:r>
          </w:p>
        </w:tc>
        <w:tc>
          <w:tcPr>
            <w:tcW w:w="1434" w:type="dxa"/>
            <w:tcBorders>
              <w:top w:val="nil"/>
              <w:left w:val="nil"/>
              <w:bottom w:val="nil"/>
              <w:right w:val="nil"/>
            </w:tcBorders>
            <w:noWrap/>
            <w:vAlign w:val="bottom"/>
            <w:hideMark/>
          </w:tcPr>
          <w:p w14:paraId="7568C380" w14:textId="77777777" w:rsidR="00437F84" w:rsidRDefault="00437F84">
            <w:pPr>
              <w:jc w:val="right"/>
              <w:rPr>
                <w:rFonts w:ascii="Arial" w:hAnsi="Arial" w:cs="Arial"/>
                <w:sz w:val="20"/>
                <w:szCs w:val="20"/>
              </w:rPr>
            </w:pPr>
            <w:r w:rsidRPr="004504E9">
              <w:rPr>
                <w:rFonts w:ascii="Arial" w:hAnsi="Arial" w:cs="Arial"/>
                <w:sz w:val="20"/>
                <w:szCs w:val="20"/>
              </w:rPr>
              <w:t>(603,260)</w:t>
            </w:r>
          </w:p>
        </w:tc>
        <w:tc>
          <w:tcPr>
            <w:tcW w:w="1239" w:type="dxa"/>
            <w:tcBorders>
              <w:top w:val="nil"/>
              <w:left w:val="nil"/>
              <w:bottom w:val="nil"/>
              <w:right w:val="nil"/>
            </w:tcBorders>
            <w:noWrap/>
            <w:vAlign w:val="bottom"/>
            <w:hideMark/>
          </w:tcPr>
          <w:p w14:paraId="4F20FDAF" w14:textId="77777777" w:rsidR="00437F84" w:rsidRDefault="00437F84">
            <w:pPr>
              <w:jc w:val="right"/>
              <w:rPr>
                <w:rFonts w:ascii="Arial" w:hAnsi="Arial" w:cs="Arial"/>
                <w:sz w:val="20"/>
                <w:szCs w:val="20"/>
              </w:rPr>
            </w:pPr>
            <w:r w:rsidRPr="004504E9">
              <w:rPr>
                <w:rFonts w:ascii="Arial" w:hAnsi="Arial" w:cs="Arial"/>
                <w:sz w:val="20"/>
                <w:szCs w:val="20"/>
              </w:rPr>
              <w:t>(623,380)</w:t>
            </w:r>
          </w:p>
        </w:tc>
        <w:tc>
          <w:tcPr>
            <w:tcW w:w="1239" w:type="dxa"/>
            <w:tcBorders>
              <w:top w:val="nil"/>
              <w:left w:val="nil"/>
              <w:bottom w:val="nil"/>
              <w:right w:val="nil"/>
            </w:tcBorders>
            <w:noWrap/>
            <w:vAlign w:val="bottom"/>
            <w:hideMark/>
          </w:tcPr>
          <w:p w14:paraId="3FB109E7" w14:textId="77777777" w:rsidR="00437F84" w:rsidRDefault="00437F84">
            <w:pPr>
              <w:jc w:val="right"/>
              <w:rPr>
                <w:rFonts w:ascii="Arial" w:hAnsi="Arial" w:cs="Arial"/>
                <w:sz w:val="20"/>
                <w:szCs w:val="20"/>
              </w:rPr>
            </w:pPr>
            <w:r w:rsidRPr="004504E9">
              <w:rPr>
                <w:rFonts w:ascii="Arial" w:hAnsi="Arial" w:cs="Arial"/>
                <w:sz w:val="20"/>
                <w:szCs w:val="20"/>
              </w:rPr>
              <w:t>(655,980)</w:t>
            </w:r>
          </w:p>
        </w:tc>
      </w:tr>
      <w:tr w:rsidR="00CA78ED" w14:paraId="097E86B3" w14:textId="77777777" w:rsidTr="00452A3D">
        <w:trPr>
          <w:trHeight w:val="255"/>
        </w:trPr>
        <w:tc>
          <w:tcPr>
            <w:tcW w:w="3654" w:type="dxa"/>
            <w:tcBorders>
              <w:top w:val="nil"/>
              <w:left w:val="nil"/>
              <w:bottom w:val="nil"/>
              <w:right w:val="nil"/>
            </w:tcBorders>
            <w:noWrap/>
            <w:vAlign w:val="bottom"/>
            <w:hideMark/>
          </w:tcPr>
          <w:p w14:paraId="70BD726B" w14:textId="77777777" w:rsidR="00437F84" w:rsidRDefault="00437F84">
            <w:pPr>
              <w:rPr>
                <w:rFonts w:ascii="Arial" w:hAnsi="Arial" w:cs="Arial"/>
                <w:sz w:val="20"/>
                <w:szCs w:val="20"/>
              </w:rPr>
            </w:pPr>
            <w:r>
              <w:rPr>
                <w:rFonts w:ascii="Arial" w:hAnsi="Arial" w:cs="Arial"/>
                <w:sz w:val="20"/>
                <w:szCs w:val="20"/>
              </w:rPr>
              <w:t>Cleansing</w:t>
            </w:r>
          </w:p>
        </w:tc>
        <w:tc>
          <w:tcPr>
            <w:tcW w:w="1239" w:type="dxa"/>
            <w:tcBorders>
              <w:top w:val="nil"/>
              <w:left w:val="nil"/>
              <w:bottom w:val="nil"/>
              <w:right w:val="nil"/>
            </w:tcBorders>
            <w:noWrap/>
            <w:vAlign w:val="bottom"/>
            <w:hideMark/>
          </w:tcPr>
          <w:p w14:paraId="2EDB5E2B" w14:textId="77777777" w:rsidR="00437F84" w:rsidRDefault="00437F84">
            <w:pPr>
              <w:jc w:val="right"/>
              <w:rPr>
                <w:rFonts w:ascii="Arial" w:hAnsi="Arial" w:cs="Arial"/>
                <w:sz w:val="20"/>
                <w:szCs w:val="20"/>
              </w:rPr>
            </w:pPr>
            <w:r w:rsidRPr="004504E9">
              <w:rPr>
                <w:rFonts w:ascii="Arial" w:hAnsi="Arial" w:cs="Arial"/>
                <w:sz w:val="20"/>
                <w:szCs w:val="20"/>
              </w:rPr>
              <w:t>(81,730)</w:t>
            </w:r>
          </w:p>
        </w:tc>
        <w:tc>
          <w:tcPr>
            <w:tcW w:w="1315" w:type="dxa"/>
            <w:tcBorders>
              <w:top w:val="nil"/>
              <w:left w:val="nil"/>
              <w:bottom w:val="nil"/>
              <w:right w:val="nil"/>
            </w:tcBorders>
            <w:noWrap/>
            <w:vAlign w:val="bottom"/>
            <w:hideMark/>
          </w:tcPr>
          <w:p w14:paraId="30B875A8" w14:textId="77777777" w:rsidR="00437F84" w:rsidRDefault="00437F84">
            <w:pPr>
              <w:jc w:val="right"/>
              <w:rPr>
                <w:rFonts w:ascii="Arial" w:hAnsi="Arial" w:cs="Arial"/>
                <w:sz w:val="20"/>
                <w:szCs w:val="20"/>
              </w:rPr>
            </w:pPr>
            <w:r w:rsidRPr="004504E9">
              <w:rPr>
                <w:rFonts w:ascii="Arial" w:hAnsi="Arial" w:cs="Arial"/>
                <w:sz w:val="20"/>
                <w:szCs w:val="20"/>
              </w:rPr>
              <w:t>(83,660)</w:t>
            </w:r>
          </w:p>
        </w:tc>
        <w:tc>
          <w:tcPr>
            <w:tcW w:w="1434" w:type="dxa"/>
            <w:tcBorders>
              <w:top w:val="nil"/>
              <w:left w:val="nil"/>
              <w:bottom w:val="nil"/>
              <w:right w:val="nil"/>
            </w:tcBorders>
            <w:noWrap/>
            <w:vAlign w:val="bottom"/>
            <w:hideMark/>
          </w:tcPr>
          <w:p w14:paraId="2F86864C" w14:textId="77777777" w:rsidR="00437F84" w:rsidRDefault="00437F84">
            <w:pPr>
              <w:jc w:val="right"/>
              <w:rPr>
                <w:rFonts w:ascii="Arial" w:hAnsi="Arial" w:cs="Arial"/>
                <w:sz w:val="20"/>
                <w:szCs w:val="20"/>
              </w:rPr>
            </w:pPr>
            <w:r w:rsidRPr="004504E9">
              <w:rPr>
                <w:rFonts w:ascii="Arial" w:hAnsi="Arial" w:cs="Arial"/>
                <w:sz w:val="20"/>
                <w:szCs w:val="20"/>
              </w:rPr>
              <w:t>(85,340)</w:t>
            </w:r>
          </w:p>
        </w:tc>
        <w:tc>
          <w:tcPr>
            <w:tcW w:w="1239" w:type="dxa"/>
            <w:tcBorders>
              <w:top w:val="nil"/>
              <w:left w:val="nil"/>
              <w:bottom w:val="nil"/>
              <w:right w:val="nil"/>
            </w:tcBorders>
            <w:noWrap/>
            <w:vAlign w:val="bottom"/>
            <w:hideMark/>
          </w:tcPr>
          <w:p w14:paraId="56DAEA66" w14:textId="77777777" w:rsidR="00437F84" w:rsidRDefault="00437F84">
            <w:pPr>
              <w:jc w:val="right"/>
              <w:rPr>
                <w:rFonts w:ascii="Arial" w:hAnsi="Arial" w:cs="Arial"/>
                <w:sz w:val="20"/>
                <w:szCs w:val="20"/>
              </w:rPr>
            </w:pPr>
            <w:r w:rsidRPr="004504E9">
              <w:rPr>
                <w:rFonts w:ascii="Arial" w:hAnsi="Arial" w:cs="Arial"/>
                <w:sz w:val="20"/>
                <w:szCs w:val="20"/>
              </w:rPr>
              <w:t>(86,990)</w:t>
            </w:r>
          </w:p>
        </w:tc>
        <w:tc>
          <w:tcPr>
            <w:tcW w:w="1239" w:type="dxa"/>
            <w:tcBorders>
              <w:top w:val="nil"/>
              <w:left w:val="nil"/>
              <w:bottom w:val="nil"/>
              <w:right w:val="nil"/>
            </w:tcBorders>
            <w:noWrap/>
            <w:vAlign w:val="bottom"/>
            <w:hideMark/>
          </w:tcPr>
          <w:p w14:paraId="275F2E43" w14:textId="77777777" w:rsidR="00437F84" w:rsidRDefault="00437F84">
            <w:pPr>
              <w:jc w:val="right"/>
              <w:rPr>
                <w:rFonts w:ascii="Arial" w:hAnsi="Arial" w:cs="Arial"/>
                <w:sz w:val="20"/>
                <w:szCs w:val="20"/>
              </w:rPr>
            </w:pPr>
            <w:r w:rsidRPr="004504E9">
              <w:rPr>
                <w:rFonts w:ascii="Arial" w:hAnsi="Arial" w:cs="Arial"/>
                <w:sz w:val="20"/>
                <w:szCs w:val="20"/>
              </w:rPr>
              <w:t>(87,550)</w:t>
            </w:r>
          </w:p>
        </w:tc>
      </w:tr>
      <w:tr w:rsidR="00CA78ED" w14:paraId="6BFB652C" w14:textId="77777777" w:rsidTr="00452A3D">
        <w:trPr>
          <w:trHeight w:val="255"/>
        </w:trPr>
        <w:tc>
          <w:tcPr>
            <w:tcW w:w="3654" w:type="dxa"/>
            <w:tcBorders>
              <w:top w:val="nil"/>
              <w:left w:val="nil"/>
              <w:bottom w:val="nil"/>
              <w:right w:val="nil"/>
            </w:tcBorders>
            <w:noWrap/>
            <w:vAlign w:val="bottom"/>
            <w:hideMark/>
          </w:tcPr>
          <w:p w14:paraId="56024A02" w14:textId="77777777" w:rsidR="00437F84" w:rsidRDefault="00437F84">
            <w:pPr>
              <w:jc w:val="right"/>
              <w:rPr>
                <w:rFonts w:ascii="Arial" w:hAnsi="Arial" w:cs="Arial"/>
                <w:sz w:val="20"/>
                <w:szCs w:val="20"/>
              </w:rPr>
            </w:pPr>
          </w:p>
        </w:tc>
        <w:tc>
          <w:tcPr>
            <w:tcW w:w="1239" w:type="dxa"/>
            <w:tcBorders>
              <w:top w:val="nil"/>
              <w:left w:val="nil"/>
              <w:bottom w:val="nil"/>
              <w:right w:val="nil"/>
            </w:tcBorders>
            <w:noWrap/>
            <w:vAlign w:val="bottom"/>
            <w:hideMark/>
          </w:tcPr>
          <w:p w14:paraId="30DE056B" w14:textId="77777777" w:rsidR="00437F84" w:rsidRDefault="00437F84">
            <w:pPr>
              <w:rPr>
                <w:sz w:val="20"/>
                <w:szCs w:val="20"/>
              </w:rPr>
            </w:pPr>
          </w:p>
        </w:tc>
        <w:tc>
          <w:tcPr>
            <w:tcW w:w="1315" w:type="dxa"/>
            <w:tcBorders>
              <w:top w:val="nil"/>
              <w:left w:val="nil"/>
              <w:bottom w:val="nil"/>
              <w:right w:val="nil"/>
            </w:tcBorders>
            <w:noWrap/>
            <w:vAlign w:val="bottom"/>
            <w:hideMark/>
          </w:tcPr>
          <w:p w14:paraId="5082B9C7" w14:textId="77777777" w:rsidR="00437F84" w:rsidRDefault="00437F84">
            <w:pPr>
              <w:rPr>
                <w:sz w:val="20"/>
                <w:szCs w:val="20"/>
              </w:rPr>
            </w:pPr>
          </w:p>
        </w:tc>
        <w:tc>
          <w:tcPr>
            <w:tcW w:w="1434" w:type="dxa"/>
            <w:tcBorders>
              <w:top w:val="nil"/>
              <w:left w:val="nil"/>
              <w:bottom w:val="nil"/>
              <w:right w:val="nil"/>
            </w:tcBorders>
            <w:noWrap/>
            <w:vAlign w:val="bottom"/>
            <w:hideMark/>
          </w:tcPr>
          <w:p w14:paraId="421DF450" w14:textId="77777777" w:rsidR="00437F84" w:rsidRDefault="00437F84">
            <w:pPr>
              <w:rPr>
                <w:sz w:val="20"/>
                <w:szCs w:val="20"/>
              </w:rPr>
            </w:pPr>
          </w:p>
        </w:tc>
        <w:tc>
          <w:tcPr>
            <w:tcW w:w="1239" w:type="dxa"/>
            <w:tcBorders>
              <w:top w:val="nil"/>
              <w:left w:val="nil"/>
              <w:bottom w:val="nil"/>
              <w:right w:val="nil"/>
            </w:tcBorders>
            <w:noWrap/>
            <w:vAlign w:val="bottom"/>
            <w:hideMark/>
          </w:tcPr>
          <w:p w14:paraId="123285EB" w14:textId="77777777" w:rsidR="00437F84" w:rsidRDefault="00437F84">
            <w:pPr>
              <w:rPr>
                <w:sz w:val="20"/>
                <w:szCs w:val="20"/>
              </w:rPr>
            </w:pPr>
          </w:p>
        </w:tc>
        <w:tc>
          <w:tcPr>
            <w:tcW w:w="1239" w:type="dxa"/>
            <w:tcBorders>
              <w:top w:val="nil"/>
              <w:left w:val="nil"/>
              <w:bottom w:val="nil"/>
              <w:right w:val="nil"/>
            </w:tcBorders>
            <w:noWrap/>
            <w:vAlign w:val="bottom"/>
            <w:hideMark/>
          </w:tcPr>
          <w:p w14:paraId="37484E94" w14:textId="77777777" w:rsidR="00437F84" w:rsidRDefault="00437F84">
            <w:pPr>
              <w:rPr>
                <w:sz w:val="20"/>
                <w:szCs w:val="20"/>
              </w:rPr>
            </w:pPr>
          </w:p>
        </w:tc>
      </w:tr>
      <w:tr w:rsidR="00CA78ED" w14:paraId="4D872C56" w14:textId="77777777" w:rsidTr="00452A3D">
        <w:trPr>
          <w:trHeight w:val="255"/>
        </w:trPr>
        <w:tc>
          <w:tcPr>
            <w:tcW w:w="3654" w:type="dxa"/>
            <w:tcBorders>
              <w:top w:val="nil"/>
              <w:left w:val="nil"/>
              <w:bottom w:val="nil"/>
              <w:right w:val="nil"/>
            </w:tcBorders>
            <w:noWrap/>
            <w:vAlign w:val="bottom"/>
            <w:hideMark/>
          </w:tcPr>
          <w:p w14:paraId="266527EC" w14:textId="77777777" w:rsidR="00437F84" w:rsidRPr="00364831" w:rsidRDefault="00437F84">
            <w:pPr>
              <w:rPr>
                <w:rFonts w:ascii="Arial" w:hAnsi="Arial" w:cs="Arial"/>
                <w:b/>
                <w:sz w:val="20"/>
                <w:szCs w:val="20"/>
              </w:rPr>
            </w:pPr>
            <w:r w:rsidRPr="00364831">
              <w:rPr>
                <w:rFonts w:ascii="Arial" w:hAnsi="Arial" w:cs="Arial"/>
                <w:b/>
                <w:sz w:val="20"/>
                <w:szCs w:val="20"/>
              </w:rPr>
              <w:t>Total Income</w:t>
            </w:r>
          </w:p>
        </w:tc>
        <w:tc>
          <w:tcPr>
            <w:tcW w:w="1239" w:type="dxa"/>
            <w:tcBorders>
              <w:top w:val="single" w:sz="4" w:space="0" w:color="auto"/>
              <w:left w:val="nil"/>
              <w:bottom w:val="single" w:sz="4" w:space="0" w:color="auto"/>
              <w:right w:val="nil"/>
            </w:tcBorders>
            <w:noWrap/>
            <w:vAlign w:val="bottom"/>
            <w:hideMark/>
          </w:tcPr>
          <w:p w14:paraId="11B9419C" w14:textId="77777777" w:rsidR="00437F84" w:rsidRDefault="00437F84">
            <w:pPr>
              <w:jc w:val="right"/>
              <w:rPr>
                <w:rFonts w:ascii="Arial" w:hAnsi="Arial" w:cs="Arial"/>
                <w:b/>
                <w:bCs/>
                <w:sz w:val="20"/>
                <w:szCs w:val="20"/>
              </w:rPr>
            </w:pPr>
            <w:r w:rsidRPr="004504E9">
              <w:rPr>
                <w:rFonts w:ascii="Arial" w:hAnsi="Arial" w:cs="Arial"/>
                <w:b/>
                <w:sz w:val="20"/>
                <w:szCs w:val="20"/>
              </w:rPr>
              <w:t>(8,923,290)</w:t>
            </w:r>
          </w:p>
        </w:tc>
        <w:tc>
          <w:tcPr>
            <w:tcW w:w="1315" w:type="dxa"/>
            <w:tcBorders>
              <w:top w:val="single" w:sz="4" w:space="0" w:color="auto"/>
              <w:left w:val="nil"/>
              <w:bottom w:val="single" w:sz="4" w:space="0" w:color="auto"/>
              <w:right w:val="nil"/>
            </w:tcBorders>
            <w:noWrap/>
            <w:vAlign w:val="bottom"/>
            <w:hideMark/>
          </w:tcPr>
          <w:p w14:paraId="0B16ABFB" w14:textId="77777777" w:rsidR="00437F84" w:rsidRDefault="00437F84">
            <w:pPr>
              <w:jc w:val="right"/>
              <w:rPr>
                <w:rFonts w:ascii="Arial" w:hAnsi="Arial" w:cs="Arial"/>
                <w:b/>
                <w:bCs/>
                <w:sz w:val="20"/>
                <w:szCs w:val="20"/>
              </w:rPr>
            </w:pPr>
            <w:r w:rsidRPr="004504E9">
              <w:rPr>
                <w:rFonts w:ascii="Arial" w:hAnsi="Arial" w:cs="Arial"/>
                <w:b/>
                <w:sz w:val="20"/>
                <w:szCs w:val="20"/>
              </w:rPr>
              <w:t>(9,096,690)</w:t>
            </w:r>
          </w:p>
        </w:tc>
        <w:tc>
          <w:tcPr>
            <w:tcW w:w="1434" w:type="dxa"/>
            <w:tcBorders>
              <w:top w:val="single" w:sz="4" w:space="0" w:color="auto"/>
              <w:left w:val="nil"/>
              <w:bottom w:val="single" w:sz="4" w:space="0" w:color="auto"/>
              <w:right w:val="nil"/>
            </w:tcBorders>
            <w:noWrap/>
            <w:vAlign w:val="bottom"/>
            <w:hideMark/>
          </w:tcPr>
          <w:p w14:paraId="7FD07965" w14:textId="77777777" w:rsidR="00437F84" w:rsidRDefault="00437F84">
            <w:pPr>
              <w:jc w:val="right"/>
              <w:rPr>
                <w:rFonts w:ascii="Arial" w:hAnsi="Arial" w:cs="Arial"/>
                <w:b/>
                <w:bCs/>
                <w:sz w:val="20"/>
                <w:szCs w:val="20"/>
              </w:rPr>
            </w:pPr>
            <w:r w:rsidRPr="004504E9">
              <w:rPr>
                <w:rFonts w:ascii="Arial" w:hAnsi="Arial" w:cs="Arial"/>
                <w:b/>
                <w:sz w:val="20"/>
                <w:szCs w:val="20"/>
              </w:rPr>
              <w:t>(9,287,530)</w:t>
            </w:r>
          </w:p>
        </w:tc>
        <w:tc>
          <w:tcPr>
            <w:tcW w:w="1239" w:type="dxa"/>
            <w:tcBorders>
              <w:top w:val="single" w:sz="4" w:space="0" w:color="auto"/>
              <w:left w:val="nil"/>
              <w:bottom w:val="single" w:sz="4" w:space="0" w:color="auto"/>
              <w:right w:val="nil"/>
            </w:tcBorders>
            <w:noWrap/>
            <w:vAlign w:val="bottom"/>
            <w:hideMark/>
          </w:tcPr>
          <w:p w14:paraId="7BCE2740" w14:textId="77777777" w:rsidR="00437F84" w:rsidRDefault="00437F84">
            <w:pPr>
              <w:jc w:val="right"/>
              <w:rPr>
                <w:rFonts w:ascii="Arial" w:hAnsi="Arial" w:cs="Arial"/>
                <w:b/>
                <w:bCs/>
                <w:sz w:val="20"/>
                <w:szCs w:val="20"/>
              </w:rPr>
            </w:pPr>
            <w:r w:rsidRPr="004504E9">
              <w:rPr>
                <w:rFonts w:ascii="Arial" w:hAnsi="Arial" w:cs="Arial"/>
                <w:b/>
                <w:sz w:val="20"/>
                <w:szCs w:val="20"/>
              </w:rPr>
              <w:t>(9,461,010)</w:t>
            </w:r>
          </w:p>
        </w:tc>
        <w:tc>
          <w:tcPr>
            <w:tcW w:w="1239" w:type="dxa"/>
            <w:tcBorders>
              <w:top w:val="single" w:sz="4" w:space="0" w:color="auto"/>
              <w:left w:val="nil"/>
              <w:bottom w:val="single" w:sz="4" w:space="0" w:color="auto"/>
              <w:right w:val="nil"/>
            </w:tcBorders>
            <w:noWrap/>
            <w:vAlign w:val="bottom"/>
            <w:hideMark/>
          </w:tcPr>
          <w:p w14:paraId="2EC4C35A" w14:textId="77777777" w:rsidR="00437F84" w:rsidRDefault="00437F84">
            <w:pPr>
              <w:jc w:val="right"/>
              <w:rPr>
                <w:rFonts w:ascii="Arial" w:hAnsi="Arial" w:cs="Arial"/>
                <w:b/>
                <w:bCs/>
                <w:sz w:val="20"/>
                <w:szCs w:val="20"/>
              </w:rPr>
            </w:pPr>
            <w:r w:rsidRPr="004504E9">
              <w:rPr>
                <w:rFonts w:ascii="Arial" w:hAnsi="Arial" w:cs="Arial"/>
                <w:b/>
                <w:sz w:val="20"/>
                <w:szCs w:val="20"/>
              </w:rPr>
              <w:t>(9,650,880)</w:t>
            </w:r>
          </w:p>
        </w:tc>
      </w:tr>
      <w:tr w:rsidR="00CA78ED" w14:paraId="53BEB9C4" w14:textId="77777777" w:rsidTr="00452A3D">
        <w:trPr>
          <w:trHeight w:val="255"/>
        </w:trPr>
        <w:tc>
          <w:tcPr>
            <w:tcW w:w="3654" w:type="dxa"/>
            <w:tcBorders>
              <w:top w:val="nil"/>
              <w:left w:val="nil"/>
              <w:bottom w:val="nil"/>
              <w:right w:val="nil"/>
            </w:tcBorders>
            <w:noWrap/>
            <w:vAlign w:val="bottom"/>
            <w:hideMark/>
          </w:tcPr>
          <w:p w14:paraId="489B60D0" w14:textId="77777777" w:rsidR="00437F84" w:rsidRDefault="00437F84">
            <w:pPr>
              <w:jc w:val="right"/>
              <w:rPr>
                <w:rFonts w:ascii="Arial" w:hAnsi="Arial" w:cs="Arial"/>
                <w:sz w:val="20"/>
                <w:szCs w:val="20"/>
              </w:rPr>
            </w:pPr>
          </w:p>
        </w:tc>
        <w:tc>
          <w:tcPr>
            <w:tcW w:w="1239" w:type="dxa"/>
            <w:tcBorders>
              <w:top w:val="nil"/>
              <w:left w:val="nil"/>
              <w:bottom w:val="nil"/>
              <w:right w:val="nil"/>
            </w:tcBorders>
            <w:noWrap/>
            <w:vAlign w:val="bottom"/>
            <w:hideMark/>
          </w:tcPr>
          <w:p w14:paraId="0BDDD9DE" w14:textId="77777777" w:rsidR="00437F84" w:rsidRDefault="00437F84">
            <w:pPr>
              <w:rPr>
                <w:sz w:val="20"/>
                <w:szCs w:val="20"/>
              </w:rPr>
            </w:pPr>
          </w:p>
        </w:tc>
        <w:tc>
          <w:tcPr>
            <w:tcW w:w="1315" w:type="dxa"/>
            <w:tcBorders>
              <w:top w:val="nil"/>
              <w:left w:val="nil"/>
              <w:bottom w:val="nil"/>
              <w:right w:val="nil"/>
            </w:tcBorders>
            <w:noWrap/>
            <w:vAlign w:val="bottom"/>
            <w:hideMark/>
          </w:tcPr>
          <w:p w14:paraId="58FBC601" w14:textId="77777777" w:rsidR="00437F84" w:rsidRDefault="00437F84">
            <w:pPr>
              <w:rPr>
                <w:sz w:val="20"/>
                <w:szCs w:val="20"/>
              </w:rPr>
            </w:pPr>
          </w:p>
        </w:tc>
        <w:tc>
          <w:tcPr>
            <w:tcW w:w="1434" w:type="dxa"/>
            <w:tcBorders>
              <w:top w:val="nil"/>
              <w:left w:val="nil"/>
              <w:bottom w:val="nil"/>
              <w:right w:val="nil"/>
            </w:tcBorders>
            <w:noWrap/>
            <w:vAlign w:val="bottom"/>
            <w:hideMark/>
          </w:tcPr>
          <w:p w14:paraId="4DE80295" w14:textId="77777777" w:rsidR="00437F84" w:rsidRDefault="00437F84">
            <w:pPr>
              <w:rPr>
                <w:sz w:val="20"/>
                <w:szCs w:val="20"/>
              </w:rPr>
            </w:pPr>
          </w:p>
        </w:tc>
        <w:tc>
          <w:tcPr>
            <w:tcW w:w="1239" w:type="dxa"/>
            <w:tcBorders>
              <w:top w:val="nil"/>
              <w:left w:val="nil"/>
              <w:bottom w:val="nil"/>
              <w:right w:val="nil"/>
            </w:tcBorders>
            <w:noWrap/>
            <w:vAlign w:val="bottom"/>
            <w:hideMark/>
          </w:tcPr>
          <w:p w14:paraId="58B7EF62" w14:textId="77777777" w:rsidR="00437F84" w:rsidRDefault="00437F84">
            <w:pPr>
              <w:rPr>
                <w:sz w:val="20"/>
                <w:szCs w:val="20"/>
              </w:rPr>
            </w:pPr>
          </w:p>
        </w:tc>
        <w:tc>
          <w:tcPr>
            <w:tcW w:w="1239" w:type="dxa"/>
            <w:tcBorders>
              <w:top w:val="nil"/>
              <w:left w:val="nil"/>
              <w:bottom w:val="nil"/>
              <w:right w:val="nil"/>
            </w:tcBorders>
            <w:noWrap/>
            <w:vAlign w:val="bottom"/>
            <w:hideMark/>
          </w:tcPr>
          <w:p w14:paraId="236779F7" w14:textId="77777777" w:rsidR="00437F84" w:rsidRDefault="00437F84">
            <w:pPr>
              <w:rPr>
                <w:sz w:val="20"/>
                <w:szCs w:val="20"/>
              </w:rPr>
            </w:pPr>
          </w:p>
        </w:tc>
      </w:tr>
      <w:tr w:rsidR="00CA78ED" w14:paraId="3950CBB5" w14:textId="77777777" w:rsidTr="00452A3D">
        <w:trPr>
          <w:trHeight w:val="270"/>
        </w:trPr>
        <w:tc>
          <w:tcPr>
            <w:tcW w:w="3654" w:type="dxa"/>
            <w:tcBorders>
              <w:top w:val="nil"/>
              <w:left w:val="nil"/>
              <w:bottom w:val="nil"/>
              <w:right w:val="nil"/>
            </w:tcBorders>
            <w:noWrap/>
            <w:vAlign w:val="bottom"/>
            <w:hideMark/>
          </w:tcPr>
          <w:p w14:paraId="56E98784" w14:textId="77777777" w:rsidR="00437F84" w:rsidRDefault="00437F84">
            <w:pPr>
              <w:rPr>
                <w:rFonts w:ascii="Arial" w:hAnsi="Arial" w:cs="Arial"/>
                <w:sz w:val="20"/>
                <w:szCs w:val="20"/>
              </w:rPr>
            </w:pPr>
            <w:r>
              <w:rPr>
                <w:rFonts w:ascii="Arial" w:hAnsi="Arial" w:cs="Arial"/>
                <w:sz w:val="20"/>
                <w:szCs w:val="20"/>
              </w:rPr>
              <w:t>(Surplus)/Deficit</w:t>
            </w:r>
          </w:p>
        </w:tc>
        <w:tc>
          <w:tcPr>
            <w:tcW w:w="1239" w:type="dxa"/>
            <w:tcBorders>
              <w:top w:val="single" w:sz="4" w:space="0" w:color="auto"/>
              <w:left w:val="nil"/>
              <w:bottom w:val="single" w:sz="8" w:space="0" w:color="auto"/>
              <w:right w:val="nil"/>
            </w:tcBorders>
            <w:noWrap/>
            <w:vAlign w:val="bottom"/>
            <w:hideMark/>
          </w:tcPr>
          <w:p w14:paraId="5800C1B2" w14:textId="77777777" w:rsidR="00437F84" w:rsidRDefault="00437F84">
            <w:pPr>
              <w:jc w:val="right"/>
              <w:rPr>
                <w:rFonts w:ascii="Arial" w:hAnsi="Arial" w:cs="Arial"/>
                <w:b/>
                <w:bCs/>
                <w:sz w:val="20"/>
                <w:szCs w:val="20"/>
              </w:rPr>
            </w:pPr>
            <w:r>
              <w:rPr>
                <w:rFonts w:ascii="Arial" w:hAnsi="Arial" w:cs="Arial"/>
                <w:b/>
                <w:bCs/>
                <w:sz w:val="20"/>
                <w:szCs w:val="20"/>
              </w:rPr>
              <w:t>0</w:t>
            </w:r>
          </w:p>
        </w:tc>
        <w:tc>
          <w:tcPr>
            <w:tcW w:w="1315" w:type="dxa"/>
            <w:tcBorders>
              <w:top w:val="single" w:sz="4" w:space="0" w:color="auto"/>
              <w:left w:val="nil"/>
              <w:bottom w:val="single" w:sz="8" w:space="0" w:color="auto"/>
              <w:right w:val="nil"/>
            </w:tcBorders>
            <w:noWrap/>
            <w:vAlign w:val="bottom"/>
            <w:hideMark/>
          </w:tcPr>
          <w:p w14:paraId="3013B556" w14:textId="77777777" w:rsidR="00437F84" w:rsidRDefault="00437F84">
            <w:pPr>
              <w:jc w:val="right"/>
              <w:rPr>
                <w:rFonts w:ascii="Arial" w:hAnsi="Arial" w:cs="Arial"/>
                <w:b/>
                <w:bCs/>
                <w:sz w:val="20"/>
                <w:szCs w:val="20"/>
              </w:rPr>
            </w:pPr>
            <w:r>
              <w:rPr>
                <w:rFonts w:ascii="Arial" w:hAnsi="Arial" w:cs="Arial"/>
                <w:b/>
                <w:bCs/>
                <w:sz w:val="20"/>
                <w:szCs w:val="20"/>
              </w:rPr>
              <w:t>0</w:t>
            </w:r>
          </w:p>
        </w:tc>
        <w:tc>
          <w:tcPr>
            <w:tcW w:w="1434" w:type="dxa"/>
            <w:tcBorders>
              <w:top w:val="single" w:sz="4" w:space="0" w:color="auto"/>
              <w:left w:val="nil"/>
              <w:bottom w:val="single" w:sz="8" w:space="0" w:color="auto"/>
              <w:right w:val="nil"/>
            </w:tcBorders>
            <w:noWrap/>
            <w:vAlign w:val="bottom"/>
            <w:hideMark/>
          </w:tcPr>
          <w:p w14:paraId="7F207EC1" w14:textId="77777777" w:rsidR="00437F84" w:rsidRDefault="00437F84">
            <w:pPr>
              <w:jc w:val="right"/>
              <w:rPr>
                <w:rFonts w:ascii="Arial" w:hAnsi="Arial" w:cs="Arial"/>
                <w:b/>
                <w:bCs/>
                <w:sz w:val="20"/>
                <w:szCs w:val="20"/>
              </w:rPr>
            </w:pPr>
            <w:r>
              <w:rPr>
                <w:rFonts w:ascii="Arial" w:hAnsi="Arial" w:cs="Arial"/>
                <w:b/>
                <w:bCs/>
                <w:sz w:val="20"/>
                <w:szCs w:val="20"/>
              </w:rPr>
              <w:t>0</w:t>
            </w:r>
          </w:p>
        </w:tc>
        <w:tc>
          <w:tcPr>
            <w:tcW w:w="1239" w:type="dxa"/>
            <w:tcBorders>
              <w:top w:val="single" w:sz="4" w:space="0" w:color="auto"/>
              <w:left w:val="nil"/>
              <w:bottom w:val="single" w:sz="8" w:space="0" w:color="auto"/>
              <w:right w:val="nil"/>
            </w:tcBorders>
            <w:noWrap/>
            <w:vAlign w:val="bottom"/>
            <w:hideMark/>
          </w:tcPr>
          <w:p w14:paraId="1CAB9C24" w14:textId="77777777" w:rsidR="00437F84" w:rsidRDefault="00437F84">
            <w:pPr>
              <w:jc w:val="right"/>
              <w:rPr>
                <w:rFonts w:ascii="Arial" w:hAnsi="Arial" w:cs="Arial"/>
                <w:b/>
                <w:bCs/>
                <w:sz w:val="20"/>
                <w:szCs w:val="20"/>
              </w:rPr>
            </w:pPr>
            <w:r>
              <w:rPr>
                <w:rFonts w:ascii="Arial" w:hAnsi="Arial" w:cs="Arial"/>
                <w:b/>
                <w:bCs/>
                <w:sz w:val="20"/>
                <w:szCs w:val="20"/>
              </w:rPr>
              <w:t>0</w:t>
            </w:r>
          </w:p>
        </w:tc>
        <w:tc>
          <w:tcPr>
            <w:tcW w:w="1239" w:type="dxa"/>
            <w:tcBorders>
              <w:top w:val="single" w:sz="4" w:space="0" w:color="auto"/>
              <w:left w:val="nil"/>
              <w:bottom w:val="single" w:sz="8" w:space="0" w:color="auto"/>
              <w:right w:val="nil"/>
            </w:tcBorders>
            <w:noWrap/>
            <w:vAlign w:val="bottom"/>
            <w:hideMark/>
          </w:tcPr>
          <w:p w14:paraId="7E91C573" w14:textId="77777777" w:rsidR="00437F84" w:rsidRDefault="00437F84">
            <w:pPr>
              <w:jc w:val="right"/>
              <w:rPr>
                <w:rFonts w:ascii="Arial" w:hAnsi="Arial" w:cs="Arial"/>
                <w:b/>
                <w:bCs/>
                <w:sz w:val="20"/>
                <w:szCs w:val="20"/>
              </w:rPr>
            </w:pPr>
            <w:r>
              <w:rPr>
                <w:rFonts w:ascii="Arial" w:hAnsi="Arial" w:cs="Arial"/>
                <w:b/>
                <w:bCs/>
                <w:sz w:val="20"/>
                <w:szCs w:val="20"/>
              </w:rPr>
              <w:t>0</w:t>
            </w:r>
          </w:p>
        </w:tc>
      </w:tr>
    </w:tbl>
    <w:p w14:paraId="7A735F35" w14:textId="77777777" w:rsidR="00DC7080" w:rsidRPr="005C6861" w:rsidRDefault="00DC7080">
      <w:pPr>
        <w:rPr>
          <w:rFonts w:ascii="Arial" w:hAnsi="Arial" w:cs="Arial"/>
        </w:rPr>
        <w:sectPr w:rsidR="00DC7080" w:rsidRPr="005C6861" w:rsidSect="00963B6A">
          <w:headerReference w:type="default" r:id="rId30"/>
          <w:pgSz w:w="11906" w:h="16838" w:code="9"/>
          <w:pgMar w:top="1440" w:right="1106" w:bottom="1440" w:left="680" w:header="709" w:footer="709" w:gutter="0"/>
          <w:pgBorders w:offsetFrom="page">
            <w:bottom w:val="single" w:sz="4" w:space="24" w:color="auto"/>
          </w:pgBorders>
          <w:cols w:space="708"/>
          <w:docGrid w:linePitch="360"/>
        </w:sectPr>
      </w:pPr>
    </w:p>
    <w:tbl>
      <w:tblPr>
        <w:tblpPr w:leftFromText="180" w:rightFromText="180" w:vertAnchor="text" w:horzAnchor="margin" w:tblpY="-225"/>
        <w:tblW w:w="10856" w:type="dxa"/>
        <w:tblLook w:val="04A0" w:firstRow="1" w:lastRow="0" w:firstColumn="1" w:lastColumn="0" w:noHBand="0" w:noVBand="1"/>
      </w:tblPr>
      <w:tblGrid>
        <w:gridCol w:w="4005"/>
        <w:gridCol w:w="1320"/>
        <w:gridCol w:w="1320"/>
        <w:gridCol w:w="1290"/>
        <w:gridCol w:w="1320"/>
        <w:gridCol w:w="1379"/>
        <w:gridCol w:w="222"/>
      </w:tblGrid>
      <w:tr w:rsidR="00940C93" w:rsidRPr="000A13A9" w14:paraId="6DBA02D6" w14:textId="77777777" w:rsidTr="60EF5B48">
        <w:trPr>
          <w:gridAfter w:val="1"/>
          <w:wAfter w:w="222" w:type="dxa"/>
          <w:trHeight w:val="276"/>
        </w:trPr>
        <w:tc>
          <w:tcPr>
            <w:tcW w:w="10634" w:type="dxa"/>
            <w:gridSpan w:val="6"/>
            <w:vMerge w:val="restart"/>
            <w:tcBorders>
              <w:top w:val="nil"/>
              <w:left w:val="nil"/>
              <w:bottom w:val="nil"/>
              <w:right w:val="nil"/>
            </w:tcBorders>
            <w:noWrap/>
            <w:vAlign w:val="center"/>
            <w:hideMark/>
          </w:tcPr>
          <w:p w14:paraId="07A55BA8" w14:textId="315A341A" w:rsidR="00EC2F1D" w:rsidRPr="000A13A9" w:rsidRDefault="006F65D7" w:rsidP="00EC2F1D">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 xml:space="preserve">GENERAL INVESTMENT PROGRAMME </w:t>
            </w:r>
            <w:r w:rsidR="00EC2F1D" w:rsidRPr="60EF5B48">
              <w:rPr>
                <w:rFonts w:ascii="Arial" w:hAnsi="Arial" w:cs="Arial"/>
                <w:b/>
                <w:color w:val="000000" w:themeColor="text1"/>
                <w:sz w:val="20"/>
                <w:szCs w:val="20"/>
              </w:rPr>
              <w:t>–</w:t>
            </w:r>
            <w:r w:rsidRPr="60EF5B48">
              <w:rPr>
                <w:rFonts w:ascii="Arial" w:hAnsi="Arial" w:cs="Arial"/>
                <w:b/>
                <w:color w:val="000000" w:themeColor="text1"/>
                <w:sz w:val="20"/>
                <w:szCs w:val="20"/>
              </w:rPr>
              <w:t xml:space="preserve"> 202</w:t>
            </w:r>
            <w:r w:rsidR="00EC2F1D" w:rsidRPr="60EF5B48">
              <w:rPr>
                <w:rFonts w:ascii="Arial" w:hAnsi="Arial" w:cs="Arial"/>
                <w:b/>
                <w:color w:val="000000" w:themeColor="text1"/>
                <w:sz w:val="20"/>
                <w:szCs w:val="20"/>
              </w:rPr>
              <w:t>6/27</w:t>
            </w:r>
            <w:r w:rsidRPr="60EF5B48">
              <w:rPr>
                <w:rFonts w:ascii="Arial" w:hAnsi="Arial" w:cs="Arial"/>
                <w:b/>
                <w:color w:val="000000" w:themeColor="text1"/>
                <w:sz w:val="20"/>
                <w:szCs w:val="20"/>
              </w:rPr>
              <w:t xml:space="preserve"> to 20</w:t>
            </w:r>
            <w:r w:rsidR="00EC2F1D" w:rsidRPr="60EF5B48">
              <w:rPr>
                <w:rFonts w:ascii="Arial" w:hAnsi="Arial" w:cs="Arial"/>
                <w:b/>
                <w:color w:val="000000" w:themeColor="text1"/>
                <w:sz w:val="20"/>
                <w:szCs w:val="20"/>
              </w:rPr>
              <w:t>30/31</w:t>
            </w:r>
          </w:p>
        </w:tc>
      </w:tr>
      <w:tr w:rsidR="002E2A51" w:rsidRPr="000A13A9" w14:paraId="10FB4D75" w14:textId="77777777" w:rsidTr="60EF5B48">
        <w:trPr>
          <w:trHeight w:val="265"/>
        </w:trPr>
        <w:tc>
          <w:tcPr>
            <w:tcW w:w="10634" w:type="dxa"/>
            <w:gridSpan w:val="6"/>
            <w:vMerge/>
            <w:vAlign w:val="center"/>
            <w:hideMark/>
          </w:tcPr>
          <w:p w14:paraId="140BBE89" w14:textId="77777777" w:rsidR="006F65D7" w:rsidRPr="000A13A9" w:rsidRDefault="006F65D7" w:rsidP="006F65D7">
            <w:pPr>
              <w:rPr>
                <w:rFonts w:ascii="Arial" w:hAnsi="Arial" w:cs="Arial"/>
                <w:b/>
                <w:bCs/>
                <w:color w:val="000000"/>
                <w:sz w:val="20"/>
                <w:szCs w:val="20"/>
                <w:highlight w:val="green"/>
              </w:rPr>
            </w:pPr>
          </w:p>
        </w:tc>
        <w:tc>
          <w:tcPr>
            <w:tcW w:w="222" w:type="dxa"/>
            <w:tcBorders>
              <w:top w:val="nil"/>
              <w:left w:val="nil"/>
              <w:bottom w:val="nil"/>
              <w:right w:val="nil"/>
            </w:tcBorders>
            <w:noWrap/>
            <w:vAlign w:val="bottom"/>
            <w:hideMark/>
          </w:tcPr>
          <w:p w14:paraId="21994BBD" w14:textId="77777777" w:rsidR="006F65D7" w:rsidRPr="000A13A9" w:rsidRDefault="006F65D7" w:rsidP="006F65D7">
            <w:pPr>
              <w:jc w:val="center"/>
              <w:rPr>
                <w:rFonts w:ascii="Arial" w:hAnsi="Arial" w:cs="Arial"/>
                <w:b/>
                <w:bCs/>
                <w:color w:val="000000"/>
                <w:sz w:val="20"/>
                <w:szCs w:val="20"/>
                <w:highlight w:val="green"/>
              </w:rPr>
            </w:pPr>
          </w:p>
        </w:tc>
      </w:tr>
      <w:tr w:rsidR="002E2A51" w:rsidRPr="000A13A9" w14:paraId="631FD4E2" w14:textId="77777777" w:rsidTr="12F3CE6E">
        <w:trPr>
          <w:trHeight w:val="265"/>
        </w:trPr>
        <w:tc>
          <w:tcPr>
            <w:tcW w:w="4005" w:type="dxa"/>
            <w:tcBorders>
              <w:top w:val="nil"/>
              <w:left w:val="nil"/>
              <w:bottom w:val="nil"/>
              <w:right w:val="nil"/>
            </w:tcBorders>
            <w:noWrap/>
            <w:vAlign w:val="center"/>
            <w:hideMark/>
          </w:tcPr>
          <w:p w14:paraId="13D73309" w14:textId="2F2541FD" w:rsidR="006F65D7" w:rsidRPr="000A13A9" w:rsidRDefault="006F65D7" w:rsidP="006F65D7">
            <w:pPr>
              <w:rPr>
                <w:sz w:val="20"/>
                <w:szCs w:val="20"/>
                <w:highlight w:val="green"/>
              </w:rPr>
            </w:pPr>
          </w:p>
        </w:tc>
        <w:tc>
          <w:tcPr>
            <w:tcW w:w="1320" w:type="dxa"/>
            <w:tcBorders>
              <w:top w:val="nil"/>
              <w:left w:val="nil"/>
              <w:bottom w:val="nil"/>
              <w:right w:val="nil"/>
            </w:tcBorders>
            <w:noWrap/>
            <w:vAlign w:val="center"/>
            <w:hideMark/>
          </w:tcPr>
          <w:p w14:paraId="41CD9638" w14:textId="474A07B2" w:rsidR="006F65D7" w:rsidRPr="000A13A9" w:rsidRDefault="00EC2F1D"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2026/27</w:t>
            </w:r>
          </w:p>
        </w:tc>
        <w:tc>
          <w:tcPr>
            <w:tcW w:w="1320" w:type="dxa"/>
            <w:tcBorders>
              <w:top w:val="nil"/>
              <w:left w:val="nil"/>
              <w:bottom w:val="nil"/>
              <w:right w:val="nil"/>
            </w:tcBorders>
            <w:noWrap/>
            <w:vAlign w:val="center"/>
            <w:hideMark/>
          </w:tcPr>
          <w:p w14:paraId="0708B3CB" w14:textId="7CAE2429" w:rsidR="006F65D7" w:rsidRPr="000A13A9" w:rsidRDefault="00EC2F1D"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2027/28</w:t>
            </w:r>
          </w:p>
        </w:tc>
        <w:tc>
          <w:tcPr>
            <w:tcW w:w="1290" w:type="dxa"/>
            <w:tcBorders>
              <w:top w:val="nil"/>
              <w:left w:val="nil"/>
              <w:bottom w:val="nil"/>
              <w:right w:val="nil"/>
            </w:tcBorders>
            <w:vAlign w:val="center"/>
            <w:hideMark/>
          </w:tcPr>
          <w:p w14:paraId="73E6373A" w14:textId="08B00C67" w:rsidR="006F65D7" w:rsidRPr="000A13A9" w:rsidRDefault="00EC2F1D"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2028/29</w:t>
            </w:r>
          </w:p>
        </w:tc>
        <w:tc>
          <w:tcPr>
            <w:tcW w:w="1320" w:type="dxa"/>
            <w:tcBorders>
              <w:top w:val="nil"/>
              <w:left w:val="nil"/>
              <w:bottom w:val="nil"/>
              <w:right w:val="nil"/>
            </w:tcBorders>
            <w:vAlign w:val="center"/>
            <w:hideMark/>
          </w:tcPr>
          <w:p w14:paraId="61E1AD05" w14:textId="7A3EE71C" w:rsidR="006F65D7" w:rsidRPr="000A13A9" w:rsidRDefault="00EC2F1D"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2029/30</w:t>
            </w:r>
          </w:p>
        </w:tc>
        <w:tc>
          <w:tcPr>
            <w:tcW w:w="1379" w:type="dxa"/>
            <w:tcBorders>
              <w:top w:val="nil"/>
              <w:left w:val="nil"/>
              <w:bottom w:val="nil"/>
              <w:right w:val="nil"/>
            </w:tcBorders>
            <w:vAlign w:val="center"/>
            <w:hideMark/>
          </w:tcPr>
          <w:p w14:paraId="29B789E3" w14:textId="5434C14D" w:rsidR="006F65D7" w:rsidRPr="000A13A9" w:rsidRDefault="006F65D7"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20</w:t>
            </w:r>
            <w:r w:rsidR="00EC2F1D" w:rsidRPr="60EF5B48">
              <w:rPr>
                <w:rFonts w:ascii="Arial" w:hAnsi="Arial" w:cs="Arial"/>
                <w:b/>
                <w:color w:val="000000" w:themeColor="text1"/>
                <w:sz w:val="20"/>
                <w:szCs w:val="20"/>
              </w:rPr>
              <w:t>30/31</w:t>
            </w:r>
          </w:p>
        </w:tc>
        <w:tc>
          <w:tcPr>
            <w:tcW w:w="222" w:type="dxa"/>
            <w:vAlign w:val="center"/>
            <w:hideMark/>
          </w:tcPr>
          <w:p w14:paraId="0131809E" w14:textId="77777777" w:rsidR="006F65D7" w:rsidRPr="000A13A9" w:rsidRDefault="006F65D7" w:rsidP="006F65D7">
            <w:pPr>
              <w:rPr>
                <w:sz w:val="20"/>
                <w:szCs w:val="20"/>
                <w:highlight w:val="green"/>
              </w:rPr>
            </w:pPr>
          </w:p>
        </w:tc>
      </w:tr>
      <w:tr w:rsidR="002E2A51" w:rsidRPr="000A13A9" w14:paraId="57F890D9" w14:textId="77777777" w:rsidTr="12F3CE6E">
        <w:trPr>
          <w:trHeight w:val="265"/>
        </w:trPr>
        <w:tc>
          <w:tcPr>
            <w:tcW w:w="4005" w:type="dxa"/>
            <w:tcBorders>
              <w:top w:val="nil"/>
              <w:left w:val="nil"/>
              <w:bottom w:val="nil"/>
              <w:right w:val="nil"/>
            </w:tcBorders>
            <w:noWrap/>
            <w:vAlign w:val="center"/>
            <w:hideMark/>
          </w:tcPr>
          <w:p w14:paraId="5736D7BD" w14:textId="265C5F11" w:rsidR="006F65D7" w:rsidRPr="000A13A9" w:rsidRDefault="006F65D7" w:rsidP="006F65D7">
            <w:pPr>
              <w:jc w:val="center"/>
              <w:rPr>
                <w:rFonts w:ascii="Arial" w:hAnsi="Arial" w:cs="Arial"/>
                <w:b/>
                <w:bCs/>
                <w:color w:val="000000"/>
                <w:sz w:val="20"/>
                <w:szCs w:val="20"/>
                <w:highlight w:val="green"/>
              </w:rPr>
            </w:pPr>
          </w:p>
        </w:tc>
        <w:tc>
          <w:tcPr>
            <w:tcW w:w="1320" w:type="dxa"/>
            <w:tcBorders>
              <w:top w:val="nil"/>
              <w:left w:val="nil"/>
              <w:bottom w:val="nil"/>
              <w:right w:val="nil"/>
            </w:tcBorders>
            <w:noWrap/>
            <w:vAlign w:val="center"/>
            <w:hideMark/>
          </w:tcPr>
          <w:p w14:paraId="6DFF59B4" w14:textId="2F1C29BB" w:rsidR="006F65D7" w:rsidRPr="000A13A9" w:rsidRDefault="006F65D7"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Estimate</w:t>
            </w:r>
          </w:p>
        </w:tc>
        <w:tc>
          <w:tcPr>
            <w:tcW w:w="1320" w:type="dxa"/>
            <w:tcBorders>
              <w:top w:val="nil"/>
              <w:left w:val="nil"/>
              <w:bottom w:val="nil"/>
              <w:right w:val="nil"/>
            </w:tcBorders>
            <w:noWrap/>
            <w:vAlign w:val="center"/>
            <w:hideMark/>
          </w:tcPr>
          <w:p w14:paraId="78214BBE" w14:textId="60F697D3" w:rsidR="006F65D7" w:rsidRPr="000A13A9" w:rsidRDefault="006F65D7"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Estimate</w:t>
            </w:r>
          </w:p>
        </w:tc>
        <w:tc>
          <w:tcPr>
            <w:tcW w:w="1290" w:type="dxa"/>
            <w:tcBorders>
              <w:top w:val="nil"/>
              <w:left w:val="nil"/>
              <w:bottom w:val="nil"/>
              <w:right w:val="nil"/>
            </w:tcBorders>
            <w:noWrap/>
            <w:vAlign w:val="center"/>
            <w:hideMark/>
          </w:tcPr>
          <w:p w14:paraId="3063B3E2" w14:textId="6A01014C" w:rsidR="006F65D7" w:rsidRPr="000A13A9" w:rsidRDefault="006F65D7"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Estimate</w:t>
            </w:r>
          </w:p>
        </w:tc>
        <w:tc>
          <w:tcPr>
            <w:tcW w:w="1320" w:type="dxa"/>
            <w:tcBorders>
              <w:top w:val="nil"/>
              <w:left w:val="nil"/>
              <w:bottom w:val="nil"/>
              <w:right w:val="nil"/>
            </w:tcBorders>
            <w:vAlign w:val="center"/>
            <w:hideMark/>
          </w:tcPr>
          <w:p w14:paraId="7BF8A251" w14:textId="5221D0B2" w:rsidR="006F65D7" w:rsidRPr="000A13A9" w:rsidRDefault="006F65D7"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Estimate</w:t>
            </w:r>
          </w:p>
        </w:tc>
        <w:tc>
          <w:tcPr>
            <w:tcW w:w="1379" w:type="dxa"/>
            <w:tcBorders>
              <w:top w:val="nil"/>
              <w:left w:val="nil"/>
              <w:bottom w:val="nil"/>
              <w:right w:val="nil"/>
            </w:tcBorders>
            <w:vAlign w:val="center"/>
            <w:hideMark/>
          </w:tcPr>
          <w:p w14:paraId="0C77E6A1" w14:textId="5D69B3CA" w:rsidR="006F65D7" w:rsidRPr="000A13A9" w:rsidRDefault="006F65D7"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Estimate</w:t>
            </w:r>
          </w:p>
        </w:tc>
        <w:tc>
          <w:tcPr>
            <w:tcW w:w="222" w:type="dxa"/>
            <w:vAlign w:val="center"/>
            <w:hideMark/>
          </w:tcPr>
          <w:p w14:paraId="6ED762DC" w14:textId="77777777" w:rsidR="006F65D7" w:rsidRPr="000A13A9" w:rsidRDefault="006F65D7" w:rsidP="006F65D7">
            <w:pPr>
              <w:rPr>
                <w:sz w:val="20"/>
                <w:szCs w:val="20"/>
                <w:highlight w:val="green"/>
              </w:rPr>
            </w:pPr>
          </w:p>
        </w:tc>
      </w:tr>
      <w:tr w:rsidR="002E2A51" w:rsidRPr="000A13A9" w14:paraId="328A47A5" w14:textId="77777777" w:rsidTr="12F3CE6E">
        <w:trPr>
          <w:trHeight w:val="265"/>
        </w:trPr>
        <w:tc>
          <w:tcPr>
            <w:tcW w:w="4005" w:type="dxa"/>
            <w:tcBorders>
              <w:top w:val="nil"/>
              <w:left w:val="nil"/>
              <w:bottom w:val="nil"/>
              <w:right w:val="nil"/>
            </w:tcBorders>
            <w:noWrap/>
            <w:vAlign w:val="center"/>
            <w:hideMark/>
          </w:tcPr>
          <w:p w14:paraId="75D9C9A4" w14:textId="63283DD8" w:rsidR="006F65D7" w:rsidRPr="000A13A9" w:rsidRDefault="006F65D7" w:rsidP="006F65D7">
            <w:pPr>
              <w:jc w:val="center"/>
              <w:rPr>
                <w:rFonts w:ascii="Arial" w:hAnsi="Arial" w:cs="Arial"/>
                <w:b/>
                <w:bCs/>
                <w:color w:val="000000"/>
                <w:sz w:val="20"/>
                <w:szCs w:val="20"/>
                <w:highlight w:val="green"/>
              </w:rPr>
            </w:pPr>
          </w:p>
        </w:tc>
        <w:tc>
          <w:tcPr>
            <w:tcW w:w="1320" w:type="dxa"/>
            <w:tcBorders>
              <w:top w:val="nil"/>
              <w:left w:val="nil"/>
              <w:bottom w:val="nil"/>
              <w:right w:val="nil"/>
            </w:tcBorders>
            <w:noWrap/>
            <w:vAlign w:val="center"/>
            <w:hideMark/>
          </w:tcPr>
          <w:p w14:paraId="3F199F99" w14:textId="2EB7FB22" w:rsidR="006F65D7" w:rsidRPr="000A13A9" w:rsidRDefault="006F65D7"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w:t>
            </w:r>
          </w:p>
        </w:tc>
        <w:tc>
          <w:tcPr>
            <w:tcW w:w="1320" w:type="dxa"/>
            <w:tcBorders>
              <w:top w:val="nil"/>
              <w:left w:val="nil"/>
              <w:bottom w:val="nil"/>
              <w:right w:val="nil"/>
            </w:tcBorders>
            <w:noWrap/>
            <w:vAlign w:val="center"/>
            <w:hideMark/>
          </w:tcPr>
          <w:p w14:paraId="550C96B5" w14:textId="429C431E" w:rsidR="006F65D7" w:rsidRPr="000A13A9" w:rsidRDefault="006F65D7"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w:t>
            </w:r>
          </w:p>
        </w:tc>
        <w:tc>
          <w:tcPr>
            <w:tcW w:w="1290" w:type="dxa"/>
            <w:tcBorders>
              <w:top w:val="nil"/>
              <w:left w:val="nil"/>
              <w:bottom w:val="nil"/>
              <w:right w:val="nil"/>
            </w:tcBorders>
            <w:noWrap/>
            <w:vAlign w:val="center"/>
            <w:hideMark/>
          </w:tcPr>
          <w:p w14:paraId="5EFE8DB2" w14:textId="0598A1D4" w:rsidR="006F65D7" w:rsidRPr="000A13A9" w:rsidRDefault="006F65D7"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w:t>
            </w:r>
          </w:p>
        </w:tc>
        <w:tc>
          <w:tcPr>
            <w:tcW w:w="1320" w:type="dxa"/>
            <w:tcBorders>
              <w:top w:val="nil"/>
              <w:left w:val="nil"/>
              <w:bottom w:val="nil"/>
              <w:right w:val="nil"/>
            </w:tcBorders>
            <w:noWrap/>
            <w:vAlign w:val="center"/>
            <w:hideMark/>
          </w:tcPr>
          <w:p w14:paraId="668ECDBD" w14:textId="54BE2A27" w:rsidR="006F65D7" w:rsidRPr="000A13A9" w:rsidRDefault="006F65D7"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w:t>
            </w:r>
          </w:p>
        </w:tc>
        <w:tc>
          <w:tcPr>
            <w:tcW w:w="1379" w:type="dxa"/>
            <w:tcBorders>
              <w:top w:val="nil"/>
              <w:left w:val="nil"/>
              <w:bottom w:val="nil"/>
              <w:right w:val="nil"/>
            </w:tcBorders>
            <w:vAlign w:val="center"/>
            <w:hideMark/>
          </w:tcPr>
          <w:p w14:paraId="0F77B0F7" w14:textId="47AFBE2D" w:rsidR="006F65D7" w:rsidRPr="000A13A9" w:rsidRDefault="006F65D7" w:rsidP="006F65D7">
            <w:pPr>
              <w:jc w:val="center"/>
              <w:rPr>
                <w:rFonts w:ascii="Arial" w:hAnsi="Arial" w:cs="Arial"/>
                <w:b/>
                <w:bCs/>
                <w:color w:val="000000"/>
                <w:sz w:val="20"/>
                <w:szCs w:val="20"/>
                <w:highlight w:val="green"/>
              </w:rPr>
            </w:pPr>
            <w:r w:rsidRPr="60EF5B48">
              <w:rPr>
                <w:rFonts w:ascii="Arial" w:hAnsi="Arial" w:cs="Arial"/>
                <w:b/>
                <w:color w:val="000000" w:themeColor="text1"/>
                <w:sz w:val="20"/>
                <w:szCs w:val="20"/>
              </w:rPr>
              <w:t>£</w:t>
            </w:r>
          </w:p>
        </w:tc>
        <w:tc>
          <w:tcPr>
            <w:tcW w:w="222" w:type="dxa"/>
            <w:vAlign w:val="center"/>
            <w:hideMark/>
          </w:tcPr>
          <w:p w14:paraId="7DCCBD62" w14:textId="77777777" w:rsidR="006F65D7" w:rsidRPr="000A13A9" w:rsidRDefault="006F65D7" w:rsidP="006F65D7">
            <w:pPr>
              <w:rPr>
                <w:sz w:val="20"/>
                <w:szCs w:val="20"/>
                <w:highlight w:val="green"/>
              </w:rPr>
            </w:pPr>
          </w:p>
        </w:tc>
      </w:tr>
      <w:tr w:rsidR="002E2A51" w:rsidRPr="000A13A9" w14:paraId="0DB127D4" w14:textId="77777777" w:rsidTr="1C449EF2">
        <w:trPr>
          <w:trHeight w:val="1260"/>
        </w:trPr>
        <w:tc>
          <w:tcPr>
            <w:tcW w:w="4005" w:type="dxa"/>
            <w:tcBorders>
              <w:top w:val="nil"/>
              <w:left w:val="nil"/>
              <w:bottom w:val="nil"/>
              <w:right w:val="nil"/>
            </w:tcBorders>
            <w:noWrap/>
            <w:vAlign w:val="center"/>
            <w:hideMark/>
          </w:tcPr>
          <w:p w14:paraId="7DEB6645" w14:textId="4B0E78B0" w:rsidR="006F65D7" w:rsidRPr="000A13A9" w:rsidRDefault="006F65D7" w:rsidP="006F65D7">
            <w:pPr>
              <w:rPr>
                <w:rFonts w:ascii="Arial" w:hAnsi="Arial" w:cs="Arial"/>
                <w:b/>
                <w:bCs/>
                <w:color w:val="000000"/>
                <w:sz w:val="20"/>
                <w:szCs w:val="20"/>
                <w:highlight w:val="green"/>
              </w:rPr>
            </w:pPr>
            <w:r w:rsidRPr="60EF5B48">
              <w:rPr>
                <w:rFonts w:ascii="Arial" w:hAnsi="Arial" w:cs="Arial"/>
                <w:b/>
                <w:color w:val="000000" w:themeColor="text1"/>
                <w:sz w:val="20"/>
                <w:szCs w:val="20"/>
              </w:rPr>
              <w:t>Expenditure Programme</w:t>
            </w:r>
          </w:p>
        </w:tc>
        <w:tc>
          <w:tcPr>
            <w:tcW w:w="1320" w:type="dxa"/>
            <w:tcBorders>
              <w:top w:val="nil"/>
              <w:left w:val="nil"/>
              <w:bottom w:val="nil"/>
              <w:right w:val="nil"/>
            </w:tcBorders>
            <w:noWrap/>
            <w:vAlign w:val="center"/>
            <w:hideMark/>
          </w:tcPr>
          <w:p w14:paraId="4ABF6365" w14:textId="37E44077" w:rsidR="006F65D7" w:rsidRPr="000A13A9" w:rsidRDefault="006F65D7" w:rsidP="006F65D7">
            <w:pPr>
              <w:rPr>
                <w:rFonts w:ascii="Arial" w:hAnsi="Arial" w:cs="Arial"/>
                <w:b/>
                <w:bCs/>
                <w:color w:val="000000"/>
                <w:sz w:val="20"/>
                <w:szCs w:val="20"/>
                <w:highlight w:val="green"/>
              </w:rPr>
            </w:pPr>
          </w:p>
        </w:tc>
        <w:tc>
          <w:tcPr>
            <w:tcW w:w="1320" w:type="dxa"/>
            <w:tcBorders>
              <w:top w:val="nil"/>
              <w:left w:val="nil"/>
              <w:bottom w:val="nil"/>
              <w:right w:val="nil"/>
            </w:tcBorders>
            <w:noWrap/>
            <w:vAlign w:val="center"/>
            <w:hideMark/>
          </w:tcPr>
          <w:p w14:paraId="2B54FD1F" w14:textId="280964AA" w:rsidR="006F65D7" w:rsidRPr="000A13A9" w:rsidRDefault="006F65D7" w:rsidP="006F65D7">
            <w:pPr>
              <w:jc w:val="center"/>
              <w:rPr>
                <w:sz w:val="20"/>
                <w:szCs w:val="20"/>
                <w:highlight w:val="green"/>
              </w:rPr>
            </w:pPr>
          </w:p>
        </w:tc>
        <w:tc>
          <w:tcPr>
            <w:tcW w:w="1290" w:type="dxa"/>
            <w:tcBorders>
              <w:top w:val="nil"/>
              <w:left w:val="nil"/>
              <w:bottom w:val="nil"/>
              <w:right w:val="nil"/>
            </w:tcBorders>
            <w:noWrap/>
            <w:vAlign w:val="center"/>
            <w:hideMark/>
          </w:tcPr>
          <w:p w14:paraId="767F6985" w14:textId="60DB4DFE" w:rsidR="006F65D7" w:rsidRPr="000A13A9" w:rsidRDefault="006F65D7" w:rsidP="006F65D7">
            <w:pPr>
              <w:jc w:val="center"/>
              <w:rPr>
                <w:sz w:val="20"/>
                <w:szCs w:val="20"/>
                <w:highlight w:val="green"/>
              </w:rPr>
            </w:pPr>
          </w:p>
        </w:tc>
        <w:tc>
          <w:tcPr>
            <w:tcW w:w="1320" w:type="dxa"/>
            <w:tcBorders>
              <w:top w:val="nil"/>
              <w:left w:val="nil"/>
              <w:bottom w:val="nil"/>
              <w:right w:val="nil"/>
            </w:tcBorders>
            <w:noWrap/>
            <w:vAlign w:val="center"/>
            <w:hideMark/>
          </w:tcPr>
          <w:p w14:paraId="11001CAA" w14:textId="322F89F6" w:rsidR="006F65D7" w:rsidRPr="000A13A9" w:rsidRDefault="006F65D7" w:rsidP="006F65D7">
            <w:pPr>
              <w:jc w:val="center"/>
              <w:rPr>
                <w:sz w:val="20"/>
                <w:szCs w:val="20"/>
                <w:highlight w:val="green"/>
              </w:rPr>
            </w:pPr>
          </w:p>
        </w:tc>
        <w:tc>
          <w:tcPr>
            <w:tcW w:w="1379" w:type="dxa"/>
            <w:tcBorders>
              <w:top w:val="nil"/>
              <w:left w:val="nil"/>
              <w:bottom w:val="nil"/>
              <w:right w:val="nil"/>
            </w:tcBorders>
            <w:vAlign w:val="center"/>
            <w:hideMark/>
          </w:tcPr>
          <w:p w14:paraId="4C585749" w14:textId="5926C117" w:rsidR="006F65D7" w:rsidRPr="000A13A9" w:rsidRDefault="006F65D7" w:rsidP="006F65D7">
            <w:pPr>
              <w:jc w:val="center"/>
              <w:rPr>
                <w:sz w:val="20"/>
                <w:szCs w:val="20"/>
                <w:highlight w:val="green"/>
              </w:rPr>
            </w:pPr>
          </w:p>
        </w:tc>
        <w:tc>
          <w:tcPr>
            <w:tcW w:w="222" w:type="dxa"/>
            <w:vAlign w:val="center"/>
            <w:hideMark/>
          </w:tcPr>
          <w:p w14:paraId="741967D4" w14:textId="77777777" w:rsidR="006F65D7" w:rsidRPr="000A13A9" w:rsidRDefault="006F65D7" w:rsidP="006F65D7">
            <w:pPr>
              <w:rPr>
                <w:sz w:val="20"/>
                <w:szCs w:val="20"/>
                <w:highlight w:val="green"/>
              </w:rPr>
            </w:pPr>
          </w:p>
        </w:tc>
      </w:tr>
      <w:tr w:rsidR="002E2A51" w:rsidRPr="000A13A9" w14:paraId="390C9237" w14:textId="77777777" w:rsidTr="12F3CE6E">
        <w:trPr>
          <w:trHeight w:val="265"/>
        </w:trPr>
        <w:tc>
          <w:tcPr>
            <w:tcW w:w="4005" w:type="dxa"/>
            <w:tcBorders>
              <w:top w:val="nil"/>
              <w:left w:val="nil"/>
              <w:bottom w:val="nil"/>
              <w:right w:val="nil"/>
            </w:tcBorders>
            <w:noWrap/>
            <w:vAlign w:val="center"/>
            <w:hideMark/>
          </w:tcPr>
          <w:p w14:paraId="6051B493" w14:textId="0BFBF1C2" w:rsidR="006F65D7" w:rsidRPr="000A13A9" w:rsidRDefault="006F65D7" w:rsidP="006F65D7">
            <w:pPr>
              <w:rPr>
                <w:rFonts w:ascii="Arial" w:hAnsi="Arial" w:cs="Arial"/>
                <w:color w:val="000000"/>
                <w:sz w:val="20"/>
                <w:szCs w:val="20"/>
                <w:highlight w:val="green"/>
              </w:rPr>
            </w:pPr>
            <w:r w:rsidRPr="60EF5B48">
              <w:rPr>
                <w:rFonts w:ascii="Arial" w:hAnsi="Arial" w:cs="Arial"/>
                <w:color w:val="000000" w:themeColor="text1"/>
                <w:sz w:val="20"/>
                <w:szCs w:val="20"/>
              </w:rPr>
              <w:t>Chief Executives</w:t>
            </w:r>
          </w:p>
        </w:tc>
        <w:tc>
          <w:tcPr>
            <w:tcW w:w="1320" w:type="dxa"/>
            <w:tcBorders>
              <w:top w:val="nil"/>
              <w:left w:val="nil"/>
              <w:bottom w:val="nil"/>
              <w:right w:val="nil"/>
            </w:tcBorders>
            <w:noWrap/>
            <w:vAlign w:val="center"/>
            <w:hideMark/>
          </w:tcPr>
          <w:p w14:paraId="39894CF6" w14:textId="387729D5" w:rsidR="006F65D7" w:rsidRPr="00613366" w:rsidRDefault="00FC4319"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383,795</w:t>
            </w:r>
          </w:p>
        </w:tc>
        <w:tc>
          <w:tcPr>
            <w:tcW w:w="1320" w:type="dxa"/>
            <w:tcBorders>
              <w:top w:val="nil"/>
              <w:left w:val="nil"/>
              <w:bottom w:val="nil"/>
              <w:right w:val="nil"/>
            </w:tcBorders>
            <w:noWrap/>
            <w:vAlign w:val="center"/>
            <w:hideMark/>
          </w:tcPr>
          <w:p w14:paraId="635A3FDF" w14:textId="36212F0B"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200,000</w:t>
            </w:r>
          </w:p>
        </w:tc>
        <w:tc>
          <w:tcPr>
            <w:tcW w:w="1290" w:type="dxa"/>
            <w:tcBorders>
              <w:top w:val="nil"/>
              <w:left w:val="nil"/>
              <w:bottom w:val="nil"/>
              <w:right w:val="nil"/>
            </w:tcBorders>
            <w:noWrap/>
            <w:vAlign w:val="center"/>
            <w:hideMark/>
          </w:tcPr>
          <w:p w14:paraId="18514B4B" w14:textId="4E392481"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2</w:t>
            </w:r>
            <w:r w:rsidR="00446B8D" w:rsidRPr="60EF5B48">
              <w:rPr>
                <w:rFonts w:ascii="Arial" w:hAnsi="Arial" w:cs="Arial"/>
                <w:color w:val="000000" w:themeColor="text1"/>
                <w:sz w:val="20"/>
                <w:szCs w:val="20"/>
              </w:rPr>
              <w:t>58,461</w:t>
            </w:r>
          </w:p>
        </w:tc>
        <w:tc>
          <w:tcPr>
            <w:tcW w:w="1320" w:type="dxa"/>
            <w:tcBorders>
              <w:top w:val="nil"/>
              <w:left w:val="nil"/>
              <w:bottom w:val="nil"/>
              <w:right w:val="nil"/>
            </w:tcBorders>
            <w:noWrap/>
            <w:vAlign w:val="center"/>
            <w:hideMark/>
          </w:tcPr>
          <w:p w14:paraId="01C24AB3" w14:textId="2FF83DB0"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200,000</w:t>
            </w:r>
          </w:p>
        </w:tc>
        <w:tc>
          <w:tcPr>
            <w:tcW w:w="1379" w:type="dxa"/>
            <w:tcBorders>
              <w:top w:val="nil"/>
              <w:left w:val="nil"/>
              <w:bottom w:val="nil"/>
              <w:right w:val="nil"/>
            </w:tcBorders>
            <w:noWrap/>
            <w:vAlign w:val="center"/>
            <w:hideMark/>
          </w:tcPr>
          <w:p w14:paraId="15B86F53" w14:textId="7655B02F"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200,000</w:t>
            </w:r>
          </w:p>
        </w:tc>
        <w:tc>
          <w:tcPr>
            <w:tcW w:w="222" w:type="dxa"/>
            <w:vAlign w:val="center"/>
            <w:hideMark/>
          </w:tcPr>
          <w:p w14:paraId="5F9382C4" w14:textId="77777777" w:rsidR="006F65D7" w:rsidRPr="000A13A9" w:rsidRDefault="006F65D7" w:rsidP="006F65D7">
            <w:pPr>
              <w:rPr>
                <w:sz w:val="20"/>
                <w:szCs w:val="20"/>
                <w:highlight w:val="green"/>
              </w:rPr>
            </w:pPr>
          </w:p>
        </w:tc>
      </w:tr>
      <w:tr w:rsidR="002E2A51" w:rsidRPr="000A13A9" w14:paraId="3ABBB21C" w14:textId="77777777" w:rsidTr="12F3CE6E">
        <w:trPr>
          <w:trHeight w:val="265"/>
        </w:trPr>
        <w:tc>
          <w:tcPr>
            <w:tcW w:w="4005" w:type="dxa"/>
            <w:tcBorders>
              <w:top w:val="nil"/>
              <w:left w:val="nil"/>
              <w:bottom w:val="nil"/>
              <w:right w:val="nil"/>
            </w:tcBorders>
            <w:noWrap/>
            <w:vAlign w:val="center"/>
            <w:hideMark/>
          </w:tcPr>
          <w:p w14:paraId="325208DF" w14:textId="63525676" w:rsidR="006F65D7" w:rsidRPr="000A13A9" w:rsidRDefault="006F65D7" w:rsidP="006F65D7">
            <w:pPr>
              <w:rPr>
                <w:rFonts w:ascii="Arial" w:hAnsi="Arial" w:cs="Arial"/>
                <w:color w:val="000000"/>
                <w:sz w:val="20"/>
                <w:szCs w:val="20"/>
                <w:highlight w:val="green"/>
              </w:rPr>
            </w:pPr>
            <w:r w:rsidRPr="60EF5B48">
              <w:rPr>
                <w:rFonts w:ascii="Arial" w:hAnsi="Arial" w:cs="Arial"/>
                <w:color w:val="000000" w:themeColor="text1"/>
                <w:sz w:val="20"/>
                <w:szCs w:val="20"/>
              </w:rPr>
              <w:t>Directorate of Communities and Environmental Services</w:t>
            </w:r>
          </w:p>
        </w:tc>
        <w:tc>
          <w:tcPr>
            <w:tcW w:w="1320" w:type="dxa"/>
            <w:tcBorders>
              <w:top w:val="nil"/>
              <w:left w:val="nil"/>
              <w:bottom w:val="nil"/>
              <w:right w:val="nil"/>
            </w:tcBorders>
            <w:noWrap/>
            <w:vAlign w:val="center"/>
            <w:hideMark/>
          </w:tcPr>
          <w:p w14:paraId="102B1208" w14:textId="0393D5C4" w:rsidR="006F65D7" w:rsidRPr="00613366" w:rsidRDefault="00FB097E"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2,</w:t>
            </w:r>
            <w:r w:rsidR="00306803">
              <w:rPr>
                <w:rFonts w:ascii="Arial" w:hAnsi="Arial" w:cs="Arial"/>
                <w:color w:val="000000" w:themeColor="text1"/>
                <w:sz w:val="20"/>
                <w:szCs w:val="20"/>
              </w:rPr>
              <w:t>315,362</w:t>
            </w:r>
          </w:p>
        </w:tc>
        <w:tc>
          <w:tcPr>
            <w:tcW w:w="1320" w:type="dxa"/>
            <w:tcBorders>
              <w:top w:val="nil"/>
              <w:left w:val="nil"/>
              <w:bottom w:val="nil"/>
              <w:right w:val="nil"/>
            </w:tcBorders>
            <w:noWrap/>
            <w:vAlign w:val="center"/>
            <w:hideMark/>
          </w:tcPr>
          <w:p w14:paraId="5F5F672A" w14:textId="0A237D2B" w:rsidR="006F65D7" w:rsidRPr="00613366" w:rsidRDefault="00353F96"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1,106,5</w:t>
            </w:r>
            <w:r w:rsidR="00F62771">
              <w:rPr>
                <w:rFonts w:ascii="Arial" w:hAnsi="Arial" w:cs="Arial"/>
                <w:color w:val="000000" w:themeColor="text1"/>
                <w:sz w:val="20"/>
                <w:szCs w:val="20"/>
              </w:rPr>
              <w:t>17</w:t>
            </w:r>
          </w:p>
        </w:tc>
        <w:tc>
          <w:tcPr>
            <w:tcW w:w="1290" w:type="dxa"/>
            <w:tcBorders>
              <w:top w:val="nil"/>
              <w:left w:val="nil"/>
              <w:bottom w:val="nil"/>
              <w:right w:val="nil"/>
            </w:tcBorders>
            <w:noWrap/>
            <w:vAlign w:val="center"/>
            <w:hideMark/>
          </w:tcPr>
          <w:p w14:paraId="6A05A12E" w14:textId="1909BB07" w:rsidR="006F65D7" w:rsidRPr="00613366" w:rsidRDefault="00353F96"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1,057,181</w:t>
            </w:r>
          </w:p>
        </w:tc>
        <w:tc>
          <w:tcPr>
            <w:tcW w:w="1320" w:type="dxa"/>
            <w:tcBorders>
              <w:top w:val="nil"/>
              <w:left w:val="nil"/>
              <w:bottom w:val="nil"/>
              <w:right w:val="nil"/>
            </w:tcBorders>
            <w:noWrap/>
            <w:vAlign w:val="center"/>
            <w:hideMark/>
          </w:tcPr>
          <w:p w14:paraId="75054344" w14:textId="64773E42" w:rsidR="006F65D7" w:rsidRPr="00613366" w:rsidRDefault="00353F96"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1,057,181</w:t>
            </w:r>
          </w:p>
        </w:tc>
        <w:tc>
          <w:tcPr>
            <w:tcW w:w="1379" w:type="dxa"/>
            <w:tcBorders>
              <w:top w:val="nil"/>
              <w:left w:val="nil"/>
              <w:bottom w:val="nil"/>
              <w:right w:val="nil"/>
            </w:tcBorders>
            <w:noWrap/>
            <w:vAlign w:val="center"/>
            <w:hideMark/>
          </w:tcPr>
          <w:p w14:paraId="65F27492" w14:textId="0550ADF1" w:rsidR="006F65D7" w:rsidRPr="00613366" w:rsidRDefault="00353F96"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1,057,181</w:t>
            </w:r>
          </w:p>
        </w:tc>
        <w:tc>
          <w:tcPr>
            <w:tcW w:w="222" w:type="dxa"/>
            <w:vAlign w:val="center"/>
            <w:hideMark/>
          </w:tcPr>
          <w:p w14:paraId="216F0265" w14:textId="77777777" w:rsidR="006F65D7" w:rsidRPr="000A13A9" w:rsidRDefault="006F65D7" w:rsidP="006F65D7">
            <w:pPr>
              <w:rPr>
                <w:sz w:val="20"/>
                <w:szCs w:val="20"/>
                <w:highlight w:val="green"/>
              </w:rPr>
            </w:pPr>
          </w:p>
        </w:tc>
      </w:tr>
      <w:tr w:rsidR="002E2A51" w:rsidRPr="000A13A9" w14:paraId="169B3EE4" w14:textId="77777777" w:rsidTr="12F3CE6E">
        <w:trPr>
          <w:trHeight w:val="265"/>
        </w:trPr>
        <w:tc>
          <w:tcPr>
            <w:tcW w:w="4005" w:type="dxa"/>
            <w:tcBorders>
              <w:top w:val="nil"/>
              <w:left w:val="nil"/>
              <w:bottom w:val="nil"/>
              <w:right w:val="nil"/>
            </w:tcBorders>
            <w:noWrap/>
            <w:vAlign w:val="center"/>
            <w:hideMark/>
          </w:tcPr>
          <w:p w14:paraId="4DACB8B5" w14:textId="391055B0" w:rsidR="006F65D7" w:rsidRPr="000A13A9" w:rsidRDefault="006F65D7" w:rsidP="006F65D7">
            <w:pPr>
              <w:rPr>
                <w:rFonts w:ascii="Arial" w:hAnsi="Arial" w:cs="Arial"/>
                <w:color w:val="000000"/>
                <w:sz w:val="20"/>
                <w:szCs w:val="20"/>
                <w:highlight w:val="green"/>
              </w:rPr>
            </w:pPr>
            <w:r w:rsidRPr="60EF5B48">
              <w:rPr>
                <w:rFonts w:ascii="Arial" w:hAnsi="Arial" w:cs="Arial"/>
                <w:color w:val="000000" w:themeColor="text1"/>
                <w:sz w:val="20"/>
                <w:szCs w:val="20"/>
              </w:rPr>
              <w:t>Directorate of Major Developments</w:t>
            </w:r>
          </w:p>
        </w:tc>
        <w:tc>
          <w:tcPr>
            <w:tcW w:w="1320" w:type="dxa"/>
            <w:tcBorders>
              <w:top w:val="nil"/>
              <w:left w:val="nil"/>
              <w:bottom w:val="nil"/>
              <w:right w:val="nil"/>
            </w:tcBorders>
            <w:noWrap/>
            <w:vAlign w:val="center"/>
            <w:hideMark/>
          </w:tcPr>
          <w:p w14:paraId="7636DE1A" w14:textId="4CB990EC" w:rsidR="006F65D7" w:rsidRPr="00613366" w:rsidRDefault="001C13C9" w:rsidP="006F65D7">
            <w:pPr>
              <w:jc w:val="right"/>
              <w:rPr>
                <w:rFonts w:ascii="Arial" w:hAnsi="Arial" w:cs="Arial"/>
                <w:color w:val="000000"/>
                <w:sz w:val="20"/>
                <w:szCs w:val="20"/>
              </w:rPr>
            </w:pPr>
            <w:r w:rsidRPr="60EF5B48">
              <w:rPr>
                <w:rFonts w:ascii="Arial" w:hAnsi="Arial" w:cs="Arial"/>
                <w:color w:val="000000" w:themeColor="text1"/>
                <w:sz w:val="20"/>
                <w:szCs w:val="20"/>
              </w:rPr>
              <w:t>3,</w:t>
            </w:r>
            <w:r w:rsidR="4075AA2C" w:rsidRPr="1C449EF2">
              <w:rPr>
                <w:rFonts w:ascii="Arial" w:hAnsi="Arial" w:cs="Arial"/>
                <w:color w:val="000000" w:themeColor="text1"/>
                <w:sz w:val="20"/>
                <w:szCs w:val="20"/>
              </w:rPr>
              <w:t>5</w:t>
            </w:r>
            <w:r w:rsidR="077EE31B" w:rsidRPr="1C449EF2">
              <w:rPr>
                <w:rFonts w:ascii="Arial" w:hAnsi="Arial" w:cs="Arial"/>
                <w:color w:val="000000" w:themeColor="text1"/>
                <w:sz w:val="20"/>
                <w:szCs w:val="20"/>
              </w:rPr>
              <w:t>77</w:t>
            </w:r>
            <w:r w:rsidRPr="60EF5B48">
              <w:rPr>
                <w:rFonts w:ascii="Arial" w:hAnsi="Arial" w:cs="Arial"/>
                <w:color w:val="000000" w:themeColor="text1"/>
                <w:sz w:val="20"/>
                <w:szCs w:val="20"/>
              </w:rPr>
              <w:t>,065</w:t>
            </w:r>
          </w:p>
        </w:tc>
        <w:tc>
          <w:tcPr>
            <w:tcW w:w="1320" w:type="dxa"/>
            <w:tcBorders>
              <w:top w:val="nil"/>
              <w:left w:val="nil"/>
              <w:bottom w:val="nil"/>
              <w:right w:val="nil"/>
            </w:tcBorders>
            <w:noWrap/>
            <w:vAlign w:val="center"/>
            <w:hideMark/>
          </w:tcPr>
          <w:p w14:paraId="31F3904B" w14:textId="20705391" w:rsidR="006F65D7" w:rsidRPr="00613366" w:rsidRDefault="00056A1E"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1290" w:type="dxa"/>
            <w:tcBorders>
              <w:top w:val="nil"/>
              <w:left w:val="nil"/>
              <w:bottom w:val="nil"/>
              <w:right w:val="nil"/>
            </w:tcBorders>
            <w:noWrap/>
            <w:vAlign w:val="center"/>
            <w:hideMark/>
          </w:tcPr>
          <w:p w14:paraId="67F36908" w14:textId="1E5DFDDF"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1320" w:type="dxa"/>
            <w:tcBorders>
              <w:top w:val="nil"/>
              <w:left w:val="nil"/>
              <w:bottom w:val="nil"/>
              <w:right w:val="nil"/>
            </w:tcBorders>
            <w:noWrap/>
            <w:vAlign w:val="center"/>
            <w:hideMark/>
          </w:tcPr>
          <w:p w14:paraId="0011454E" w14:textId="578B5DD3"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1379" w:type="dxa"/>
            <w:tcBorders>
              <w:top w:val="nil"/>
              <w:left w:val="nil"/>
              <w:bottom w:val="nil"/>
              <w:right w:val="nil"/>
            </w:tcBorders>
            <w:noWrap/>
            <w:vAlign w:val="center"/>
            <w:hideMark/>
          </w:tcPr>
          <w:p w14:paraId="319C7C4E" w14:textId="4FA71E0D"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222" w:type="dxa"/>
            <w:vAlign w:val="center"/>
            <w:hideMark/>
          </w:tcPr>
          <w:p w14:paraId="5B59944D" w14:textId="77777777" w:rsidR="006F65D7" w:rsidRPr="000A13A9" w:rsidRDefault="006F65D7" w:rsidP="006F65D7">
            <w:pPr>
              <w:rPr>
                <w:sz w:val="20"/>
                <w:szCs w:val="20"/>
                <w:highlight w:val="green"/>
              </w:rPr>
            </w:pPr>
          </w:p>
        </w:tc>
      </w:tr>
      <w:tr w:rsidR="002E2A51" w:rsidRPr="000A13A9" w14:paraId="664AC7F7" w14:textId="77777777" w:rsidTr="12F3CE6E">
        <w:trPr>
          <w:trHeight w:val="265"/>
        </w:trPr>
        <w:tc>
          <w:tcPr>
            <w:tcW w:w="4005" w:type="dxa"/>
            <w:tcBorders>
              <w:top w:val="nil"/>
              <w:left w:val="nil"/>
              <w:bottom w:val="nil"/>
              <w:right w:val="nil"/>
            </w:tcBorders>
            <w:noWrap/>
            <w:vAlign w:val="center"/>
            <w:hideMark/>
          </w:tcPr>
          <w:p w14:paraId="5CC88067" w14:textId="60202CF0" w:rsidR="006F65D7" w:rsidRPr="000A13A9" w:rsidRDefault="006F65D7" w:rsidP="006F65D7">
            <w:pPr>
              <w:rPr>
                <w:rFonts w:ascii="Arial" w:hAnsi="Arial" w:cs="Arial"/>
                <w:color w:val="000000"/>
                <w:sz w:val="20"/>
                <w:szCs w:val="20"/>
                <w:highlight w:val="green"/>
              </w:rPr>
            </w:pPr>
            <w:r w:rsidRPr="60EF5B48">
              <w:rPr>
                <w:rFonts w:ascii="Arial" w:hAnsi="Arial" w:cs="Arial"/>
                <w:color w:val="000000" w:themeColor="text1"/>
                <w:sz w:val="20"/>
                <w:szCs w:val="20"/>
              </w:rPr>
              <w:t xml:space="preserve">Directorate of Housing </w:t>
            </w:r>
          </w:p>
        </w:tc>
        <w:tc>
          <w:tcPr>
            <w:tcW w:w="1320" w:type="dxa"/>
            <w:tcBorders>
              <w:top w:val="nil"/>
              <w:left w:val="nil"/>
              <w:bottom w:val="nil"/>
              <w:right w:val="nil"/>
            </w:tcBorders>
            <w:noWrap/>
            <w:vAlign w:val="center"/>
            <w:hideMark/>
          </w:tcPr>
          <w:p w14:paraId="12F2C583" w14:textId="758130B4"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298,152</w:t>
            </w:r>
          </w:p>
        </w:tc>
        <w:tc>
          <w:tcPr>
            <w:tcW w:w="1320" w:type="dxa"/>
            <w:tcBorders>
              <w:top w:val="nil"/>
              <w:left w:val="nil"/>
              <w:bottom w:val="nil"/>
              <w:right w:val="nil"/>
            </w:tcBorders>
            <w:noWrap/>
            <w:vAlign w:val="center"/>
            <w:hideMark/>
          </w:tcPr>
          <w:p w14:paraId="0690011E" w14:textId="3968245A"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1290" w:type="dxa"/>
            <w:tcBorders>
              <w:top w:val="nil"/>
              <w:left w:val="nil"/>
              <w:bottom w:val="nil"/>
              <w:right w:val="nil"/>
            </w:tcBorders>
            <w:noWrap/>
            <w:vAlign w:val="center"/>
            <w:hideMark/>
          </w:tcPr>
          <w:p w14:paraId="5D879D29" w14:textId="08FF7489"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1320" w:type="dxa"/>
            <w:tcBorders>
              <w:top w:val="nil"/>
              <w:left w:val="nil"/>
              <w:bottom w:val="nil"/>
              <w:right w:val="nil"/>
            </w:tcBorders>
            <w:noWrap/>
            <w:vAlign w:val="center"/>
            <w:hideMark/>
          </w:tcPr>
          <w:p w14:paraId="36A50FC0" w14:textId="162E1450"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1379" w:type="dxa"/>
            <w:tcBorders>
              <w:top w:val="nil"/>
              <w:left w:val="nil"/>
              <w:bottom w:val="nil"/>
              <w:right w:val="nil"/>
            </w:tcBorders>
            <w:noWrap/>
            <w:vAlign w:val="center"/>
            <w:hideMark/>
          </w:tcPr>
          <w:p w14:paraId="755A1B21" w14:textId="6748FDF3"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222" w:type="dxa"/>
            <w:vAlign w:val="center"/>
            <w:hideMark/>
          </w:tcPr>
          <w:p w14:paraId="1CCFADC9" w14:textId="77777777" w:rsidR="006F65D7" w:rsidRPr="000A13A9" w:rsidRDefault="006F65D7" w:rsidP="006F65D7">
            <w:pPr>
              <w:rPr>
                <w:sz w:val="20"/>
                <w:szCs w:val="20"/>
                <w:highlight w:val="green"/>
              </w:rPr>
            </w:pPr>
          </w:p>
        </w:tc>
      </w:tr>
      <w:tr w:rsidR="002E2A51" w:rsidRPr="000A13A9" w14:paraId="6DBFE278" w14:textId="77777777" w:rsidTr="12F3CE6E">
        <w:trPr>
          <w:trHeight w:val="265"/>
        </w:trPr>
        <w:tc>
          <w:tcPr>
            <w:tcW w:w="4005" w:type="dxa"/>
            <w:tcBorders>
              <w:top w:val="nil"/>
              <w:left w:val="nil"/>
              <w:bottom w:val="nil"/>
              <w:right w:val="nil"/>
            </w:tcBorders>
            <w:noWrap/>
            <w:vAlign w:val="center"/>
            <w:hideMark/>
          </w:tcPr>
          <w:p w14:paraId="5DE647AA" w14:textId="7D4E0518" w:rsidR="006F65D7" w:rsidRPr="000A13A9" w:rsidRDefault="006F65D7" w:rsidP="006F65D7">
            <w:pPr>
              <w:rPr>
                <w:rFonts w:ascii="Arial" w:hAnsi="Arial" w:cs="Arial"/>
                <w:color w:val="000000"/>
                <w:sz w:val="20"/>
                <w:szCs w:val="20"/>
                <w:highlight w:val="green"/>
              </w:rPr>
            </w:pPr>
            <w:r w:rsidRPr="60EF5B48">
              <w:rPr>
                <w:rFonts w:ascii="Arial" w:hAnsi="Arial" w:cs="Arial"/>
                <w:color w:val="000000" w:themeColor="text1"/>
                <w:sz w:val="20"/>
                <w:szCs w:val="20"/>
              </w:rPr>
              <w:t xml:space="preserve">Externally Delivered Town Deal Schemes </w:t>
            </w:r>
          </w:p>
        </w:tc>
        <w:tc>
          <w:tcPr>
            <w:tcW w:w="1320" w:type="dxa"/>
            <w:tcBorders>
              <w:top w:val="nil"/>
              <w:left w:val="nil"/>
              <w:bottom w:val="nil"/>
              <w:right w:val="nil"/>
            </w:tcBorders>
            <w:noWrap/>
            <w:vAlign w:val="center"/>
            <w:hideMark/>
          </w:tcPr>
          <w:p w14:paraId="6658250A" w14:textId="72A52ED1"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1320" w:type="dxa"/>
            <w:tcBorders>
              <w:top w:val="nil"/>
              <w:left w:val="nil"/>
              <w:bottom w:val="nil"/>
              <w:right w:val="nil"/>
            </w:tcBorders>
            <w:noWrap/>
            <w:vAlign w:val="center"/>
            <w:hideMark/>
          </w:tcPr>
          <w:p w14:paraId="5E91DA21" w14:textId="63902ED9"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1290" w:type="dxa"/>
            <w:tcBorders>
              <w:top w:val="nil"/>
              <w:left w:val="nil"/>
              <w:bottom w:val="nil"/>
              <w:right w:val="nil"/>
            </w:tcBorders>
            <w:noWrap/>
            <w:vAlign w:val="center"/>
            <w:hideMark/>
          </w:tcPr>
          <w:p w14:paraId="1C6A1A9A" w14:textId="7A92F4BB"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1320" w:type="dxa"/>
            <w:tcBorders>
              <w:top w:val="nil"/>
              <w:left w:val="nil"/>
              <w:bottom w:val="nil"/>
              <w:right w:val="nil"/>
            </w:tcBorders>
            <w:noWrap/>
            <w:vAlign w:val="center"/>
            <w:hideMark/>
          </w:tcPr>
          <w:p w14:paraId="2D8B4E07" w14:textId="79B85C71"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1379" w:type="dxa"/>
            <w:tcBorders>
              <w:top w:val="nil"/>
              <w:left w:val="nil"/>
              <w:bottom w:val="nil"/>
              <w:right w:val="nil"/>
            </w:tcBorders>
            <w:noWrap/>
            <w:vAlign w:val="center"/>
            <w:hideMark/>
          </w:tcPr>
          <w:p w14:paraId="543D3257" w14:textId="6632FACA" w:rsidR="006F65D7" w:rsidRPr="00613366"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222" w:type="dxa"/>
            <w:vAlign w:val="center"/>
            <w:hideMark/>
          </w:tcPr>
          <w:p w14:paraId="4AC11E9A" w14:textId="77777777" w:rsidR="006F65D7" w:rsidRPr="000A13A9" w:rsidRDefault="006F65D7" w:rsidP="006F65D7">
            <w:pPr>
              <w:rPr>
                <w:sz w:val="20"/>
                <w:szCs w:val="20"/>
                <w:highlight w:val="green"/>
              </w:rPr>
            </w:pPr>
          </w:p>
        </w:tc>
      </w:tr>
      <w:tr w:rsidR="002E2A51" w:rsidRPr="000A13A9" w14:paraId="329218CB" w14:textId="77777777" w:rsidTr="12F3CE6E">
        <w:trPr>
          <w:trHeight w:val="265"/>
        </w:trPr>
        <w:tc>
          <w:tcPr>
            <w:tcW w:w="4005" w:type="dxa"/>
            <w:tcBorders>
              <w:top w:val="nil"/>
              <w:left w:val="nil"/>
              <w:bottom w:val="nil"/>
              <w:right w:val="nil"/>
            </w:tcBorders>
            <w:vAlign w:val="center"/>
            <w:hideMark/>
          </w:tcPr>
          <w:p w14:paraId="755FFE57" w14:textId="6CCE85E6" w:rsidR="006F65D7" w:rsidRPr="000A13A9" w:rsidRDefault="006F65D7" w:rsidP="006F65D7">
            <w:pPr>
              <w:rPr>
                <w:rFonts w:ascii="Arial" w:hAnsi="Arial" w:cs="Arial"/>
                <w:b/>
                <w:bCs/>
                <w:color w:val="000000"/>
                <w:sz w:val="20"/>
                <w:szCs w:val="20"/>
                <w:highlight w:val="green"/>
              </w:rPr>
            </w:pPr>
            <w:r w:rsidRPr="60EF5B48">
              <w:rPr>
                <w:rFonts w:ascii="Arial" w:hAnsi="Arial" w:cs="Arial"/>
                <w:b/>
                <w:color w:val="000000" w:themeColor="text1"/>
                <w:sz w:val="20"/>
                <w:szCs w:val="20"/>
              </w:rPr>
              <w:t>Total Programme Expenditure</w:t>
            </w:r>
          </w:p>
        </w:tc>
        <w:tc>
          <w:tcPr>
            <w:tcW w:w="1320" w:type="dxa"/>
            <w:tcBorders>
              <w:top w:val="single" w:sz="4" w:space="0" w:color="auto"/>
              <w:left w:val="nil"/>
              <w:bottom w:val="single" w:sz="4" w:space="0" w:color="auto"/>
              <w:right w:val="nil"/>
            </w:tcBorders>
            <w:noWrap/>
            <w:vAlign w:val="center"/>
            <w:hideMark/>
          </w:tcPr>
          <w:p w14:paraId="7EAD4D68" w14:textId="2D4D9848" w:rsidR="006F65D7" w:rsidRPr="00613366" w:rsidRDefault="00056A1E" w:rsidP="006F65D7">
            <w:pPr>
              <w:jc w:val="right"/>
              <w:rPr>
                <w:rFonts w:ascii="Arial" w:hAnsi="Arial" w:cs="Arial"/>
                <w:b/>
                <w:bCs/>
                <w:color w:val="000000"/>
                <w:sz w:val="20"/>
                <w:szCs w:val="20"/>
                <w:highlight w:val="yellow"/>
              </w:rPr>
            </w:pPr>
            <w:r w:rsidRPr="60EF5B48">
              <w:rPr>
                <w:rFonts w:ascii="Arial" w:hAnsi="Arial" w:cs="Arial"/>
                <w:b/>
                <w:color w:val="000000" w:themeColor="text1"/>
                <w:sz w:val="20"/>
                <w:szCs w:val="20"/>
              </w:rPr>
              <w:t>6,</w:t>
            </w:r>
            <w:r w:rsidR="4E525979" w:rsidRPr="1C449EF2">
              <w:rPr>
                <w:rFonts w:ascii="Arial" w:hAnsi="Arial" w:cs="Arial"/>
                <w:b/>
                <w:bCs/>
                <w:color w:val="000000" w:themeColor="text1"/>
                <w:sz w:val="20"/>
                <w:szCs w:val="20"/>
              </w:rPr>
              <w:t>5</w:t>
            </w:r>
            <w:r w:rsidR="74E43A0E" w:rsidRPr="1C449EF2">
              <w:rPr>
                <w:rFonts w:ascii="Arial" w:hAnsi="Arial" w:cs="Arial"/>
                <w:b/>
                <w:bCs/>
                <w:color w:val="000000" w:themeColor="text1"/>
                <w:sz w:val="20"/>
                <w:szCs w:val="20"/>
              </w:rPr>
              <w:t>74</w:t>
            </w:r>
            <w:r w:rsidR="00FC37ED" w:rsidRPr="60EF5B48">
              <w:rPr>
                <w:rFonts w:ascii="Arial" w:hAnsi="Arial" w:cs="Arial"/>
                <w:b/>
                <w:color w:val="000000" w:themeColor="text1"/>
                <w:sz w:val="20"/>
                <w:szCs w:val="20"/>
              </w:rPr>
              <w:t>,37</w:t>
            </w:r>
            <w:r w:rsidR="00F62771">
              <w:rPr>
                <w:rFonts w:ascii="Arial" w:hAnsi="Arial" w:cs="Arial"/>
                <w:b/>
                <w:color w:val="000000" w:themeColor="text1"/>
                <w:sz w:val="20"/>
                <w:szCs w:val="20"/>
              </w:rPr>
              <w:t>4</w:t>
            </w:r>
          </w:p>
        </w:tc>
        <w:tc>
          <w:tcPr>
            <w:tcW w:w="1320" w:type="dxa"/>
            <w:tcBorders>
              <w:top w:val="single" w:sz="4" w:space="0" w:color="auto"/>
              <w:left w:val="nil"/>
              <w:bottom w:val="single" w:sz="4" w:space="0" w:color="auto"/>
              <w:right w:val="nil"/>
            </w:tcBorders>
            <w:noWrap/>
            <w:vAlign w:val="center"/>
            <w:hideMark/>
          </w:tcPr>
          <w:p w14:paraId="597F8E15" w14:textId="5126E1FD" w:rsidR="006F65D7" w:rsidRPr="00613366" w:rsidRDefault="00FC37ED" w:rsidP="006F65D7">
            <w:pPr>
              <w:jc w:val="right"/>
              <w:rPr>
                <w:rFonts w:ascii="Arial" w:hAnsi="Arial" w:cs="Arial"/>
                <w:b/>
                <w:bCs/>
                <w:color w:val="000000"/>
                <w:sz w:val="20"/>
                <w:szCs w:val="20"/>
                <w:highlight w:val="yellow"/>
              </w:rPr>
            </w:pPr>
            <w:r w:rsidRPr="60EF5B48">
              <w:rPr>
                <w:rFonts w:ascii="Arial" w:hAnsi="Arial" w:cs="Arial"/>
                <w:b/>
                <w:color w:val="000000" w:themeColor="text1"/>
                <w:sz w:val="20"/>
                <w:szCs w:val="20"/>
              </w:rPr>
              <w:t>1,306,517</w:t>
            </w:r>
          </w:p>
        </w:tc>
        <w:tc>
          <w:tcPr>
            <w:tcW w:w="1290" w:type="dxa"/>
            <w:tcBorders>
              <w:top w:val="single" w:sz="4" w:space="0" w:color="auto"/>
              <w:left w:val="nil"/>
              <w:bottom w:val="single" w:sz="4" w:space="0" w:color="auto"/>
              <w:right w:val="nil"/>
            </w:tcBorders>
            <w:noWrap/>
            <w:vAlign w:val="center"/>
            <w:hideMark/>
          </w:tcPr>
          <w:p w14:paraId="0D7AACD9" w14:textId="7F0349DA" w:rsidR="006F65D7" w:rsidRPr="00613366" w:rsidRDefault="006F65D7" w:rsidP="006F65D7">
            <w:pPr>
              <w:jc w:val="right"/>
              <w:rPr>
                <w:rFonts w:ascii="Arial" w:hAnsi="Arial" w:cs="Arial"/>
                <w:b/>
                <w:bCs/>
                <w:color w:val="000000"/>
                <w:sz w:val="20"/>
                <w:szCs w:val="20"/>
                <w:highlight w:val="yellow"/>
              </w:rPr>
            </w:pPr>
            <w:r w:rsidRPr="60EF5B48">
              <w:rPr>
                <w:rFonts w:ascii="Arial" w:hAnsi="Arial" w:cs="Arial"/>
                <w:b/>
                <w:color w:val="000000" w:themeColor="text1"/>
                <w:sz w:val="20"/>
                <w:szCs w:val="20"/>
              </w:rPr>
              <w:t>1,</w:t>
            </w:r>
            <w:r w:rsidR="001A4D34" w:rsidRPr="60EF5B48">
              <w:rPr>
                <w:rFonts w:ascii="Arial" w:hAnsi="Arial" w:cs="Arial"/>
                <w:b/>
                <w:color w:val="000000" w:themeColor="text1"/>
                <w:sz w:val="20"/>
                <w:szCs w:val="20"/>
              </w:rPr>
              <w:t>315,642</w:t>
            </w:r>
          </w:p>
        </w:tc>
        <w:tc>
          <w:tcPr>
            <w:tcW w:w="1320" w:type="dxa"/>
            <w:tcBorders>
              <w:top w:val="single" w:sz="4" w:space="0" w:color="auto"/>
              <w:left w:val="nil"/>
              <w:bottom w:val="single" w:sz="4" w:space="0" w:color="auto"/>
              <w:right w:val="nil"/>
            </w:tcBorders>
            <w:noWrap/>
            <w:vAlign w:val="center"/>
            <w:hideMark/>
          </w:tcPr>
          <w:p w14:paraId="3645C5EB" w14:textId="102FAE7C" w:rsidR="006F65D7" w:rsidRPr="00613366" w:rsidRDefault="006F65D7" w:rsidP="006F65D7">
            <w:pPr>
              <w:jc w:val="right"/>
              <w:rPr>
                <w:rFonts w:ascii="Arial" w:hAnsi="Arial" w:cs="Arial"/>
                <w:b/>
                <w:bCs/>
                <w:color w:val="000000"/>
                <w:sz w:val="20"/>
                <w:szCs w:val="20"/>
                <w:highlight w:val="yellow"/>
              </w:rPr>
            </w:pPr>
            <w:r w:rsidRPr="60EF5B48">
              <w:rPr>
                <w:rFonts w:ascii="Arial" w:hAnsi="Arial" w:cs="Arial"/>
                <w:b/>
                <w:color w:val="000000" w:themeColor="text1"/>
                <w:sz w:val="20"/>
                <w:szCs w:val="20"/>
              </w:rPr>
              <w:t>1,</w:t>
            </w:r>
            <w:r w:rsidR="001A4D34" w:rsidRPr="60EF5B48">
              <w:rPr>
                <w:rFonts w:ascii="Arial" w:hAnsi="Arial" w:cs="Arial"/>
                <w:b/>
                <w:color w:val="000000" w:themeColor="text1"/>
                <w:sz w:val="20"/>
                <w:szCs w:val="20"/>
              </w:rPr>
              <w:t>257,181</w:t>
            </w:r>
          </w:p>
        </w:tc>
        <w:tc>
          <w:tcPr>
            <w:tcW w:w="1379" w:type="dxa"/>
            <w:tcBorders>
              <w:top w:val="single" w:sz="4" w:space="0" w:color="auto"/>
              <w:left w:val="nil"/>
              <w:bottom w:val="single" w:sz="4" w:space="0" w:color="auto"/>
              <w:right w:val="nil"/>
            </w:tcBorders>
            <w:noWrap/>
            <w:vAlign w:val="center"/>
            <w:hideMark/>
          </w:tcPr>
          <w:p w14:paraId="2DC68DFB" w14:textId="6786DF11" w:rsidR="006F65D7" w:rsidRPr="00613366" w:rsidRDefault="001A4D34" w:rsidP="006F65D7">
            <w:pPr>
              <w:jc w:val="right"/>
              <w:rPr>
                <w:rFonts w:ascii="Arial" w:hAnsi="Arial" w:cs="Arial"/>
                <w:b/>
                <w:bCs/>
                <w:color w:val="000000"/>
                <w:sz w:val="20"/>
                <w:szCs w:val="20"/>
                <w:highlight w:val="yellow"/>
              </w:rPr>
            </w:pPr>
            <w:r w:rsidRPr="60EF5B48">
              <w:rPr>
                <w:rFonts w:ascii="Arial" w:hAnsi="Arial" w:cs="Arial"/>
                <w:b/>
                <w:color w:val="000000" w:themeColor="text1"/>
                <w:sz w:val="20"/>
                <w:szCs w:val="20"/>
              </w:rPr>
              <w:t>1,257,181</w:t>
            </w:r>
          </w:p>
        </w:tc>
        <w:tc>
          <w:tcPr>
            <w:tcW w:w="222" w:type="dxa"/>
            <w:vAlign w:val="center"/>
            <w:hideMark/>
          </w:tcPr>
          <w:p w14:paraId="3541A635" w14:textId="77777777" w:rsidR="006F65D7" w:rsidRPr="000A13A9" w:rsidRDefault="006F65D7" w:rsidP="006F65D7">
            <w:pPr>
              <w:rPr>
                <w:sz w:val="20"/>
                <w:szCs w:val="20"/>
                <w:highlight w:val="green"/>
              </w:rPr>
            </w:pPr>
          </w:p>
        </w:tc>
      </w:tr>
      <w:tr w:rsidR="002E2A51" w:rsidRPr="000A13A9" w14:paraId="41001533" w14:textId="77777777" w:rsidTr="12F3CE6E">
        <w:trPr>
          <w:trHeight w:val="265"/>
        </w:trPr>
        <w:tc>
          <w:tcPr>
            <w:tcW w:w="4005" w:type="dxa"/>
            <w:tcBorders>
              <w:top w:val="nil"/>
              <w:left w:val="nil"/>
              <w:bottom w:val="nil"/>
              <w:right w:val="nil"/>
            </w:tcBorders>
            <w:vAlign w:val="center"/>
            <w:hideMark/>
          </w:tcPr>
          <w:p w14:paraId="29CDFFE9" w14:textId="6F924730" w:rsidR="006F65D7" w:rsidRPr="000A13A9" w:rsidRDefault="006F65D7" w:rsidP="006F65D7">
            <w:pPr>
              <w:jc w:val="right"/>
              <w:rPr>
                <w:rFonts w:ascii="Arial" w:hAnsi="Arial" w:cs="Arial"/>
                <w:b/>
                <w:bCs/>
                <w:color w:val="000000"/>
                <w:sz w:val="20"/>
                <w:szCs w:val="20"/>
                <w:highlight w:val="green"/>
              </w:rPr>
            </w:pPr>
          </w:p>
        </w:tc>
        <w:tc>
          <w:tcPr>
            <w:tcW w:w="1320" w:type="dxa"/>
            <w:tcBorders>
              <w:top w:val="nil"/>
              <w:left w:val="nil"/>
              <w:bottom w:val="nil"/>
              <w:right w:val="nil"/>
            </w:tcBorders>
            <w:noWrap/>
            <w:vAlign w:val="center"/>
            <w:hideMark/>
          </w:tcPr>
          <w:p w14:paraId="5EDF5127" w14:textId="28807A41" w:rsidR="006F65D7" w:rsidRPr="000A13A9" w:rsidRDefault="006F65D7" w:rsidP="006F65D7">
            <w:pPr>
              <w:rPr>
                <w:sz w:val="20"/>
                <w:szCs w:val="20"/>
                <w:highlight w:val="green"/>
              </w:rPr>
            </w:pPr>
          </w:p>
        </w:tc>
        <w:tc>
          <w:tcPr>
            <w:tcW w:w="1320" w:type="dxa"/>
            <w:tcBorders>
              <w:top w:val="nil"/>
              <w:left w:val="nil"/>
              <w:bottom w:val="nil"/>
              <w:right w:val="nil"/>
            </w:tcBorders>
            <w:noWrap/>
            <w:vAlign w:val="center"/>
            <w:hideMark/>
          </w:tcPr>
          <w:p w14:paraId="38393842" w14:textId="24C706C8" w:rsidR="006F65D7" w:rsidRPr="000A13A9" w:rsidRDefault="006F65D7" w:rsidP="006F65D7">
            <w:pPr>
              <w:rPr>
                <w:sz w:val="20"/>
                <w:szCs w:val="20"/>
                <w:highlight w:val="green"/>
              </w:rPr>
            </w:pPr>
          </w:p>
        </w:tc>
        <w:tc>
          <w:tcPr>
            <w:tcW w:w="1290" w:type="dxa"/>
            <w:tcBorders>
              <w:top w:val="nil"/>
              <w:left w:val="nil"/>
              <w:bottom w:val="nil"/>
              <w:right w:val="nil"/>
            </w:tcBorders>
            <w:noWrap/>
            <w:vAlign w:val="center"/>
            <w:hideMark/>
          </w:tcPr>
          <w:p w14:paraId="063015D2" w14:textId="15EAEF34" w:rsidR="006F65D7" w:rsidRPr="000A13A9" w:rsidRDefault="006F65D7" w:rsidP="006F65D7">
            <w:pPr>
              <w:rPr>
                <w:sz w:val="20"/>
                <w:szCs w:val="20"/>
                <w:highlight w:val="green"/>
              </w:rPr>
            </w:pPr>
          </w:p>
        </w:tc>
        <w:tc>
          <w:tcPr>
            <w:tcW w:w="1320" w:type="dxa"/>
            <w:tcBorders>
              <w:top w:val="nil"/>
              <w:left w:val="nil"/>
              <w:bottom w:val="nil"/>
              <w:right w:val="nil"/>
            </w:tcBorders>
            <w:noWrap/>
            <w:vAlign w:val="center"/>
            <w:hideMark/>
          </w:tcPr>
          <w:p w14:paraId="7DC1C498" w14:textId="4A84D8F7" w:rsidR="006F65D7" w:rsidRPr="000A13A9" w:rsidRDefault="006F65D7" w:rsidP="006F65D7">
            <w:pPr>
              <w:rPr>
                <w:sz w:val="20"/>
                <w:szCs w:val="20"/>
                <w:highlight w:val="green"/>
              </w:rPr>
            </w:pPr>
          </w:p>
        </w:tc>
        <w:tc>
          <w:tcPr>
            <w:tcW w:w="1379" w:type="dxa"/>
            <w:tcBorders>
              <w:top w:val="nil"/>
              <w:left w:val="nil"/>
              <w:bottom w:val="nil"/>
              <w:right w:val="nil"/>
            </w:tcBorders>
            <w:vAlign w:val="center"/>
            <w:hideMark/>
          </w:tcPr>
          <w:p w14:paraId="0D9FFAFA" w14:textId="53FC4719" w:rsidR="006F65D7" w:rsidRPr="000A13A9" w:rsidRDefault="006F65D7" w:rsidP="006F65D7">
            <w:pPr>
              <w:rPr>
                <w:sz w:val="20"/>
                <w:szCs w:val="20"/>
                <w:highlight w:val="green"/>
              </w:rPr>
            </w:pPr>
          </w:p>
        </w:tc>
        <w:tc>
          <w:tcPr>
            <w:tcW w:w="222" w:type="dxa"/>
            <w:vAlign w:val="center"/>
            <w:hideMark/>
          </w:tcPr>
          <w:p w14:paraId="4D6BF0C2" w14:textId="77777777" w:rsidR="006F65D7" w:rsidRPr="000A13A9" w:rsidRDefault="006F65D7" w:rsidP="006F65D7">
            <w:pPr>
              <w:rPr>
                <w:sz w:val="20"/>
                <w:szCs w:val="20"/>
                <w:highlight w:val="green"/>
              </w:rPr>
            </w:pPr>
          </w:p>
        </w:tc>
      </w:tr>
      <w:tr w:rsidR="002E2A51" w:rsidRPr="000A13A9" w14:paraId="03B0A493" w14:textId="77777777" w:rsidTr="12F3CE6E">
        <w:trPr>
          <w:trHeight w:val="265"/>
        </w:trPr>
        <w:tc>
          <w:tcPr>
            <w:tcW w:w="4005" w:type="dxa"/>
            <w:tcBorders>
              <w:top w:val="nil"/>
              <w:left w:val="nil"/>
              <w:bottom w:val="nil"/>
              <w:right w:val="nil"/>
            </w:tcBorders>
            <w:vAlign w:val="center"/>
            <w:hideMark/>
          </w:tcPr>
          <w:p w14:paraId="3B3A0D62" w14:textId="67D1DCFD" w:rsidR="006F65D7" w:rsidRPr="000A13A9" w:rsidRDefault="006F65D7" w:rsidP="006F65D7">
            <w:pPr>
              <w:rPr>
                <w:rFonts w:ascii="Arial" w:hAnsi="Arial" w:cs="Arial"/>
                <w:b/>
                <w:bCs/>
                <w:color w:val="000000"/>
                <w:sz w:val="20"/>
                <w:szCs w:val="20"/>
                <w:highlight w:val="green"/>
              </w:rPr>
            </w:pPr>
            <w:r w:rsidRPr="60EF5B48">
              <w:rPr>
                <w:rFonts w:ascii="Arial" w:hAnsi="Arial" w:cs="Arial"/>
                <w:b/>
                <w:color w:val="000000" w:themeColor="text1"/>
                <w:sz w:val="20"/>
                <w:szCs w:val="20"/>
              </w:rPr>
              <w:t>Capital Funding</w:t>
            </w:r>
          </w:p>
        </w:tc>
        <w:tc>
          <w:tcPr>
            <w:tcW w:w="1320" w:type="dxa"/>
            <w:tcBorders>
              <w:top w:val="nil"/>
              <w:left w:val="nil"/>
              <w:bottom w:val="nil"/>
              <w:right w:val="nil"/>
            </w:tcBorders>
            <w:noWrap/>
            <w:vAlign w:val="center"/>
            <w:hideMark/>
          </w:tcPr>
          <w:p w14:paraId="3D2049DC" w14:textId="07849068" w:rsidR="006F65D7" w:rsidRPr="000A13A9" w:rsidRDefault="006F65D7" w:rsidP="006F65D7">
            <w:pPr>
              <w:rPr>
                <w:rFonts w:ascii="Arial" w:hAnsi="Arial" w:cs="Arial"/>
                <w:b/>
                <w:bCs/>
                <w:color w:val="000000"/>
                <w:sz w:val="20"/>
                <w:szCs w:val="20"/>
                <w:highlight w:val="green"/>
              </w:rPr>
            </w:pPr>
          </w:p>
        </w:tc>
        <w:tc>
          <w:tcPr>
            <w:tcW w:w="1320" w:type="dxa"/>
            <w:tcBorders>
              <w:top w:val="nil"/>
              <w:left w:val="nil"/>
              <w:bottom w:val="nil"/>
              <w:right w:val="nil"/>
            </w:tcBorders>
            <w:noWrap/>
            <w:vAlign w:val="center"/>
            <w:hideMark/>
          </w:tcPr>
          <w:p w14:paraId="1ABE4DEC" w14:textId="0EB69CDE" w:rsidR="006F65D7" w:rsidRPr="000A13A9" w:rsidRDefault="006F65D7" w:rsidP="006F65D7">
            <w:pPr>
              <w:rPr>
                <w:sz w:val="20"/>
                <w:szCs w:val="20"/>
                <w:highlight w:val="green"/>
              </w:rPr>
            </w:pPr>
          </w:p>
        </w:tc>
        <w:tc>
          <w:tcPr>
            <w:tcW w:w="1290" w:type="dxa"/>
            <w:tcBorders>
              <w:top w:val="nil"/>
              <w:left w:val="nil"/>
              <w:bottom w:val="nil"/>
              <w:right w:val="nil"/>
            </w:tcBorders>
            <w:noWrap/>
            <w:vAlign w:val="center"/>
            <w:hideMark/>
          </w:tcPr>
          <w:p w14:paraId="11C017C6" w14:textId="233E8254" w:rsidR="006F65D7" w:rsidRPr="000A13A9" w:rsidRDefault="006F65D7" w:rsidP="006F65D7">
            <w:pPr>
              <w:rPr>
                <w:sz w:val="20"/>
                <w:szCs w:val="20"/>
                <w:highlight w:val="green"/>
              </w:rPr>
            </w:pPr>
          </w:p>
        </w:tc>
        <w:tc>
          <w:tcPr>
            <w:tcW w:w="1320" w:type="dxa"/>
            <w:tcBorders>
              <w:top w:val="nil"/>
              <w:left w:val="nil"/>
              <w:bottom w:val="nil"/>
              <w:right w:val="nil"/>
            </w:tcBorders>
            <w:noWrap/>
            <w:vAlign w:val="center"/>
            <w:hideMark/>
          </w:tcPr>
          <w:p w14:paraId="115CD3E2" w14:textId="04B74353" w:rsidR="006F65D7" w:rsidRPr="000A13A9" w:rsidRDefault="006F65D7" w:rsidP="006F65D7">
            <w:pPr>
              <w:rPr>
                <w:sz w:val="20"/>
                <w:szCs w:val="20"/>
                <w:highlight w:val="green"/>
              </w:rPr>
            </w:pPr>
          </w:p>
        </w:tc>
        <w:tc>
          <w:tcPr>
            <w:tcW w:w="1379" w:type="dxa"/>
            <w:tcBorders>
              <w:top w:val="nil"/>
              <w:left w:val="nil"/>
              <w:bottom w:val="nil"/>
              <w:right w:val="nil"/>
            </w:tcBorders>
            <w:vAlign w:val="center"/>
            <w:hideMark/>
          </w:tcPr>
          <w:p w14:paraId="31394D7C" w14:textId="36BE8B23" w:rsidR="006F65D7" w:rsidRPr="000A13A9" w:rsidRDefault="006F65D7" w:rsidP="006F65D7">
            <w:pPr>
              <w:rPr>
                <w:sz w:val="20"/>
                <w:szCs w:val="20"/>
                <w:highlight w:val="green"/>
              </w:rPr>
            </w:pPr>
          </w:p>
        </w:tc>
        <w:tc>
          <w:tcPr>
            <w:tcW w:w="222" w:type="dxa"/>
            <w:vAlign w:val="center"/>
            <w:hideMark/>
          </w:tcPr>
          <w:p w14:paraId="7E5E535A" w14:textId="77777777" w:rsidR="006F65D7" w:rsidRPr="000A13A9" w:rsidRDefault="006F65D7" w:rsidP="006F65D7">
            <w:pPr>
              <w:rPr>
                <w:sz w:val="20"/>
                <w:szCs w:val="20"/>
                <w:highlight w:val="green"/>
              </w:rPr>
            </w:pPr>
          </w:p>
        </w:tc>
      </w:tr>
      <w:tr w:rsidR="002E2A51" w:rsidRPr="000A13A9" w14:paraId="68EC6624" w14:textId="77777777" w:rsidTr="1C449EF2">
        <w:trPr>
          <w:trHeight w:val="300"/>
        </w:trPr>
        <w:tc>
          <w:tcPr>
            <w:tcW w:w="4005" w:type="dxa"/>
            <w:tcBorders>
              <w:top w:val="nil"/>
              <w:left w:val="nil"/>
              <w:bottom w:val="nil"/>
              <w:right w:val="nil"/>
            </w:tcBorders>
            <w:vAlign w:val="center"/>
            <w:hideMark/>
          </w:tcPr>
          <w:p w14:paraId="2AA65F10" w14:textId="6D30ECBE" w:rsidR="006F65D7" w:rsidRPr="000A13A9" w:rsidRDefault="006F65D7" w:rsidP="006F65D7">
            <w:pPr>
              <w:rPr>
                <w:rFonts w:ascii="Arial" w:hAnsi="Arial" w:cs="Arial"/>
                <w:b/>
                <w:bCs/>
                <w:i/>
                <w:iCs/>
                <w:color w:val="000000"/>
                <w:sz w:val="20"/>
                <w:szCs w:val="20"/>
                <w:highlight w:val="green"/>
              </w:rPr>
            </w:pPr>
            <w:r w:rsidRPr="60EF5B48">
              <w:rPr>
                <w:rFonts w:ascii="Arial" w:hAnsi="Arial" w:cs="Arial"/>
                <w:b/>
                <w:i/>
                <w:color w:val="000000" w:themeColor="text1"/>
                <w:sz w:val="20"/>
                <w:szCs w:val="20"/>
              </w:rPr>
              <w:t>Contributions from Revenue</w:t>
            </w:r>
          </w:p>
        </w:tc>
        <w:tc>
          <w:tcPr>
            <w:tcW w:w="1320" w:type="dxa"/>
            <w:tcBorders>
              <w:top w:val="nil"/>
              <w:left w:val="nil"/>
              <w:bottom w:val="nil"/>
              <w:right w:val="nil"/>
            </w:tcBorders>
            <w:noWrap/>
            <w:vAlign w:val="center"/>
            <w:hideMark/>
          </w:tcPr>
          <w:p w14:paraId="4B99C37A" w14:textId="2D9D83EC" w:rsidR="006F65D7" w:rsidRPr="000A13A9" w:rsidRDefault="006F65D7" w:rsidP="006F65D7">
            <w:pPr>
              <w:rPr>
                <w:rFonts w:ascii="Arial" w:hAnsi="Arial" w:cs="Arial"/>
                <w:b/>
                <w:bCs/>
                <w:i/>
                <w:iCs/>
                <w:color w:val="000000"/>
                <w:sz w:val="20"/>
                <w:szCs w:val="20"/>
                <w:highlight w:val="green"/>
              </w:rPr>
            </w:pPr>
          </w:p>
        </w:tc>
        <w:tc>
          <w:tcPr>
            <w:tcW w:w="1320" w:type="dxa"/>
            <w:tcBorders>
              <w:top w:val="nil"/>
              <w:left w:val="nil"/>
              <w:bottom w:val="nil"/>
              <w:right w:val="nil"/>
            </w:tcBorders>
            <w:noWrap/>
            <w:vAlign w:val="center"/>
            <w:hideMark/>
          </w:tcPr>
          <w:p w14:paraId="64ECF0EA" w14:textId="3EBFC8FC" w:rsidR="006F65D7" w:rsidRPr="000A13A9" w:rsidRDefault="006F65D7" w:rsidP="006F65D7">
            <w:pPr>
              <w:jc w:val="right"/>
              <w:rPr>
                <w:sz w:val="20"/>
                <w:szCs w:val="20"/>
                <w:highlight w:val="green"/>
              </w:rPr>
            </w:pPr>
          </w:p>
        </w:tc>
        <w:tc>
          <w:tcPr>
            <w:tcW w:w="1290" w:type="dxa"/>
            <w:tcBorders>
              <w:top w:val="nil"/>
              <w:left w:val="nil"/>
              <w:bottom w:val="nil"/>
              <w:right w:val="nil"/>
            </w:tcBorders>
            <w:noWrap/>
            <w:vAlign w:val="center"/>
            <w:hideMark/>
          </w:tcPr>
          <w:p w14:paraId="70E339CA" w14:textId="25D2166E" w:rsidR="006F65D7" w:rsidRPr="000A13A9" w:rsidRDefault="006F65D7" w:rsidP="006F65D7">
            <w:pPr>
              <w:jc w:val="right"/>
              <w:rPr>
                <w:sz w:val="20"/>
                <w:szCs w:val="20"/>
                <w:highlight w:val="green"/>
              </w:rPr>
            </w:pPr>
          </w:p>
        </w:tc>
        <w:tc>
          <w:tcPr>
            <w:tcW w:w="1320" w:type="dxa"/>
            <w:tcBorders>
              <w:top w:val="nil"/>
              <w:left w:val="nil"/>
              <w:bottom w:val="nil"/>
              <w:right w:val="nil"/>
            </w:tcBorders>
            <w:noWrap/>
            <w:vAlign w:val="center"/>
            <w:hideMark/>
          </w:tcPr>
          <w:p w14:paraId="582CF317" w14:textId="29E74965" w:rsidR="006F65D7" w:rsidRPr="000A13A9" w:rsidRDefault="006F65D7" w:rsidP="006F65D7">
            <w:pPr>
              <w:jc w:val="right"/>
              <w:rPr>
                <w:sz w:val="20"/>
                <w:szCs w:val="20"/>
                <w:highlight w:val="green"/>
              </w:rPr>
            </w:pPr>
          </w:p>
        </w:tc>
        <w:tc>
          <w:tcPr>
            <w:tcW w:w="1379" w:type="dxa"/>
            <w:tcBorders>
              <w:top w:val="nil"/>
              <w:left w:val="nil"/>
              <w:bottom w:val="nil"/>
              <w:right w:val="nil"/>
            </w:tcBorders>
            <w:vAlign w:val="center"/>
            <w:hideMark/>
          </w:tcPr>
          <w:p w14:paraId="4F76AB2C" w14:textId="467C9895" w:rsidR="006F65D7" w:rsidRPr="000A13A9" w:rsidRDefault="006F65D7" w:rsidP="006F65D7">
            <w:pPr>
              <w:jc w:val="right"/>
              <w:rPr>
                <w:sz w:val="20"/>
                <w:szCs w:val="20"/>
                <w:highlight w:val="green"/>
              </w:rPr>
            </w:pPr>
          </w:p>
        </w:tc>
        <w:tc>
          <w:tcPr>
            <w:tcW w:w="222" w:type="dxa"/>
            <w:vAlign w:val="center"/>
            <w:hideMark/>
          </w:tcPr>
          <w:p w14:paraId="16918D74" w14:textId="77777777" w:rsidR="006F65D7" w:rsidRPr="000A13A9" w:rsidRDefault="006F65D7" w:rsidP="006F65D7">
            <w:pPr>
              <w:rPr>
                <w:sz w:val="20"/>
                <w:szCs w:val="20"/>
                <w:highlight w:val="green"/>
              </w:rPr>
            </w:pPr>
          </w:p>
        </w:tc>
      </w:tr>
      <w:tr w:rsidR="002E2A51" w:rsidRPr="000A13A9" w14:paraId="25DD6250" w14:textId="77777777" w:rsidTr="12F3CE6E">
        <w:trPr>
          <w:trHeight w:val="265"/>
        </w:trPr>
        <w:tc>
          <w:tcPr>
            <w:tcW w:w="4005" w:type="dxa"/>
            <w:tcBorders>
              <w:top w:val="nil"/>
              <w:left w:val="nil"/>
              <w:bottom w:val="nil"/>
              <w:right w:val="nil"/>
            </w:tcBorders>
            <w:vAlign w:val="center"/>
            <w:hideMark/>
          </w:tcPr>
          <w:p w14:paraId="50176C76" w14:textId="2E880582" w:rsidR="006F65D7" w:rsidRPr="000A13A9" w:rsidRDefault="006F65D7" w:rsidP="006F65D7">
            <w:pPr>
              <w:rPr>
                <w:rFonts w:ascii="Arial" w:hAnsi="Arial" w:cs="Arial"/>
                <w:color w:val="000000"/>
                <w:sz w:val="20"/>
                <w:szCs w:val="20"/>
                <w:highlight w:val="green"/>
              </w:rPr>
            </w:pPr>
            <w:r w:rsidRPr="60EF5B48">
              <w:rPr>
                <w:rFonts w:ascii="Arial" w:hAnsi="Arial" w:cs="Arial"/>
                <w:color w:val="000000" w:themeColor="text1"/>
                <w:sz w:val="20"/>
                <w:szCs w:val="20"/>
              </w:rPr>
              <w:t>Opening balance</w:t>
            </w:r>
          </w:p>
        </w:tc>
        <w:tc>
          <w:tcPr>
            <w:tcW w:w="1320" w:type="dxa"/>
            <w:tcBorders>
              <w:top w:val="nil"/>
              <w:left w:val="nil"/>
              <w:bottom w:val="nil"/>
              <w:right w:val="nil"/>
            </w:tcBorders>
            <w:noWrap/>
            <w:vAlign w:val="center"/>
            <w:hideMark/>
          </w:tcPr>
          <w:p w14:paraId="2DA8CE99" w14:textId="77637339" w:rsidR="006F65D7" w:rsidRPr="00F3505D" w:rsidRDefault="610D645E" w:rsidP="006F65D7">
            <w:pPr>
              <w:jc w:val="right"/>
              <w:rPr>
                <w:rFonts w:ascii="Arial" w:hAnsi="Arial" w:cs="Arial"/>
                <w:color w:val="000000"/>
                <w:sz w:val="20"/>
                <w:szCs w:val="20"/>
              </w:rPr>
            </w:pPr>
            <w:r w:rsidRPr="33ABFBD9">
              <w:rPr>
                <w:rFonts w:ascii="Arial" w:hAnsi="Arial" w:cs="Arial"/>
                <w:color w:val="000000" w:themeColor="text1"/>
                <w:sz w:val="20"/>
                <w:szCs w:val="20"/>
              </w:rPr>
              <w:t>0</w:t>
            </w:r>
          </w:p>
        </w:tc>
        <w:tc>
          <w:tcPr>
            <w:tcW w:w="1320" w:type="dxa"/>
            <w:tcBorders>
              <w:top w:val="nil"/>
              <w:left w:val="nil"/>
              <w:bottom w:val="nil"/>
              <w:right w:val="nil"/>
            </w:tcBorders>
            <w:noWrap/>
            <w:vAlign w:val="center"/>
            <w:hideMark/>
          </w:tcPr>
          <w:p w14:paraId="400A945B" w14:textId="167CA16F" w:rsidR="006F65D7" w:rsidRPr="00F3505D"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1290" w:type="dxa"/>
            <w:tcBorders>
              <w:top w:val="nil"/>
              <w:left w:val="nil"/>
              <w:bottom w:val="nil"/>
              <w:right w:val="nil"/>
            </w:tcBorders>
            <w:noWrap/>
            <w:vAlign w:val="center"/>
            <w:hideMark/>
          </w:tcPr>
          <w:p w14:paraId="70EA398D" w14:textId="31131622" w:rsidR="006F65D7" w:rsidRPr="000A13A9" w:rsidRDefault="006F65D7" w:rsidP="006F65D7">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1320" w:type="dxa"/>
            <w:tcBorders>
              <w:top w:val="nil"/>
              <w:left w:val="nil"/>
              <w:bottom w:val="nil"/>
              <w:right w:val="nil"/>
            </w:tcBorders>
            <w:noWrap/>
            <w:vAlign w:val="center"/>
            <w:hideMark/>
          </w:tcPr>
          <w:p w14:paraId="64AED5E6" w14:textId="3FE26987" w:rsidR="006F65D7" w:rsidRPr="000A13A9" w:rsidRDefault="006F65D7" w:rsidP="006F65D7">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1379" w:type="dxa"/>
            <w:tcBorders>
              <w:top w:val="nil"/>
              <w:left w:val="nil"/>
              <w:bottom w:val="nil"/>
              <w:right w:val="nil"/>
            </w:tcBorders>
            <w:noWrap/>
            <w:vAlign w:val="center"/>
            <w:hideMark/>
          </w:tcPr>
          <w:p w14:paraId="2250C62D" w14:textId="21E956DE" w:rsidR="006F65D7" w:rsidRPr="000A13A9" w:rsidRDefault="006F65D7" w:rsidP="006F65D7">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222" w:type="dxa"/>
            <w:vAlign w:val="center"/>
            <w:hideMark/>
          </w:tcPr>
          <w:p w14:paraId="0FCF7C39" w14:textId="77777777" w:rsidR="006F65D7" w:rsidRPr="000A13A9" w:rsidRDefault="006F65D7" w:rsidP="006F65D7">
            <w:pPr>
              <w:rPr>
                <w:sz w:val="20"/>
                <w:szCs w:val="20"/>
                <w:highlight w:val="green"/>
              </w:rPr>
            </w:pPr>
          </w:p>
        </w:tc>
      </w:tr>
      <w:tr w:rsidR="002E2A51" w:rsidRPr="000A13A9" w14:paraId="184A6F2A" w14:textId="77777777" w:rsidTr="12F3CE6E">
        <w:trPr>
          <w:trHeight w:val="265"/>
        </w:trPr>
        <w:tc>
          <w:tcPr>
            <w:tcW w:w="4005" w:type="dxa"/>
            <w:tcBorders>
              <w:top w:val="nil"/>
              <w:left w:val="nil"/>
              <w:bottom w:val="nil"/>
              <w:right w:val="nil"/>
            </w:tcBorders>
            <w:vAlign w:val="center"/>
            <w:hideMark/>
          </w:tcPr>
          <w:p w14:paraId="3911551B" w14:textId="499F17AA" w:rsidR="006F65D7" w:rsidRPr="000A13A9" w:rsidRDefault="006F65D7" w:rsidP="006F65D7">
            <w:pPr>
              <w:rPr>
                <w:rFonts w:ascii="Arial" w:hAnsi="Arial" w:cs="Arial"/>
                <w:color w:val="000000"/>
                <w:sz w:val="20"/>
                <w:szCs w:val="20"/>
                <w:highlight w:val="green"/>
              </w:rPr>
            </w:pPr>
            <w:r w:rsidRPr="60EF5B48">
              <w:rPr>
                <w:rFonts w:ascii="Arial" w:hAnsi="Arial" w:cs="Arial"/>
                <w:color w:val="000000" w:themeColor="text1"/>
                <w:sz w:val="20"/>
                <w:szCs w:val="20"/>
              </w:rPr>
              <w:t>Received in year</w:t>
            </w:r>
          </w:p>
        </w:tc>
        <w:tc>
          <w:tcPr>
            <w:tcW w:w="1320" w:type="dxa"/>
            <w:tcBorders>
              <w:top w:val="nil"/>
              <w:left w:val="nil"/>
              <w:bottom w:val="nil"/>
              <w:right w:val="nil"/>
            </w:tcBorders>
            <w:noWrap/>
            <w:vAlign w:val="center"/>
            <w:hideMark/>
          </w:tcPr>
          <w:p w14:paraId="68FAAF91" w14:textId="0711ABAE" w:rsidR="006F65D7" w:rsidRPr="00F3505D" w:rsidRDefault="610D645E" w:rsidP="00F3505D">
            <w:pPr>
              <w:jc w:val="right"/>
              <w:rPr>
                <w:rFonts w:ascii="Arial" w:hAnsi="Arial" w:cs="Arial"/>
                <w:color w:val="000000"/>
                <w:sz w:val="20"/>
                <w:szCs w:val="20"/>
              </w:rPr>
            </w:pPr>
            <w:r w:rsidRPr="33ABFBD9">
              <w:rPr>
                <w:rFonts w:ascii="Arial" w:hAnsi="Arial" w:cs="Arial"/>
                <w:color w:val="000000" w:themeColor="text1"/>
                <w:sz w:val="20"/>
                <w:szCs w:val="20"/>
              </w:rPr>
              <w:t>0</w:t>
            </w:r>
          </w:p>
        </w:tc>
        <w:tc>
          <w:tcPr>
            <w:tcW w:w="1320" w:type="dxa"/>
            <w:tcBorders>
              <w:top w:val="nil"/>
              <w:left w:val="nil"/>
              <w:bottom w:val="nil"/>
              <w:right w:val="nil"/>
            </w:tcBorders>
            <w:noWrap/>
            <w:vAlign w:val="center"/>
            <w:hideMark/>
          </w:tcPr>
          <w:p w14:paraId="742E47CE" w14:textId="0FCE0D4B" w:rsidR="006F65D7" w:rsidRPr="00F3505D"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1290" w:type="dxa"/>
            <w:tcBorders>
              <w:top w:val="nil"/>
              <w:left w:val="nil"/>
              <w:bottom w:val="nil"/>
              <w:right w:val="nil"/>
            </w:tcBorders>
            <w:noWrap/>
            <w:vAlign w:val="center"/>
            <w:hideMark/>
          </w:tcPr>
          <w:p w14:paraId="2E85ACE3" w14:textId="35825DB3" w:rsidR="006F65D7" w:rsidRPr="000A13A9" w:rsidRDefault="006F65D7" w:rsidP="006F65D7">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1320" w:type="dxa"/>
            <w:tcBorders>
              <w:top w:val="nil"/>
              <w:left w:val="nil"/>
              <w:bottom w:val="nil"/>
              <w:right w:val="nil"/>
            </w:tcBorders>
            <w:noWrap/>
            <w:vAlign w:val="center"/>
            <w:hideMark/>
          </w:tcPr>
          <w:p w14:paraId="59464E77" w14:textId="72EFDB91" w:rsidR="006F65D7" w:rsidRPr="000A13A9" w:rsidRDefault="006F65D7" w:rsidP="006F65D7">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1379" w:type="dxa"/>
            <w:tcBorders>
              <w:top w:val="nil"/>
              <w:left w:val="nil"/>
              <w:bottom w:val="nil"/>
              <w:right w:val="nil"/>
            </w:tcBorders>
            <w:noWrap/>
            <w:vAlign w:val="center"/>
            <w:hideMark/>
          </w:tcPr>
          <w:p w14:paraId="793D0870" w14:textId="68791D5E" w:rsidR="006F65D7" w:rsidRPr="000A13A9" w:rsidRDefault="006F65D7" w:rsidP="006F65D7">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222" w:type="dxa"/>
            <w:vAlign w:val="center"/>
            <w:hideMark/>
          </w:tcPr>
          <w:p w14:paraId="3579AF64" w14:textId="77777777" w:rsidR="006F65D7" w:rsidRPr="000A13A9" w:rsidRDefault="006F65D7" w:rsidP="006F65D7">
            <w:pPr>
              <w:rPr>
                <w:sz w:val="20"/>
                <w:szCs w:val="20"/>
                <w:highlight w:val="green"/>
              </w:rPr>
            </w:pPr>
          </w:p>
        </w:tc>
      </w:tr>
      <w:tr w:rsidR="002E2A51" w:rsidRPr="000A13A9" w14:paraId="27FA02F1" w14:textId="77777777" w:rsidTr="12F3CE6E">
        <w:trPr>
          <w:trHeight w:val="265"/>
        </w:trPr>
        <w:tc>
          <w:tcPr>
            <w:tcW w:w="4005" w:type="dxa"/>
            <w:tcBorders>
              <w:top w:val="nil"/>
              <w:left w:val="nil"/>
              <w:bottom w:val="nil"/>
              <w:right w:val="nil"/>
            </w:tcBorders>
            <w:vAlign w:val="center"/>
            <w:hideMark/>
          </w:tcPr>
          <w:p w14:paraId="7A975DF2" w14:textId="08010126" w:rsidR="006F65D7" w:rsidRPr="000A13A9" w:rsidRDefault="006F65D7" w:rsidP="006F65D7">
            <w:pPr>
              <w:rPr>
                <w:rFonts w:ascii="Arial" w:hAnsi="Arial" w:cs="Arial"/>
                <w:color w:val="000000"/>
                <w:sz w:val="20"/>
                <w:szCs w:val="20"/>
                <w:highlight w:val="green"/>
              </w:rPr>
            </w:pPr>
            <w:r w:rsidRPr="60EF5B48">
              <w:rPr>
                <w:rFonts w:ascii="Arial" w:hAnsi="Arial" w:cs="Arial"/>
                <w:color w:val="000000" w:themeColor="text1"/>
                <w:sz w:val="20"/>
                <w:szCs w:val="20"/>
              </w:rPr>
              <w:t>Used in financing</w:t>
            </w:r>
          </w:p>
        </w:tc>
        <w:tc>
          <w:tcPr>
            <w:tcW w:w="1320" w:type="dxa"/>
            <w:tcBorders>
              <w:top w:val="nil"/>
              <w:left w:val="nil"/>
              <w:bottom w:val="nil"/>
              <w:right w:val="nil"/>
            </w:tcBorders>
            <w:noWrap/>
            <w:vAlign w:val="center"/>
            <w:hideMark/>
          </w:tcPr>
          <w:p w14:paraId="1BFBF5E4" w14:textId="1F77EFC5" w:rsidR="006F65D7" w:rsidRPr="00F3505D" w:rsidRDefault="610D645E" w:rsidP="006F65D7">
            <w:pPr>
              <w:jc w:val="right"/>
              <w:rPr>
                <w:rFonts w:ascii="Arial" w:hAnsi="Arial" w:cs="Arial"/>
                <w:color w:val="000000"/>
                <w:sz w:val="20"/>
                <w:szCs w:val="20"/>
              </w:rPr>
            </w:pPr>
            <w:r w:rsidRPr="33ABFBD9">
              <w:rPr>
                <w:rFonts w:ascii="Arial" w:hAnsi="Arial" w:cs="Arial"/>
                <w:color w:val="000000" w:themeColor="text1"/>
                <w:sz w:val="20"/>
                <w:szCs w:val="20"/>
              </w:rPr>
              <w:t>0</w:t>
            </w:r>
          </w:p>
        </w:tc>
        <w:tc>
          <w:tcPr>
            <w:tcW w:w="1320" w:type="dxa"/>
            <w:tcBorders>
              <w:top w:val="nil"/>
              <w:left w:val="nil"/>
              <w:bottom w:val="nil"/>
              <w:right w:val="nil"/>
            </w:tcBorders>
            <w:noWrap/>
            <w:vAlign w:val="center"/>
            <w:hideMark/>
          </w:tcPr>
          <w:p w14:paraId="2C14F1BD" w14:textId="29F655CA" w:rsidR="006F65D7" w:rsidRPr="00F3505D" w:rsidRDefault="006F65D7" w:rsidP="006F65D7">
            <w:pPr>
              <w:jc w:val="right"/>
              <w:rPr>
                <w:rFonts w:ascii="Arial" w:hAnsi="Arial" w:cs="Arial"/>
                <w:color w:val="000000"/>
                <w:sz w:val="20"/>
                <w:szCs w:val="20"/>
                <w:highlight w:val="yellow"/>
              </w:rPr>
            </w:pPr>
            <w:r w:rsidRPr="60EF5B48">
              <w:rPr>
                <w:rFonts w:ascii="Arial" w:hAnsi="Arial" w:cs="Arial"/>
                <w:color w:val="000000" w:themeColor="text1"/>
                <w:sz w:val="20"/>
                <w:szCs w:val="20"/>
              </w:rPr>
              <w:t>0</w:t>
            </w:r>
          </w:p>
        </w:tc>
        <w:tc>
          <w:tcPr>
            <w:tcW w:w="1290" w:type="dxa"/>
            <w:tcBorders>
              <w:top w:val="nil"/>
              <w:left w:val="nil"/>
              <w:bottom w:val="nil"/>
              <w:right w:val="nil"/>
            </w:tcBorders>
            <w:noWrap/>
            <w:vAlign w:val="center"/>
            <w:hideMark/>
          </w:tcPr>
          <w:p w14:paraId="3A8AA532" w14:textId="65E57A11" w:rsidR="006F65D7" w:rsidRPr="000A13A9" w:rsidRDefault="006F65D7" w:rsidP="006F65D7">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1320" w:type="dxa"/>
            <w:tcBorders>
              <w:top w:val="nil"/>
              <w:left w:val="nil"/>
              <w:bottom w:val="nil"/>
              <w:right w:val="nil"/>
            </w:tcBorders>
            <w:noWrap/>
            <w:vAlign w:val="center"/>
            <w:hideMark/>
          </w:tcPr>
          <w:p w14:paraId="73F03837" w14:textId="043AFF91" w:rsidR="006F65D7" w:rsidRPr="000A13A9" w:rsidRDefault="006F65D7" w:rsidP="006F65D7">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1379" w:type="dxa"/>
            <w:tcBorders>
              <w:top w:val="nil"/>
              <w:left w:val="nil"/>
              <w:bottom w:val="nil"/>
              <w:right w:val="nil"/>
            </w:tcBorders>
            <w:noWrap/>
            <w:vAlign w:val="center"/>
            <w:hideMark/>
          </w:tcPr>
          <w:p w14:paraId="61A99A01" w14:textId="6739B10D" w:rsidR="006F65D7" w:rsidRPr="000A13A9" w:rsidRDefault="006F65D7" w:rsidP="006F65D7">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222" w:type="dxa"/>
            <w:vAlign w:val="center"/>
            <w:hideMark/>
          </w:tcPr>
          <w:p w14:paraId="4285F44D" w14:textId="77777777" w:rsidR="006F65D7" w:rsidRPr="000A13A9" w:rsidRDefault="006F65D7" w:rsidP="006F65D7">
            <w:pPr>
              <w:rPr>
                <w:sz w:val="20"/>
                <w:szCs w:val="20"/>
                <w:highlight w:val="green"/>
              </w:rPr>
            </w:pPr>
          </w:p>
        </w:tc>
      </w:tr>
      <w:tr w:rsidR="002E2A51" w:rsidRPr="000A13A9" w14:paraId="409AD561" w14:textId="77777777" w:rsidTr="12F3CE6E">
        <w:trPr>
          <w:trHeight w:val="265"/>
        </w:trPr>
        <w:tc>
          <w:tcPr>
            <w:tcW w:w="4005" w:type="dxa"/>
            <w:tcBorders>
              <w:top w:val="nil"/>
              <w:left w:val="nil"/>
              <w:bottom w:val="nil"/>
              <w:right w:val="nil"/>
            </w:tcBorders>
            <w:vAlign w:val="center"/>
            <w:hideMark/>
          </w:tcPr>
          <w:p w14:paraId="3D4FB0A4" w14:textId="501BFA66" w:rsidR="006F65D7" w:rsidRPr="000A13A9" w:rsidRDefault="006F65D7" w:rsidP="006F65D7">
            <w:pPr>
              <w:rPr>
                <w:rFonts w:ascii="Arial" w:hAnsi="Arial" w:cs="Arial"/>
                <w:color w:val="000000"/>
                <w:sz w:val="20"/>
                <w:szCs w:val="20"/>
                <w:highlight w:val="green"/>
              </w:rPr>
            </w:pPr>
            <w:r w:rsidRPr="60EF5B48">
              <w:rPr>
                <w:rFonts w:ascii="Arial" w:hAnsi="Arial" w:cs="Arial"/>
                <w:color w:val="000000" w:themeColor="text1"/>
                <w:sz w:val="20"/>
                <w:szCs w:val="20"/>
              </w:rPr>
              <w:t>Closing balance</w:t>
            </w:r>
          </w:p>
        </w:tc>
        <w:tc>
          <w:tcPr>
            <w:tcW w:w="1320" w:type="dxa"/>
            <w:tcBorders>
              <w:top w:val="single" w:sz="4" w:space="0" w:color="auto"/>
              <w:left w:val="nil"/>
              <w:bottom w:val="single" w:sz="4" w:space="0" w:color="auto"/>
              <w:right w:val="nil"/>
            </w:tcBorders>
            <w:noWrap/>
            <w:vAlign w:val="center"/>
            <w:hideMark/>
          </w:tcPr>
          <w:p w14:paraId="35385C4B" w14:textId="3CF73518" w:rsidR="006F65D7" w:rsidRPr="000A13A9" w:rsidRDefault="006F65D7" w:rsidP="006F65D7">
            <w:pPr>
              <w:jc w:val="right"/>
              <w:rPr>
                <w:rFonts w:ascii="Arial" w:hAnsi="Arial" w:cs="Arial"/>
                <w:b/>
                <w:bCs/>
                <w:color w:val="000000"/>
                <w:sz w:val="20"/>
                <w:szCs w:val="20"/>
                <w:highlight w:val="green"/>
              </w:rPr>
            </w:pPr>
            <w:r w:rsidRPr="60EF5B48">
              <w:rPr>
                <w:rFonts w:ascii="Arial" w:hAnsi="Arial" w:cs="Arial"/>
                <w:b/>
                <w:color w:val="000000" w:themeColor="text1"/>
                <w:sz w:val="20"/>
                <w:szCs w:val="20"/>
              </w:rPr>
              <w:t>0</w:t>
            </w:r>
          </w:p>
        </w:tc>
        <w:tc>
          <w:tcPr>
            <w:tcW w:w="1320" w:type="dxa"/>
            <w:tcBorders>
              <w:top w:val="single" w:sz="4" w:space="0" w:color="auto"/>
              <w:left w:val="nil"/>
              <w:bottom w:val="single" w:sz="4" w:space="0" w:color="auto"/>
              <w:right w:val="nil"/>
            </w:tcBorders>
            <w:noWrap/>
            <w:vAlign w:val="center"/>
            <w:hideMark/>
          </w:tcPr>
          <w:p w14:paraId="4E39857B" w14:textId="649CC2B1" w:rsidR="006F65D7" w:rsidRPr="000A13A9" w:rsidRDefault="006F65D7" w:rsidP="006F65D7">
            <w:pPr>
              <w:jc w:val="right"/>
              <w:rPr>
                <w:rFonts w:ascii="Arial" w:hAnsi="Arial" w:cs="Arial"/>
                <w:b/>
                <w:bCs/>
                <w:color w:val="000000"/>
                <w:sz w:val="20"/>
                <w:szCs w:val="20"/>
                <w:highlight w:val="green"/>
              </w:rPr>
            </w:pPr>
            <w:r w:rsidRPr="60EF5B48">
              <w:rPr>
                <w:rFonts w:ascii="Arial" w:hAnsi="Arial" w:cs="Arial"/>
                <w:b/>
                <w:color w:val="000000" w:themeColor="text1"/>
                <w:sz w:val="20"/>
                <w:szCs w:val="20"/>
              </w:rPr>
              <w:t>0</w:t>
            </w:r>
          </w:p>
        </w:tc>
        <w:tc>
          <w:tcPr>
            <w:tcW w:w="1290" w:type="dxa"/>
            <w:tcBorders>
              <w:top w:val="single" w:sz="4" w:space="0" w:color="auto"/>
              <w:left w:val="nil"/>
              <w:bottom w:val="single" w:sz="4" w:space="0" w:color="auto"/>
              <w:right w:val="nil"/>
            </w:tcBorders>
            <w:noWrap/>
            <w:vAlign w:val="center"/>
            <w:hideMark/>
          </w:tcPr>
          <w:p w14:paraId="0FC2B087" w14:textId="3DED24B2" w:rsidR="006F65D7" w:rsidRPr="000A13A9" w:rsidRDefault="006F65D7" w:rsidP="006F65D7">
            <w:pPr>
              <w:jc w:val="right"/>
              <w:rPr>
                <w:rFonts w:ascii="Arial" w:hAnsi="Arial" w:cs="Arial"/>
                <w:b/>
                <w:bCs/>
                <w:color w:val="000000"/>
                <w:sz w:val="20"/>
                <w:szCs w:val="20"/>
                <w:highlight w:val="green"/>
              </w:rPr>
            </w:pPr>
            <w:r w:rsidRPr="60EF5B48">
              <w:rPr>
                <w:rFonts w:ascii="Arial" w:hAnsi="Arial" w:cs="Arial"/>
                <w:b/>
                <w:color w:val="000000" w:themeColor="text1"/>
                <w:sz w:val="20"/>
                <w:szCs w:val="20"/>
              </w:rPr>
              <w:t>0</w:t>
            </w:r>
          </w:p>
        </w:tc>
        <w:tc>
          <w:tcPr>
            <w:tcW w:w="1320" w:type="dxa"/>
            <w:tcBorders>
              <w:top w:val="single" w:sz="4" w:space="0" w:color="auto"/>
              <w:left w:val="nil"/>
              <w:bottom w:val="single" w:sz="4" w:space="0" w:color="auto"/>
              <w:right w:val="nil"/>
            </w:tcBorders>
            <w:noWrap/>
            <w:vAlign w:val="center"/>
            <w:hideMark/>
          </w:tcPr>
          <w:p w14:paraId="3AFAF3A6" w14:textId="50085AD5" w:rsidR="006F65D7" w:rsidRPr="000A13A9" w:rsidRDefault="006F65D7" w:rsidP="006F65D7">
            <w:pPr>
              <w:jc w:val="right"/>
              <w:rPr>
                <w:rFonts w:ascii="Arial" w:hAnsi="Arial" w:cs="Arial"/>
                <w:b/>
                <w:bCs/>
                <w:color w:val="000000"/>
                <w:sz w:val="20"/>
                <w:szCs w:val="20"/>
                <w:highlight w:val="green"/>
              </w:rPr>
            </w:pPr>
            <w:r w:rsidRPr="60EF5B48">
              <w:rPr>
                <w:rFonts w:ascii="Arial" w:hAnsi="Arial" w:cs="Arial"/>
                <w:b/>
                <w:color w:val="000000" w:themeColor="text1"/>
                <w:sz w:val="20"/>
                <w:szCs w:val="20"/>
              </w:rPr>
              <w:t>0</w:t>
            </w:r>
          </w:p>
        </w:tc>
        <w:tc>
          <w:tcPr>
            <w:tcW w:w="1379" w:type="dxa"/>
            <w:tcBorders>
              <w:top w:val="single" w:sz="4" w:space="0" w:color="auto"/>
              <w:left w:val="nil"/>
              <w:bottom w:val="single" w:sz="4" w:space="0" w:color="auto"/>
              <w:right w:val="nil"/>
            </w:tcBorders>
            <w:noWrap/>
            <w:vAlign w:val="center"/>
            <w:hideMark/>
          </w:tcPr>
          <w:p w14:paraId="48620185" w14:textId="40B68560" w:rsidR="006F65D7" w:rsidRPr="000A13A9" w:rsidRDefault="006F65D7" w:rsidP="006F65D7">
            <w:pPr>
              <w:jc w:val="right"/>
              <w:rPr>
                <w:rFonts w:ascii="Arial" w:hAnsi="Arial" w:cs="Arial"/>
                <w:b/>
                <w:bCs/>
                <w:color w:val="000000"/>
                <w:sz w:val="20"/>
                <w:szCs w:val="20"/>
                <w:highlight w:val="green"/>
              </w:rPr>
            </w:pPr>
            <w:r w:rsidRPr="60EF5B48">
              <w:rPr>
                <w:rFonts w:ascii="Arial" w:hAnsi="Arial" w:cs="Arial"/>
                <w:b/>
                <w:color w:val="000000" w:themeColor="text1"/>
                <w:sz w:val="20"/>
                <w:szCs w:val="20"/>
              </w:rPr>
              <w:t>0</w:t>
            </w:r>
          </w:p>
        </w:tc>
        <w:tc>
          <w:tcPr>
            <w:tcW w:w="222" w:type="dxa"/>
            <w:vAlign w:val="center"/>
            <w:hideMark/>
          </w:tcPr>
          <w:p w14:paraId="72E11977" w14:textId="77777777" w:rsidR="006F65D7" w:rsidRPr="000A13A9" w:rsidRDefault="006F65D7" w:rsidP="006F65D7">
            <w:pPr>
              <w:rPr>
                <w:sz w:val="20"/>
                <w:szCs w:val="20"/>
                <w:highlight w:val="green"/>
              </w:rPr>
            </w:pPr>
          </w:p>
        </w:tc>
      </w:tr>
      <w:tr w:rsidR="002E2A51" w:rsidRPr="000A13A9" w14:paraId="15A4D069" w14:textId="77777777" w:rsidTr="12F3CE6E">
        <w:trPr>
          <w:trHeight w:val="265"/>
        </w:trPr>
        <w:tc>
          <w:tcPr>
            <w:tcW w:w="4005" w:type="dxa"/>
            <w:tcBorders>
              <w:top w:val="nil"/>
              <w:left w:val="nil"/>
              <w:bottom w:val="nil"/>
              <w:right w:val="nil"/>
            </w:tcBorders>
            <w:vAlign w:val="center"/>
            <w:hideMark/>
          </w:tcPr>
          <w:p w14:paraId="0EF8BA7D" w14:textId="5117F0E6" w:rsidR="006F65D7" w:rsidRPr="000A13A9" w:rsidRDefault="006F65D7" w:rsidP="006F65D7">
            <w:pPr>
              <w:jc w:val="right"/>
              <w:rPr>
                <w:rFonts w:ascii="Arial" w:hAnsi="Arial" w:cs="Arial"/>
                <w:b/>
                <w:bCs/>
                <w:color w:val="000000"/>
                <w:sz w:val="20"/>
                <w:szCs w:val="20"/>
                <w:highlight w:val="green"/>
              </w:rPr>
            </w:pPr>
          </w:p>
        </w:tc>
        <w:tc>
          <w:tcPr>
            <w:tcW w:w="1320" w:type="dxa"/>
            <w:tcBorders>
              <w:top w:val="nil"/>
              <w:left w:val="nil"/>
              <w:bottom w:val="nil"/>
              <w:right w:val="nil"/>
            </w:tcBorders>
            <w:noWrap/>
            <w:vAlign w:val="center"/>
            <w:hideMark/>
          </w:tcPr>
          <w:p w14:paraId="7717157D" w14:textId="7E256EDF" w:rsidR="006F65D7" w:rsidRPr="000A13A9" w:rsidRDefault="006F65D7" w:rsidP="006F65D7">
            <w:pPr>
              <w:rPr>
                <w:sz w:val="20"/>
                <w:szCs w:val="20"/>
                <w:highlight w:val="green"/>
              </w:rPr>
            </w:pPr>
          </w:p>
        </w:tc>
        <w:tc>
          <w:tcPr>
            <w:tcW w:w="1320" w:type="dxa"/>
            <w:tcBorders>
              <w:top w:val="nil"/>
              <w:left w:val="nil"/>
              <w:bottom w:val="nil"/>
              <w:right w:val="nil"/>
            </w:tcBorders>
            <w:noWrap/>
            <w:vAlign w:val="center"/>
            <w:hideMark/>
          </w:tcPr>
          <w:p w14:paraId="4BA05292" w14:textId="7B39B9A8" w:rsidR="006F65D7" w:rsidRPr="000A13A9" w:rsidRDefault="006F65D7" w:rsidP="006F65D7">
            <w:pPr>
              <w:jc w:val="right"/>
              <w:rPr>
                <w:sz w:val="20"/>
                <w:szCs w:val="20"/>
                <w:highlight w:val="green"/>
              </w:rPr>
            </w:pPr>
          </w:p>
        </w:tc>
        <w:tc>
          <w:tcPr>
            <w:tcW w:w="1290" w:type="dxa"/>
            <w:tcBorders>
              <w:top w:val="nil"/>
              <w:left w:val="nil"/>
              <w:bottom w:val="nil"/>
              <w:right w:val="nil"/>
            </w:tcBorders>
            <w:noWrap/>
            <w:vAlign w:val="center"/>
            <w:hideMark/>
          </w:tcPr>
          <w:p w14:paraId="608C961C" w14:textId="5E0E58B6" w:rsidR="006F65D7" w:rsidRPr="000A13A9" w:rsidRDefault="006F65D7" w:rsidP="006F65D7">
            <w:pPr>
              <w:jc w:val="right"/>
              <w:rPr>
                <w:sz w:val="20"/>
                <w:szCs w:val="20"/>
                <w:highlight w:val="green"/>
              </w:rPr>
            </w:pPr>
          </w:p>
        </w:tc>
        <w:tc>
          <w:tcPr>
            <w:tcW w:w="1320" w:type="dxa"/>
            <w:tcBorders>
              <w:top w:val="nil"/>
              <w:left w:val="nil"/>
              <w:bottom w:val="nil"/>
              <w:right w:val="nil"/>
            </w:tcBorders>
            <w:noWrap/>
            <w:vAlign w:val="center"/>
            <w:hideMark/>
          </w:tcPr>
          <w:p w14:paraId="0C679FAB" w14:textId="0C87C154" w:rsidR="006F65D7" w:rsidRPr="000A13A9" w:rsidRDefault="006F65D7" w:rsidP="006F65D7">
            <w:pPr>
              <w:jc w:val="right"/>
              <w:rPr>
                <w:sz w:val="20"/>
                <w:szCs w:val="20"/>
                <w:highlight w:val="green"/>
              </w:rPr>
            </w:pPr>
          </w:p>
        </w:tc>
        <w:tc>
          <w:tcPr>
            <w:tcW w:w="1379" w:type="dxa"/>
            <w:tcBorders>
              <w:top w:val="nil"/>
              <w:left w:val="nil"/>
              <w:bottom w:val="nil"/>
              <w:right w:val="nil"/>
            </w:tcBorders>
            <w:noWrap/>
            <w:vAlign w:val="center"/>
            <w:hideMark/>
          </w:tcPr>
          <w:p w14:paraId="7E652162" w14:textId="09215FB8" w:rsidR="006F65D7" w:rsidRPr="000A13A9" w:rsidRDefault="006F65D7" w:rsidP="006F65D7">
            <w:pPr>
              <w:jc w:val="right"/>
              <w:rPr>
                <w:sz w:val="20"/>
                <w:szCs w:val="20"/>
                <w:highlight w:val="green"/>
              </w:rPr>
            </w:pPr>
          </w:p>
        </w:tc>
        <w:tc>
          <w:tcPr>
            <w:tcW w:w="222" w:type="dxa"/>
            <w:vAlign w:val="center"/>
            <w:hideMark/>
          </w:tcPr>
          <w:p w14:paraId="08BEAAA2" w14:textId="77777777" w:rsidR="006F65D7" w:rsidRPr="000A13A9" w:rsidRDefault="006F65D7" w:rsidP="006F65D7">
            <w:pPr>
              <w:rPr>
                <w:sz w:val="20"/>
                <w:szCs w:val="20"/>
                <w:highlight w:val="green"/>
              </w:rPr>
            </w:pPr>
          </w:p>
        </w:tc>
      </w:tr>
      <w:tr w:rsidR="002E2A51" w:rsidRPr="000A13A9" w14:paraId="786CA9B7" w14:textId="77777777" w:rsidTr="12F3CE6E">
        <w:trPr>
          <w:trHeight w:val="265"/>
        </w:trPr>
        <w:tc>
          <w:tcPr>
            <w:tcW w:w="4005" w:type="dxa"/>
            <w:tcBorders>
              <w:top w:val="nil"/>
              <w:left w:val="nil"/>
              <w:bottom w:val="nil"/>
              <w:right w:val="nil"/>
            </w:tcBorders>
            <w:vAlign w:val="center"/>
            <w:hideMark/>
          </w:tcPr>
          <w:p w14:paraId="6EDC1187" w14:textId="28D4875B" w:rsidR="006F65D7" w:rsidRPr="000A13A9" w:rsidRDefault="006F65D7" w:rsidP="006F65D7">
            <w:pPr>
              <w:rPr>
                <w:rFonts w:ascii="Arial" w:hAnsi="Arial" w:cs="Arial"/>
                <w:b/>
                <w:bCs/>
                <w:i/>
                <w:iCs/>
                <w:color w:val="000000"/>
                <w:sz w:val="20"/>
                <w:szCs w:val="20"/>
                <w:highlight w:val="green"/>
              </w:rPr>
            </w:pPr>
            <w:r w:rsidRPr="60EF5B48">
              <w:rPr>
                <w:rFonts w:ascii="Arial" w:hAnsi="Arial" w:cs="Arial"/>
                <w:b/>
                <w:i/>
                <w:color w:val="000000" w:themeColor="text1"/>
                <w:sz w:val="20"/>
                <w:szCs w:val="20"/>
              </w:rPr>
              <w:t>Capital receipts</w:t>
            </w:r>
          </w:p>
        </w:tc>
        <w:tc>
          <w:tcPr>
            <w:tcW w:w="1320" w:type="dxa"/>
            <w:tcBorders>
              <w:top w:val="nil"/>
              <w:left w:val="nil"/>
              <w:bottom w:val="nil"/>
              <w:right w:val="nil"/>
            </w:tcBorders>
            <w:noWrap/>
            <w:vAlign w:val="center"/>
            <w:hideMark/>
          </w:tcPr>
          <w:p w14:paraId="0B994987" w14:textId="4B6E6BD5" w:rsidR="006F65D7" w:rsidRPr="000A13A9" w:rsidRDefault="006F65D7" w:rsidP="006F65D7">
            <w:pPr>
              <w:rPr>
                <w:rFonts w:ascii="Arial" w:hAnsi="Arial" w:cs="Arial"/>
                <w:b/>
                <w:bCs/>
                <w:i/>
                <w:iCs/>
                <w:color w:val="000000"/>
                <w:sz w:val="20"/>
                <w:szCs w:val="20"/>
                <w:highlight w:val="green"/>
              </w:rPr>
            </w:pPr>
          </w:p>
        </w:tc>
        <w:tc>
          <w:tcPr>
            <w:tcW w:w="1320" w:type="dxa"/>
            <w:tcBorders>
              <w:top w:val="nil"/>
              <w:left w:val="nil"/>
              <w:bottom w:val="nil"/>
              <w:right w:val="nil"/>
            </w:tcBorders>
            <w:noWrap/>
            <w:vAlign w:val="center"/>
            <w:hideMark/>
          </w:tcPr>
          <w:p w14:paraId="12A67FA9" w14:textId="21D3D885" w:rsidR="006F65D7" w:rsidRPr="000A13A9" w:rsidRDefault="006F65D7" w:rsidP="006F65D7">
            <w:pPr>
              <w:jc w:val="right"/>
              <w:rPr>
                <w:sz w:val="20"/>
                <w:szCs w:val="20"/>
                <w:highlight w:val="green"/>
              </w:rPr>
            </w:pPr>
          </w:p>
        </w:tc>
        <w:tc>
          <w:tcPr>
            <w:tcW w:w="1290" w:type="dxa"/>
            <w:tcBorders>
              <w:top w:val="nil"/>
              <w:left w:val="nil"/>
              <w:bottom w:val="nil"/>
              <w:right w:val="nil"/>
            </w:tcBorders>
            <w:noWrap/>
            <w:vAlign w:val="center"/>
            <w:hideMark/>
          </w:tcPr>
          <w:p w14:paraId="187C320A" w14:textId="0D7D3AD0" w:rsidR="006F65D7" w:rsidRPr="000A13A9" w:rsidRDefault="006F65D7" w:rsidP="006F65D7">
            <w:pPr>
              <w:jc w:val="right"/>
              <w:rPr>
                <w:sz w:val="20"/>
                <w:szCs w:val="20"/>
                <w:highlight w:val="green"/>
              </w:rPr>
            </w:pPr>
          </w:p>
        </w:tc>
        <w:tc>
          <w:tcPr>
            <w:tcW w:w="1320" w:type="dxa"/>
            <w:tcBorders>
              <w:top w:val="nil"/>
              <w:left w:val="nil"/>
              <w:bottom w:val="nil"/>
              <w:right w:val="nil"/>
            </w:tcBorders>
            <w:noWrap/>
            <w:vAlign w:val="center"/>
            <w:hideMark/>
          </w:tcPr>
          <w:p w14:paraId="6F987396" w14:textId="67184D97" w:rsidR="006F65D7" w:rsidRPr="000A13A9" w:rsidRDefault="006F65D7" w:rsidP="006F65D7">
            <w:pPr>
              <w:jc w:val="right"/>
              <w:rPr>
                <w:sz w:val="20"/>
                <w:szCs w:val="20"/>
                <w:highlight w:val="green"/>
              </w:rPr>
            </w:pPr>
          </w:p>
        </w:tc>
        <w:tc>
          <w:tcPr>
            <w:tcW w:w="1379" w:type="dxa"/>
            <w:tcBorders>
              <w:top w:val="nil"/>
              <w:left w:val="nil"/>
              <w:bottom w:val="nil"/>
              <w:right w:val="nil"/>
            </w:tcBorders>
            <w:vAlign w:val="center"/>
            <w:hideMark/>
          </w:tcPr>
          <w:p w14:paraId="4697260C" w14:textId="5BD65263" w:rsidR="006F65D7" w:rsidRPr="000A13A9" w:rsidRDefault="006F65D7" w:rsidP="006F65D7">
            <w:pPr>
              <w:jc w:val="right"/>
              <w:rPr>
                <w:sz w:val="20"/>
                <w:szCs w:val="20"/>
                <w:highlight w:val="green"/>
              </w:rPr>
            </w:pPr>
          </w:p>
        </w:tc>
        <w:tc>
          <w:tcPr>
            <w:tcW w:w="222" w:type="dxa"/>
            <w:vAlign w:val="center"/>
            <w:hideMark/>
          </w:tcPr>
          <w:p w14:paraId="2F9B6B35" w14:textId="77777777" w:rsidR="006F65D7" w:rsidRPr="000A13A9" w:rsidRDefault="006F65D7" w:rsidP="006F65D7">
            <w:pPr>
              <w:rPr>
                <w:sz w:val="20"/>
                <w:szCs w:val="20"/>
                <w:highlight w:val="green"/>
              </w:rPr>
            </w:pPr>
          </w:p>
        </w:tc>
      </w:tr>
      <w:tr w:rsidR="002E2A51" w:rsidRPr="000A13A9" w14:paraId="2DE88397" w14:textId="77777777" w:rsidTr="12F3CE6E">
        <w:trPr>
          <w:trHeight w:val="265"/>
        </w:trPr>
        <w:tc>
          <w:tcPr>
            <w:tcW w:w="4005" w:type="dxa"/>
            <w:tcBorders>
              <w:top w:val="nil"/>
              <w:left w:val="nil"/>
              <w:bottom w:val="nil"/>
              <w:right w:val="nil"/>
            </w:tcBorders>
            <w:vAlign w:val="center"/>
            <w:hideMark/>
          </w:tcPr>
          <w:p w14:paraId="7BB7CD09" w14:textId="2BBCE32F" w:rsidR="005D275E" w:rsidRPr="000A13A9" w:rsidRDefault="005D275E" w:rsidP="005D275E">
            <w:pPr>
              <w:rPr>
                <w:rFonts w:ascii="Arial" w:hAnsi="Arial" w:cs="Arial"/>
                <w:color w:val="000000"/>
                <w:sz w:val="20"/>
                <w:szCs w:val="20"/>
                <w:highlight w:val="green"/>
              </w:rPr>
            </w:pPr>
            <w:r w:rsidRPr="60EF5B48">
              <w:rPr>
                <w:rFonts w:ascii="Arial" w:hAnsi="Arial" w:cs="Arial"/>
                <w:color w:val="000000" w:themeColor="text1"/>
                <w:sz w:val="20"/>
                <w:szCs w:val="20"/>
              </w:rPr>
              <w:t>Opening balance</w:t>
            </w:r>
          </w:p>
        </w:tc>
        <w:tc>
          <w:tcPr>
            <w:tcW w:w="1320" w:type="dxa"/>
            <w:tcBorders>
              <w:top w:val="nil"/>
              <w:left w:val="nil"/>
              <w:bottom w:val="nil"/>
              <w:right w:val="nil"/>
            </w:tcBorders>
            <w:noWrap/>
            <w:vAlign w:val="center"/>
            <w:hideMark/>
          </w:tcPr>
          <w:p w14:paraId="5541C057" w14:textId="7AF8B827" w:rsidR="005D275E" w:rsidRPr="00133149" w:rsidRDefault="005D275E" w:rsidP="005D275E">
            <w:pPr>
              <w:jc w:val="right"/>
              <w:rPr>
                <w:rFonts w:ascii="Arial" w:hAnsi="Arial" w:cs="Arial"/>
                <w:sz w:val="20"/>
                <w:szCs w:val="20"/>
              </w:rPr>
            </w:pPr>
            <w:r w:rsidRPr="60EF5B48">
              <w:rPr>
                <w:rFonts w:ascii="Arial" w:hAnsi="Arial" w:cs="Arial"/>
                <w:sz w:val="20"/>
                <w:szCs w:val="20"/>
              </w:rPr>
              <w:t>82</w:t>
            </w:r>
            <w:r w:rsidR="00EC07BE">
              <w:rPr>
                <w:rFonts w:ascii="Arial" w:hAnsi="Arial" w:cs="Arial"/>
                <w:sz w:val="20"/>
                <w:szCs w:val="20"/>
              </w:rPr>
              <w:t>6,076</w:t>
            </w:r>
          </w:p>
        </w:tc>
        <w:tc>
          <w:tcPr>
            <w:tcW w:w="1320" w:type="dxa"/>
            <w:tcBorders>
              <w:top w:val="nil"/>
              <w:left w:val="nil"/>
              <w:bottom w:val="nil"/>
              <w:right w:val="nil"/>
            </w:tcBorders>
            <w:noWrap/>
            <w:vAlign w:val="center"/>
            <w:hideMark/>
          </w:tcPr>
          <w:p w14:paraId="567C9D00" w14:textId="65A94381" w:rsidR="005D275E" w:rsidRPr="00133149" w:rsidRDefault="005D275E" w:rsidP="005D275E">
            <w:pPr>
              <w:jc w:val="right"/>
              <w:rPr>
                <w:rFonts w:ascii="Arial" w:hAnsi="Arial" w:cs="Arial"/>
                <w:sz w:val="20"/>
                <w:szCs w:val="20"/>
              </w:rPr>
            </w:pPr>
            <w:r w:rsidRPr="60EF5B48">
              <w:rPr>
                <w:rFonts w:ascii="Arial" w:hAnsi="Arial" w:cs="Arial"/>
                <w:sz w:val="20"/>
                <w:szCs w:val="20"/>
              </w:rPr>
              <w:t>82</w:t>
            </w:r>
            <w:r w:rsidR="00EC07BE">
              <w:rPr>
                <w:rFonts w:ascii="Arial" w:hAnsi="Arial" w:cs="Arial"/>
                <w:sz w:val="20"/>
                <w:szCs w:val="20"/>
              </w:rPr>
              <w:t>6,076</w:t>
            </w:r>
          </w:p>
        </w:tc>
        <w:tc>
          <w:tcPr>
            <w:tcW w:w="1290" w:type="dxa"/>
            <w:tcBorders>
              <w:top w:val="nil"/>
              <w:left w:val="nil"/>
              <w:bottom w:val="nil"/>
              <w:right w:val="nil"/>
            </w:tcBorders>
            <w:noWrap/>
            <w:vAlign w:val="center"/>
            <w:hideMark/>
          </w:tcPr>
          <w:p w14:paraId="059FE936" w14:textId="2A45C98E" w:rsidR="005D275E" w:rsidRPr="00133149" w:rsidRDefault="006412E7" w:rsidP="005D275E">
            <w:pPr>
              <w:jc w:val="right"/>
              <w:rPr>
                <w:rFonts w:ascii="Arial" w:hAnsi="Arial" w:cs="Arial"/>
                <w:sz w:val="20"/>
                <w:szCs w:val="20"/>
              </w:rPr>
            </w:pPr>
            <w:r w:rsidRPr="60EF5B48">
              <w:rPr>
                <w:rFonts w:ascii="Arial" w:hAnsi="Arial" w:cs="Arial"/>
                <w:sz w:val="20"/>
                <w:szCs w:val="20"/>
              </w:rPr>
              <w:t>1,83</w:t>
            </w:r>
            <w:r w:rsidR="00EC07BE">
              <w:rPr>
                <w:rFonts w:ascii="Arial" w:hAnsi="Arial" w:cs="Arial"/>
                <w:sz w:val="20"/>
                <w:szCs w:val="20"/>
              </w:rPr>
              <w:t>4,435</w:t>
            </w:r>
          </w:p>
        </w:tc>
        <w:tc>
          <w:tcPr>
            <w:tcW w:w="1320" w:type="dxa"/>
            <w:tcBorders>
              <w:top w:val="nil"/>
              <w:left w:val="nil"/>
              <w:bottom w:val="nil"/>
              <w:right w:val="nil"/>
            </w:tcBorders>
            <w:noWrap/>
            <w:vAlign w:val="center"/>
            <w:hideMark/>
          </w:tcPr>
          <w:p w14:paraId="62C278C8" w14:textId="1EC7830B" w:rsidR="005D275E" w:rsidRPr="00133149" w:rsidRDefault="006412E7" w:rsidP="005D275E">
            <w:pPr>
              <w:jc w:val="right"/>
              <w:rPr>
                <w:rFonts w:ascii="Arial" w:hAnsi="Arial" w:cs="Arial"/>
                <w:sz w:val="20"/>
                <w:szCs w:val="20"/>
              </w:rPr>
            </w:pPr>
            <w:r w:rsidRPr="60EF5B48">
              <w:rPr>
                <w:rFonts w:ascii="Arial" w:hAnsi="Arial" w:cs="Arial"/>
                <w:sz w:val="20"/>
                <w:szCs w:val="20"/>
              </w:rPr>
              <w:t>1,8</w:t>
            </w:r>
            <w:r w:rsidR="00EC07BE">
              <w:rPr>
                <w:rFonts w:ascii="Arial" w:hAnsi="Arial" w:cs="Arial"/>
                <w:sz w:val="20"/>
                <w:szCs w:val="20"/>
              </w:rPr>
              <w:t>34,435</w:t>
            </w:r>
          </w:p>
        </w:tc>
        <w:tc>
          <w:tcPr>
            <w:tcW w:w="1379" w:type="dxa"/>
            <w:tcBorders>
              <w:top w:val="nil"/>
              <w:left w:val="nil"/>
              <w:bottom w:val="nil"/>
              <w:right w:val="nil"/>
            </w:tcBorders>
            <w:noWrap/>
            <w:vAlign w:val="center"/>
            <w:hideMark/>
          </w:tcPr>
          <w:p w14:paraId="59A08B63" w14:textId="1506729C" w:rsidR="005D275E" w:rsidRPr="00133149" w:rsidRDefault="006412E7" w:rsidP="005D275E">
            <w:pPr>
              <w:jc w:val="right"/>
              <w:rPr>
                <w:rFonts w:ascii="Arial" w:hAnsi="Arial" w:cs="Arial"/>
                <w:sz w:val="20"/>
                <w:szCs w:val="20"/>
              </w:rPr>
            </w:pPr>
            <w:r w:rsidRPr="60EF5B48">
              <w:rPr>
                <w:rFonts w:ascii="Arial" w:hAnsi="Arial" w:cs="Arial"/>
                <w:sz w:val="20"/>
                <w:szCs w:val="20"/>
              </w:rPr>
              <w:t>1,83</w:t>
            </w:r>
            <w:r w:rsidR="00EC07BE">
              <w:rPr>
                <w:rFonts w:ascii="Arial" w:hAnsi="Arial" w:cs="Arial"/>
                <w:sz w:val="20"/>
                <w:szCs w:val="20"/>
              </w:rPr>
              <w:t>4,435</w:t>
            </w:r>
          </w:p>
        </w:tc>
        <w:tc>
          <w:tcPr>
            <w:tcW w:w="222" w:type="dxa"/>
            <w:vAlign w:val="center"/>
            <w:hideMark/>
          </w:tcPr>
          <w:p w14:paraId="7F104308" w14:textId="77777777" w:rsidR="005D275E" w:rsidRPr="000A13A9" w:rsidRDefault="005D275E" w:rsidP="005D275E">
            <w:pPr>
              <w:rPr>
                <w:sz w:val="20"/>
                <w:szCs w:val="20"/>
                <w:highlight w:val="green"/>
              </w:rPr>
            </w:pPr>
          </w:p>
        </w:tc>
      </w:tr>
      <w:tr w:rsidR="002E2A51" w:rsidRPr="000A13A9" w14:paraId="21FB27A0" w14:textId="77777777" w:rsidTr="12F3CE6E">
        <w:trPr>
          <w:trHeight w:val="265"/>
        </w:trPr>
        <w:tc>
          <w:tcPr>
            <w:tcW w:w="4005" w:type="dxa"/>
            <w:tcBorders>
              <w:top w:val="nil"/>
              <w:left w:val="nil"/>
              <w:bottom w:val="nil"/>
              <w:right w:val="nil"/>
            </w:tcBorders>
            <w:vAlign w:val="center"/>
            <w:hideMark/>
          </w:tcPr>
          <w:p w14:paraId="4C0D1118" w14:textId="71DC8197" w:rsidR="005D275E" w:rsidRPr="000A13A9" w:rsidRDefault="005D275E" w:rsidP="005D275E">
            <w:pPr>
              <w:rPr>
                <w:rFonts w:ascii="Arial" w:hAnsi="Arial" w:cs="Arial"/>
                <w:color w:val="000000"/>
                <w:sz w:val="20"/>
                <w:szCs w:val="20"/>
                <w:highlight w:val="green"/>
              </w:rPr>
            </w:pPr>
            <w:r w:rsidRPr="60EF5B48">
              <w:rPr>
                <w:rFonts w:ascii="Arial" w:hAnsi="Arial" w:cs="Arial"/>
                <w:color w:val="000000" w:themeColor="text1"/>
                <w:sz w:val="20"/>
                <w:szCs w:val="20"/>
              </w:rPr>
              <w:t>Received in year</w:t>
            </w:r>
          </w:p>
        </w:tc>
        <w:tc>
          <w:tcPr>
            <w:tcW w:w="1320" w:type="dxa"/>
            <w:tcBorders>
              <w:top w:val="nil"/>
              <w:left w:val="nil"/>
              <w:bottom w:val="nil"/>
              <w:right w:val="nil"/>
            </w:tcBorders>
            <w:noWrap/>
            <w:vAlign w:val="center"/>
            <w:hideMark/>
          </w:tcPr>
          <w:p w14:paraId="2C55AC5F" w14:textId="0E3EF68E" w:rsidR="005D275E" w:rsidRPr="00133149" w:rsidRDefault="005D275E" w:rsidP="005D275E">
            <w:pPr>
              <w:jc w:val="right"/>
              <w:rPr>
                <w:rFonts w:ascii="Arial" w:hAnsi="Arial" w:cs="Arial"/>
                <w:sz w:val="20"/>
                <w:szCs w:val="20"/>
              </w:rPr>
            </w:pPr>
            <w:r w:rsidRPr="60EF5B48">
              <w:rPr>
                <w:rFonts w:ascii="Arial" w:hAnsi="Arial" w:cs="Arial"/>
                <w:sz w:val="20"/>
                <w:szCs w:val="20"/>
              </w:rPr>
              <w:t>6,713,077</w:t>
            </w:r>
          </w:p>
        </w:tc>
        <w:tc>
          <w:tcPr>
            <w:tcW w:w="1320" w:type="dxa"/>
            <w:tcBorders>
              <w:top w:val="nil"/>
              <w:left w:val="nil"/>
              <w:bottom w:val="nil"/>
              <w:right w:val="nil"/>
            </w:tcBorders>
            <w:noWrap/>
            <w:vAlign w:val="center"/>
            <w:hideMark/>
          </w:tcPr>
          <w:p w14:paraId="6DC28C81" w14:textId="32018A9C" w:rsidR="005D275E" w:rsidRPr="00133149" w:rsidRDefault="005D275E" w:rsidP="005D275E">
            <w:pPr>
              <w:jc w:val="right"/>
              <w:rPr>
                <w:rFonts w:ascii="Arial" w:hAnsi="Arial" w:cs="Arial"/>
                <w:sz w:val="20"/>
                <w:szCs w:val="20"/>
              </w:rPr>
            </w:pPr>
            <w:r w:rsidRPr="60EF5B48">
              <w:rPr>
                <w:rFonts w:ascii="Arial" w:hAnsi="Arial" w:cs="Arial"/>
                <w:sz w:val="20"/>
                <w:szCs w:val="20"/>
              </w:rPr>
              <w:t>6,153,654</w:t>
            </w:r>
          </w:p>
        </w:tc>
        <w:tc>
          <w:tcPr>
            <w:tcW w:w="1290" w:type="dxa"/>
            <w:tcBorders>
              <w:top w:val="nil"/>
              <w:left w:val="nil"/>
              <w:bottom w:val="nil"/>
              <w:right w:val="nil"/>
            </w:tcBorders>
            <w:noWrap/>
            <w:vAlign w:val="center"/>
            <w:hideMark/>
          </w:tcPr>
          <w:p w14:paraId="5B952274" w14:textId="71145C9A" w:rsidR="005D275E" w:rsidRPr="00133149" w:rsidRDefault="005D275E" w:rsidP="005D275E">
            <w:pPr>
              <w:jc w:val="right"/>
              <w:rPr>
                <w:rFonts w:ascii="Arial" w:hAnsi="Arial" w:cs="Arial"/>
                <w:sz w:val="20"/>
                <w:szCs w:val="20"/>
              </w:rPr>
            </w:pPr>
            <w:r w:rsidRPr="60EF5B48">
              <w:rPr>
                <w:rFonts w:ascii="Arial" w:hAnsi="Arial" w:cs="Arial"/>
                <w:sz w:val="20"/>
                <w:szCs w:val="20"/>
              </w:rPr>
              <w:t>0</w:t>
            </w:r>
          </w:p>
        </w:tc>
        <w:tc>
          <w:tcPr>
            <w:tcW w:w="1320" w:type="dxa"/>
            <w:tcBorders>
              <w:top w:val="nil"/>
              <w:left w:val="nil"/>
              <w:bottom w:val="nil"/>
              <w:right w:val="nil"/>
            </w:tcBorders>
            <w:noWrap/>
            <w:vAlign w:val="center"/>
            <w:hideMark/>
          </w:tcPr>
          <w:p w14:paraId="0357A412" w14:textId="52AAA523" w:rsidR="005D275E" w:rsidRPr="00133149" w:rsidRDefault="005D275E" w:rsidP="005D275E">
            <w:pPr>
              <w:jc w:val="right"/>
              <w:rPr>
                <w:rFonts w:ascii="Arial" w:hAnsi="Arial" w:cs="Arial"/>
                <w:sz w:val="20"/>
                <w:szCs w:val="20"/>
              </w:rPr>
            </w:pPr>
            <w:r w:rsidRPr="60EF5B48">
              <w:rPr>
                <w:rFonts w:ascii="Arial" w:hAnsi="Arial" w:cs="Arial"/>
                <w:sz w:val="20"/>
                <w:szCs w:val="20"/>
              </w:rPr>
              <w:t>0</w:t>
            </w:r>
          </w:p>
        </w:tc>
        <w:tc>
          <w:tcPr>
            <w:tcW w:w="1379" w:type="dxa"/>
            <w:tcBorders>
              <w:top w:val="nil"/>
              <w:left w:val="nil"/>
              <w:bottom w:val="nil"/>
              <w:right w:val="nil"/>
            </w:tcBorders>
            <w:noWrap/>
            <w:vAlign w:val="center"/>
            <w:hideMark/>
          </w:tcPr>
          <w:p w14:paraId="543DF78B" w14:textId="03D44C41" w:rsidR="005D275E" w:rsidRPr="00133149" w:rsidRDefault="005D275E" w:rsidP="005D275E">
            <w:pPr>
              <w:jc w:val="right"/>
              <w:rPr>
                <w:rFonts w:ascii="Arial" w:hAnsi="Arial" w:cs="Arial"/>
                <w:sz w:val="20"/>
                <w:szCs w:val="20"/>
              </w:rPr>
            </w:pPr>
            <w:r w:rsidRPr="60EF5B48">
              <w:rPr>
                <w:rFonts w:ascii="Arial" w:hAnsi="Arial" w:cs="Arial"/>
                <w:sz w:val="20"/>
                <w:szCs w:val="20"/>
              </w:rPr>
              <w:t>0</w:t>
            </w:r>
          </w:p>
        </w:tc>
        <w:tc>
          <w:tcPr>
            <w:tcW w:w="222" w:type="dxa"/>
            <w:vAlign w:val="center"/>
            <w:hideMark/>
          </w:tcPr>
          <w:p w14:paraId="684E6164" w14:textId="77777777" w:rsidR="005D275E" w:rsidRPr="000A13A9" w:rsidRDefault="005D275E" w:rsidP="005D275E">
            <w:pPr>
              <w:rPr>
                <w:sz w:val="20"/>
                <w:szCs w:val="20"/>
                <w:highlight w:val="green"/>
              </w:rPr>
            </w:pPr>
          </w:p>
        </w:tc>
      </w:tr>
      <w:tr w:rsidR="002E2A51" w:rsidRPr="000A13A9" w14:paraId="6D689350" w14:textId="77777777" w:rsidTr="12F3CE6E">
        <w:trPr>
          <w:trHeight w:val="265"/>
        </w:trPr>
        <w:tc>
          <w:tcPr>
            <w:tcW w:w="4005" w:type="dxa"/>
            <w:tcBorders>
              <w:top w:val="nil"/>
              <w:left w:val="nil"/>
              <w:bottom w:val="nil"/>
              <w:right w:val="nil"/>
            </w:tcBorders>
            <w:vAlign w:val="center"/>
            <w:hideMark/>
          </w:tcPr>
          <w:p w14:paraId="3B2BE6FD" w14:textId="3F97C9DE" w:rsidR="005D275E" w:rsidRPr="000A13A9" w:rsidRDefault="005D275E" w:rsidP="005D275E">
            <w:pPr>
              <w:rPr>
                <w:rFonts w:ascii="Arial" w:hAnsi="Arial" w:cs="Arial"/>
                <w:color w:val="000000"/>
                <w:sz w:val="20"/>
                <w:szCs w:val="20"/>
                <w:highlight w:val="green"/>
              </w:rPr>
            </w:pPr>
            <w:r w:rsidRPr="60EF5B48">
              <w:rPr>
                <w:rFonts w:ascii="Arial" w:hAnsi="Arial" w:cs="Arial"/>
                <w:color w:val="000000" w:themeColor="text1"/>
                <w:sz w:val="20"/>
                <w:szCs w:val="20"/>
              </w:rPr>
              <w:t>Used in financing</w:t>
            </w:r>
          </w:p>
        </w:tc>
        <w:tc>
          <w:tcPr>
            <w:tcW w:w="1320" w:type="dxa"/>
            <w:tcBorders>
              <w:top w:val="nil"/>
              <w:left w:val="nil"/>
              <w:bottom w:val="nil"/>
              <w:right w:val="nil"/>
            </w:tcBorders>
            <w:noWrap/>
            <w:vAlign w:val="center"/>
            <w:hideMark/>
          </w:tcPr>
          <w:p w14:paraId="1E4944CA" w14:textId="51C6AF88" w:rsidR="005D275E" w:rsidRPr="00133149" w:rsidRDefault="005D275E" w:rsidP="005D275E">
            <w:pPr>
              <w:jc w:val="right"/>
              <w:rPr>
                <w:rFonts w:ascii="Arial" w:hAnsi="Arial" w:cs="Arial"/>
                <w:sz w:val="20"/>
                <w:szCs w:val="20"/>
              </w:rPr>
            </w:pPr>
            <w:r w:rsidRPr="60EF5B48">
              <w:rPr>
                <w:rFonts w:ascii="Arial" w:hAnsi="Arial" w:cs="Arial"/>
                <w:sz w:val="20"/>
                <w:szCs w:val="20"/>
              </w:rPr>
              <w:t>(3,565,065</w:t>
            </w:r>
            <w:r w:rsidRPr="7E52D35C">
              <w:rPr>
                <w:rFonts w:ascii="Arial" w:hAnsi="Arial" w:cs="Arial"/>
                <w:sz w:val="20"/>
                <w:szCs w:val="20"/>
              </w:rPr>
              <w:t>)</w:t>
            </w:r>
          </w:p>
        </w:tc>
        <w:tc>
          <w:tcPr>
            <w:tcW w:w="1320" w:type="dxa"/>
            <w:tcBorders>
              <w:top w:val="nil"/>
              <w:left w:val="nil"/>
              <w:bottom w:val="nil"/>
              <w:right w:val="nil"/>
            </w:tcBorders>
            <w:noWrap/>
            <w:vAlign w:val="center"/>
            <w:hideMark/>
          </w:tcPr>
          <w:p w14:paraId="7BE0BACB" w14:textId="787DA9F7" w:rsidR="005D275E" w:rsidRPr="00133149" w:rsidRDefault="3C1D654F" w:rsidP="005D275E">
            <w:pPr>
              <w:jc w:val="right"/>
              <w:rPr>
                <w:rFonts w:ascii="Arial" w:hAnsi="Arial" w:cs="Arial"/>
                <w:sz w:val="20"/>
                <w:szCs w:val="20"/>
              </w:rPr>
            </w:pPr>
            <w:r w:rsidRPr="23112924">
              <w:rPr>
                <w:rFonts w:ascii="Arial" w:hAnsi="Arial" w:cs="Arial"/>
                <w:sz w:val="20"/>
                <w:szCs w:val="20"/>
              </w:rPr>
              <w:t>0</w:t>
            </w:r>
          </w:p>
        </w:tc>
        <w:tc>
          <w:tcPr>
            <w:tcW w:w="1290" w:type="dxa"/>
            <w:tcBorders>
              <w:top w:val="nil"/>
              <w:left w:val="nil"/>
              <w:bottom w:val="nil"/>
              <w:right w:val="nil"/>
            </w:tcBorders>
            <w:noWrap/>
            <w:vAlign w:val="center"/>
            <w:hideMark/>
          </w:tcPr>
          <w:p w14:paraId="776AED89" w14:textId="4F2855F9" w:rsidR="005D275E" w:rsidRPr="00133149" w:rsidRDefault="005D275E" w:rsidP="005D275E">
            <w:pPr>
              <w:jc w:val="right"/>
              <w:rPr>
                <w:rFonts w:ascii="Arial" w:hAnsi="Arial" w:cs="Arial"/>
                <w:sz w:val="20"/>
                <w:szCs w:val="20"/>
              </w:rPr>
            </w:pPr>
            <w:r w:rsidRPr="60EF5B48">
              <w:rPr>
                <w:rFonts w:ascii="Arial" w:hAnsi="Arial" w:cs="Arial"/>
                <w:sz w:val="20"/>
                <w:szCs w:val="20"/>
              </w:rPr>
              <w:t>0</w:t>
            </w:r>
          </w:p>
        </w:tc>
        <w:tc>
          <w:tcPr>
            <w:tcW w:w="1320" w:type="dxa"/>
            <w:tcBorders>
              <w:top w:val="nil"/>
              <w:left w:val="nil"/>
              <w:bottom w:val="nil"/>
              <w:right w:val="nil"/>
            </w:tcBorders>
            <w:noWrap/>
            <w:vAlign w:val="center"/>
            <w:hideMark/>
          </w:tcPr>
          <w:p w14:paraId="5C27A145" w14:textId="43A0B476" w:rsidR="005D275E" w:rsidRPr="00133149" w:rsidRDefault="005D275E" w:rsidP="005D275E">
            <w:pPr>
              <w:jc w:val="right"/>
              <w:rPr>
                <w:rFonts w:ascii="Arial" w:hAnsi="Arial" w:cs="Arial"/>
                <w:sz w:val="20"/>
                <w:szCs w:val="20"/>
              </w:rPr>
            </w:pPr>
            <w:r w:rsidRPr="60EF5B48">
              <w:rPr>
                <w:rFonts w:ascii="Arial" w:hAnsi="Arial" w:cs="Arial"/>
                <w:sz w:val="20"/>
                <w:szCs w:val="20"/>
              </w:rPr>
              <w:t>0</w:t>
            </w:r>
          </w:p>
        </w:tc>
        <w:tc>
          <w:tcPr>
            <w:tcW w:w="1379" w:type="dxa"/>
            <w:tcBorders>
              <w:top w:val="nil"/>
              <w:left w:val="nil"/>
              <w:bottom w:val="nil"/>
              <w:right w:val="nil"/>
            </w:tcBorders>
            <w:noWrap/>
            <w:vAlign w:val="center"/>
            <w:hideMark/>
          </w:tcPr>
          <w:p w14:paraId="7762C1AF" w14:textId="1B3DD430" w:rsidR="005D275E" w:rsidRPr="00133149" w:rsidRDefault="005D275E" w:rsidP="005D275E">
            <w:pPr>
              <w:jc w:val="right"/>
              <w:rPr>
                <w:rFonts w:ascii="Arial" w:hAnsi="Arial" w:cs="Arial"/>
                <w:sz w:val="20"/>
                <w:szCs w:val="20"/>
              </w:rPr>
            </w:pPr>
            <w:r w:rsidRPr="60EF5B48">
              <w:rPr>
                <w:rFonts w:ascii="Arial" w:hAnsi="Arial" w:cs="Arial"/>
                <w:sz w:val="20"/>
                <w:szCs w:val="20"/>
              </w:rPr>
              <w:t>0</w:t>
            </w:r>
          </w:p>
        </w:tc>
        <w:tc>
          <w:tcPr>
            <w:tcW w:w="222" w:type="dxa"/>
            <w:vAlign w:val="center"/>
            <w:hideMark/>
          </w:tcPr>
          <w:p w14:paraId="22AD4CD0" w14:textId="77777777" w:rsidR="005D275E" w:rsidRPr="000A13A9" w:rsidRDefault="005D275E" w:rsidP="005D275E">
            <w:pPr>
              <w:rPr>
                <w:sz w:val="20"/>
                <w:szCs w:val="20"/>
                <w:highlight w:val="green"/>
              </w:rPr>
            </w:pPr>
          </w:p>
        </w:tc>
      </w:tr>
      <w:tr w:rsidR="002E2A51" w:rsidRPr="000A13A9" w14:paraId="3A089B42" w14:textId="77777777" w:rsidTr="12F3CE6E">
        <w:trPr>
          <w:trHeight w:val="265"/>
        </w:trPr>
        <w:tc>
          <w:tcPr>
            <w:tcW w:w="4005" w:type="dxa"/>
            <w:tcBorders>
              <w:top w:val="nil"/>
              <w:left w:val="nil"/>
              <w:bottom w:val="nil"/>
              <w:right w:val="nil"/>
            </w:tcBorders>
            <w:vAlign w:val="center"/>
            <w:hideMark/>
          </w:tcPr>
          <w:p w14:paraId="5FE85667" w14:textId="22A61EF5" w:rsidR="005D275E" w:rsidRPr="000A13A9" w:rsidRDefault="005D275E" w:rsidP="005D275E">
            <w:pPr>
              <w:rPr>
                <w:rFonts w:ascii="Arial" w:hAnsi="Arial" w:cs="Arial"/>
                <w:color w:val="000000"/>
                <w:sz w:val="20"/>
                <w:szCs w:val="20"/>
                <w:highlight w:val="green"/>
              </w:rPr>
            </w:pPr>
            <w:r w:rsidRPr="60EF5B48">
              <w:rPr>
                <w:rFonts w:ascii="Arial" w:hAnsi="Arial" w:cs="Arial"/>
                <w:color w:val="000000" w:themeColor="text1"/>
                <w:sz w:val="20"/>
                <w:szCs w:val="20"/>
              </w:rPr>
              <w:t>Used to repay temporary borrowing</w:t>
            </w:r>
          </w:p>
        </w:tc>
        <w:tc>
          <w:tcPr>
            <w:tcW w:w="1320" w:type="dxa"/>
            <w:tcBorders>
              <w:top w:val="nil"/>
              <w:left w:val="nil"/>
              <w:bottom w:val="nil"/>
              <w:right w:val="nil"/>
            </w:tcBorders>
            <w:noWrap/>
            <w:vAlign w:val="center"/>
            <w:hideMark/>
          </w:tcPr>
          <w:p w14:paraId="6F478E73" w14:textId="0C818D75" w:rsidR="005D275E" w:rsidRPr="00133149" w:rsidRDefault="005D275E" w:rsidP="005D275E">
            <w:pPr>
              <w:jc w:val="right"/>
              <w:rPr>
                <w:rFonts w:ascii="Arial" w:hAnsi="Arial" w:cs="Arial"/>
                <w:sz w:val="20"/>
                <w:szCs w:val="20"/>
              </w:rPr>
            </w:pPr>
            <w:r w:rsidRPr="60EF5B48">
              <w:rPr>
                <w:rFonts w:ascii="Arial" w:hAnsi="Arial" w:cs="Arial"/>
                <w:sz w:val="20"/>
                <w:szCs w:val="20"/>
              </w:rPr>
              <w:t>(3,148,012</w:t>
            </w:r>
            <w:r w:rsidRPr="23112924">
              <w:rPr>
                <w:rFonts w:ascii="Arial" w:hAnsi="Arial" w:cs="Arial"/>
                <w:sz w:val="20"/>
                <w:szCs w:val="20"/>
              </w:rPr>
              <w:t>)</w:t>
            </w:r>
          </w:p>
        </w:tc>
        <w:tc>
          <w:tcPr>
            <w:tcW w:w="1320" w:type="dxa"/>
            <w:tcBorders>
              <w:top w:val="nil"/>
              <w:left w:val="nil"/>
              <w:bottom w:val="nil"/>
              <w:right w:val="nil"/>
            </w:tcBorders>
            <w:noWrap/>
            <w:vAlign w:val="center"/>
            <w:hideMark/>
          </w:tcPr>
          <w:p w14:paraId="2730B43C" w14:textId="0FE3A370" w:rsidR="005D275E" w:rsidRPr="00133149" w:rsidRDefault="005D275E" w:rsidP="005D275E">
            <w:pPr>
              <w:jc w:val="right"/>
              <w:rPr>
                <w:rFonts w:ascii="Arial" w:hAnsi="Arial" w:cs="Arial"/>
                <w:sz w:val="20"/>
                <w:szCs w:val="20"/>
              </w:rPr>
            </w:pPr>
            <w:r w:rsidRPr="60EF5B48">
              <w:rPr>
                <w:rFonts w:ascii="Arial" w:hAnsi="Arial" w:cs="Arial"/>
                <w:sz w:val="20"/>
                <w:szCs w:val="20"/>
              </w:rPr>
              <w:t>(5,145,295)</w:t>
            </w:r>
          </w:p>
        </w:tc>
        <w:tc>
          <w:tcPr>
            <w:tcW w:w="1290" w:type="dxa"/>
            <w:tcBorders>
              <w:top w:val="nil"/>
              <w:left w:val="nil"/>
              <w:bottom w:val="nil"/>
              <w:right w:val="nil"/>
            </w:tcBorders>
            <w:noWrap/>
            <w:vAlign w:val="center"/>
            <w:hideMark/>
          </w:tcPr>
          <w:p w14:paraId="127F2F5A" w14:textId="2578F161" w:rsidR="005D275E" w:rsidRPr="00133149" w:rsidRDefault="005D275E" w:rsidP="005D275E">
            <w:pPr>
              <w:jc w:val="right"/>
              <w:rPr>
                <w:rFonts w:ascii="Arial" w:hAnsi="Arial" w:cs="Arial"/>
                <w:sz w:val="20"/>
                <w:szCs w:val="20"/>
              </w:rPr>
            </w:pPr>
            <w:r w:rsidRPr="60EF5B48">
              <w:rPr>
                <w:rFonts w:ascii="Arial" w:hAnsi="Arial" w:cs="Arial"/>
                <w:sz w:val="20"/>
                <w:szCs w:val="20"/>
              </w:rPr>
              <w:t>0</w:t>
            </w:r>
          </w:p>
        </w:tc>
        <w:tc>
          <w:tcPr>
            <w:tcW w:w="1320" w:type="dxa"/>
            <w:tcBorders>
              <w:top w:val="nil"/>
              <w:left w:val="nil"/>
              <w:bottom w:val="nil"/>
              <w:right w:val="nil"/>
            </w:tcBorders>
            <w:noWrap/>
            <w:vAlign w:val="center"/>
            <w:hideMark/>
          </w:tcPr>
          <w:p w14:paraId="34484319" w14:textId="68A4D284" w:rsidR="005D275E" w:rsidRPr="00133149" w:rsidRDefault="005D275E" w:rsidP="005D275E">
            <w:pPr>
              <w:jc w:val="right"/>
              <w:rPr>
                <w:rFonts w:ascii="Arial" w:hAnsi="Arial" w:cs="Arial"/>
                <w:sz w:val="20"/>
                <w:szCs w:val="20"/>
              </w:rPr>
            </w:pPr>
            <w:r w:rsidRPr="60EF5B48">
              <w:rPr>
                <w:rFonts w:ascii="Arial" w:hAnsi="Arial" w:cs="Arial"/>
                <w:sz w:val="20"/>
                <w:szCs w:val="20"/>
              </w:rPr>
              <w:t>0</w:t>
            </w:r>
          </w:p>
        </w:tc>
        <w:tc>
          <w:tcPr>
            <w:tcW w:w="1379" w:type="dxa"/>
            <w:tcBorders>
              <w:top w:val="nil"/>
              <w:left w:val="nil"/>
              <w:bottom w:val="nil"/>
              <w:right w:val="nil"/>
            </w:tcBorders>
            <w:noWrap/>
            <w:vAlign w:val="center"/>
            <w:hideMark/>
          </w:tcPr>
          <w:p w14:paraId="5342E0C9" w14:textId="7BA2A56D" w:rsidR="005D275E" w:rsidRPr="00133149" w:rsidRDefault="005D275E" w:rsidP="005D275E">
            <w:pPr>
              <w:jc w:val="right"/>
              <w:rPr>
                <w:rFonts w:ascii="Arial" w:hAnsi="Arial" w:cs="Arial"/>
                <w:sz w:val="20"/>
                <w:szCs w:val="20"/>
              </w:rPr>
            </w:pPr>
            <w:r w:rsidRPr="60EF5B48">
              <w:rPr>
                <w:rFonts w:ascii="Arial" w:hAnsi="Arial" w:cs="Arial"/>
                <w:sz w:val="20"/>
                <w:szCs w:val="20"/>
              </w:rPr>
              <w:t>0</w:t>
            </w:r>
          </w:p>
        </w:tc>
        <w:tc>
          <w:tcPr>
            <w:tcW w:w="222" w:type="dxa"/>
            <w:vAlign w:val="center"/>
            <w:hideMark/>
          </w:tcPr>
          <w:p w14:paraId="47B65C88" w14:textId="77777777" w:rsidR="005D275E" w:rsidRPr="000A13A9" w:rsidRDefault="005D275E" w:rsidP="005D275E">
            <w:pPr>
              <w:rPr>
                <w:sz w:val="20"/>
                <w:szCs w:val="20"/>
                <w:highlight w:val="green"/>
              </w:rPr>
            </w:pPr>
          </w:p>
        </w:tc>
      </w:tr>
      <w:tr w:rsidR="002E2A51" w:rsidRPr="000A13A9" w14:paraId="0ED6BE4D" w14:textId="77777777" w:rsidTr="12F3CE6E">
        <w:trPr>
          <w:trHeight w:val="265"/>
        </w:trPr>
        <w:tc>
          <w:tcPr>
            <w:tcW w:w="4005" w:type="dxa"/>
            <w:tcBorders>
              <w:top w:val="nil"/>
              <w:left w:val="nil"/>
              <w:bottom w:val="nil"/>
              <w:right w:val="nil"/>
            </w:tcBorders>
            <w:vAlign w:val="center"/>
            <w:hideMark/>
          </w:tcPr>
          <w:p w14:paraId="7739023F" w14:textId="0C7B423F" w:rsidR="006F65D7" w:rsidRPr="000A13A9" w:rsidRDefault="006F65D7" w:rsidP="006F65D7">
            <w:pPr>
              <w:rPr>
                <w:rFonts w:ascii="Arial" w:hAnsi="Arial" w:cs="Arial"/>
                <w:color w:val="000000"/>
                <w:sz w:val="20"/>
                <w:szCs w:val="20"/>
                <w:highlight w:val="green"/>
              </w:rPr>
            </w:pPr>
            <w:r w:rsidRPr="60EF5B48">
              <w:rPr>
                <w:rFonts w:ascii="Arial" w:hAnsi="Arial" w:cs="Arial"/>
                <w:color w:val="000000" w:themeColor="text1"/>
                <w:sz w:val="20"/>
                <w:szCs w:val="20"/>
              </w:rPr>
              <w:t>Closing balance</w:t>
            </w:r>
          </w:p>
        </w:tc>
        <w:tc>
          <w:tcPr>
            <w:tcW w:w="1320" w:type="dxa"/>
            <w:tcBorders>
              <w:top w:val="single" w:sz="4" w:space="0" w:color="auto"/>
              <w:left w:val="nil"/>
              <w:bottom w:val="single" w:sz="4" w:space="0" w:color="auto"/>
              <w:right w:val="nil"/>
            </w:tcBorders>
            <w:noWrap/>
            <w:vAlign w:val="center"/>
            <w:hideMark/>
          </w:tcPr>
          <w:p w14:paraId="611831D5" w14:textId="36E2F6E5" w:rsidR="006F65D7" w:rsidRPr="00133149" w:rsidRDefault="00133149" w:rsidP="006F65D7">
            <w:pPr>
              <w:jc w:val="right"/>
              <w:rPr>
                <w:rFonts w:ascii="Arial" w:hAnsi="Arial" w:cs="Arial"/>
                <w:b/>
                <w:color w:val="000000"/>
                <w:sz w:val="20"/>
                <w:szCs w:val="20"/>
              </w:rPr>
            </w:pPr>
            <w:r w:rsidRPr="60EF5B48">
              <w:rPr>
                <w:rFonts w:ascii="Arial" w:hAnsi="Arial" w:cs="Arial"/>
                <w:sz w:val="20"/>
                <w:szCs w:val="20"/>
              </w:rPr>
              <w:t>82</w:t>
            </w:r>
            <w:r w:rsidR="00EC07BE">
              <w:rPr>
                <w:rFonts w:ascii="Arial" w:hAnsi="Arial" w:cs="Arial"/>
                <w:sz w:val="20"/>
                <w:szCs w:val="20"/>
              </w:rPr>
              <w:t>6,07</w:t>
            </w:r>
            <w:r w:rsidR="00121841">
              <w:rPr>
                <w:rFonts w:ascii="Arial" w:hAnsi="Arial" w:cs="Arial"/>
                <w:sz w:val="20"/>
                <w:szCs w:val="20"/>
              </w:rPr>
              <w:t>6</w:t>
            </w:r>
          </w:p>
        </w:tc>
        <w:tc>
          <w:tcPr>
            <w:tcW w:w="1320" w:type="dxa"/>
            <w:tcBorders>
              <w:top w:val="single" w:sz="4" w:space="0" w:color="auto"/>
              <w:left w:val="nil"/>
              <w:bottom w:val="single" w:sz="4" w:space="0" w:color="auto"/>
              <w:right w:val="nil"/>
            </w:tcBorders>
            <w:noWrap/>
            <w:vAlign w:val="center"/>
            <w:hideMark/>
          </w:tcPr>
          <w:p w14:paraId="783C9776" w14:textId="4C2AB691" w:rsidR="006F65D7" w:rsidRPr="00133149" w:rsidRDefault="006412E7" w:rsidP="006F65D7">
            <w:pPr>
              <w:jc w:val="right"/>
              <w:rPr>
                <w:rFonts w:ascii="Arial" w:hAnsi="Arial" w:cs="Arial"/>
                <w:b/>
                <w:color w:val="000000"/>
                <w:sz w:val="20"/>
                <w:szCs w:val="20"/>
              </w:rPr>
            </w:pPr>
            <w:r w:rsidRPr="60EF5B48">
              <w:rPr>
                <w:rFonts w:ascii="Arial" w:hAnsi="Arial" w:cs="Arial"/>
                <w:sz w:val="20"/>
                <w:szCs w:val="20"/>
              </w:rPr>
              <w:t>1,83</w:t>
            </w:r>
            <w:r w:rsidR="00EC07BE">
              <w:rPr>
                <w:rFonts w:ascii="Arial" w:hAnsi="Arial" w:cs="Arial"/>
                <w:sz w:val="20"/>
                <w:szCs w:val="20"/>
              </w:rPr>
              <w:t>4,43</w:t>
            </w:r>
            <w:r w:rsidR="00121841">
              <w:rPr>
                <w:rFonts w:ascii="Arial" w:hAnsi="Arial" w:cs="Arial"/>
                <w:sz w:val="20"/>
                <w:szCs w:val="20"/>
              </w:rPr>
              <w:t>5</w:t>
            </w:r>
          </w:p>
        </w:tc>
        <w:tc>
          <w:tcPr>
            <w:tcW w:w="1290" w:type="dxa"/>
            <w:tcBorders>
              <w:top w:val="single" w:sz="4" w:space="0" w:color="auto"/>
              <w:left w:val="nil"/>
              <w:bottom w:val="single" w:sz="4" w:space="0" w:color="auto"/>
              <w:right w:val="nil"/>
            </w:tcBorders>
            <w:noWrap/>
            <w:vAlign w:val="center"/>
            <w:hideMark/>
          </w:tcPr>
          <w:p w14:paraId="478B76F6" w14:textId="4278316E" w:rsidR="006F65D7" w:rsidRPr="00133149" w:rsidRDefault="006412E7" w:rsidP="006F65D7">
            <w:pPr>
              <w:jc w:val="right"/>
              <w:rPr>
                <w:rFonts w:ascii="Arial" w:hAnsi="Arial" w:cs="Arial"/>
                <w:b/>
                <w:color w:val="000000"/>
                <w:sz w:val="20"/>
                <w:szCs w:val="20"/>
              </w:rPr>
            </w:pPr>
            <w:r w:rsidRPr="60EF5B48">
              <w:rPr>
                <w:rFonts w:ascii="Arial" w:hAnsi="Arial" w:cs="Arial"/>
                <w:sz w:val="20"/>
                <w:szCs w:val="20"/>
              </w:rPr>
              <w:t>1,83</w:t>
            </w:r>
            <w:r w:rsidR="00EC07BE">
              <w:rPr>
                <w:rFonts w:ascii="Arial" w:hAnsi="Arial" w:cs="Arial"/>
                <w:sz w:val="20"/>
                <w:szCs w:val="20"/>
              </w:rPr>
              <w:t>4,43</w:t>
            </w:r>
            <w:r w:rsidR="00121841">
              <w:rPr>
                <w:rFonts w:ascii="Arial" w:hAnsi="Arial" w:cs="Arial"/>
                <w:sz w:val="20"/>
                <w:szCs w:val="20"/>
              </w:rPr>
              <w:t>5</w:t>
            </w:r>
          </w:p>
        </w:tc>
        <w:tc>
          <w:tcPr>
            <w:tcW w:w="1320" w:type="dxa"/>
            <w:tcBorders>
              <w:top w:val="single" w:sz="4" w:space="0" w:color="auto"/>
              <w:left w:val="nil"/>
              <w:bottom w:val="single" w:sz="4" w:space="0" w:color="auto"/>
              <w:right w:val="nil"/>
            </w:tcBorders>
            <w:noWrap/>
            <w:vAlign w:val="center"/>
            <w:hideMark/>
          </w:tcPr>
          <w:p w14:paraId="4C5FA730" w14:textId="305F71C8" w:rsidR="006F65D7" w:rsidRPr="00133149" w:rsidRDefault="006412E7" w:rsidP="006F65D7">
            <w:pPr>
              <w:jc w:val="right"/>
              <w:rPr>
                <w:rFonts w:ascii="Arial" w:hAnsi="Arial" w:cs="Arial"/>
                <w:b/>
                <w:color w:val="000000"/>
                <w:sz w:val="20"/>
                <w:szCs w:val="20"/>
              </w:rPr>
            </w:pPr>
            <w:r w:rsidRPr="60EF5B48">
              <w:rPr>
                <w:rFonts w:ascii="Arial" w:hAnsi="Arial" w:cs="Arial"/>
                <w:sz w:val="20"/>
                <w:szCs w:val="20"/>
              </w:rPr>
              <w:t>1,83</w:t>
            </w:r>
            <w:r w:rsidR="00EC07BE">
              <w:rPr>
                <w:rFonts w:ascii="Arial" w:hAnsi="Arial" w:cs="Arial"/>
                <w:sz w:val="20"/>
                <w:szCs w:val="20"/>
              </w:rPr>
              <w:t>4,43</w:t>
            </w:r>
            <w:r w:rsidR="00121841">
              <w:rPr>
                <w:rFonts w:ascii="Arial" w:hAnsi="Arial" w:cs="Arial"/>
                <w:sz w:val="20"/>
                <w:szCs w:val="20"/>
              </w:rPr>
              <w:t>5</w:t>
            </w:r>
          </w:p>
        </w:tc>
        <w:tc>
          <w:tcPr>
            <w:tcW w:w="1379" w:type="dxa"/>
            <w:tcBorders>
              <w:top w:val="single" w:sz="4" w:space="0" w:color="auto"/>
              <w:left w:val="nil"/>
              <w:bottom w:val="single" w:sz="4" w:space="0" w:color="auto"/>
              <w:right w:val="nil"/>
            </w:tcBorders>
            <w:noWrap/>
            <w:vAlign w:val="center"/>
            <w:hideMark/>
          </w:tcPr>
          <w:p w14:paraId="0C9DC4E4" w14:textId="12935B34" w:rsidR="006F65D7" w:rsidRPr="00133149" w:rsidRDefault="006412E7" w:rsidP="006F65D7">
            <w:pPr>
              <w:jc w:val="right"/>
              <w:rPr>
                <w:rFonts w:ascii="Arial" w:hAnsi="Arial" w:cs="Arial"/>
                <w:b/>
                <w:color w:val="000000"/>
                <w:sz w:val="20"/>
                <w:szCs w:val="20"/>
              </w:rPr>
            </w:pPr>
            <w:r w:rsidRPr="60EF5B48">
              <w:rPr>
                <w:rFonts w:ascii="Arial" w:hAnsi="Arial" w:cs="Arial"/>
                <w:sz w:val="20"/>
                <w:szCs w:val="20"/>
              </w:rPr>
              <w:t>1,83</w:t>
            </w:r>
            <w:r w:rsidR="00EC07BE">
              <w:rPr>
                <w:rFonts w:ascii="Arial" w:hAnsi="Arial" w:cs="Arial"/>
                <w:sz w:val="20"/>
                <w:szCs w:val="20"/>
              </w:rPr>
              <w:t>4,43</w:t>
            </w:r>
            <w:r w:rsidR="00121841">
              <w:rPr>
                <w:rFonts w:ascii="Arial" w:hAnsi="Arial" w:cs="Arial"/>
                <w:sz w:val="20"/>
                <w:szCs w:val="20"/>
              </w:rPr>
              <w:t>5</w:t>
            </w:r>
          </w:p>
        </w:tc>
        <w:tc>
          <w:tcPr>
            <w:tcW w:w="222" w:type="dxa"/>
            <w:vAlign w:val="center"/>
            <w:hideMark/>
          </w:tcPr>
          <w:p w14:paraId="1B971A40" w14:textId="77777777" w:rsidR="006F65D7" w:rsidRPr="000A13A9" w:rsidRDefault="006F65D7" w:rsidP="006F65D7">
            <w:pPr>
              <w:rPr>
                <w:sz w:val="20"/>
                <w:szCs w:val="20"/>
                <w:highlight w:val="green"/>
              </w:rPr>
            </w:pPr>
          </w:p>
        </w:tc>
      </w:tr>
      <w:tr w:rsidR="002E2A51" w:rsidRPr="000A13A9" w14:paraId="0C6DBDB0" w14:textId="77777777" w:rsidTr="12F3CE6E">
        <w:trPr>
          <w:trHeight w:val="265"/>
        </w:trPr>
        <w:tc>
          <w:tcPr>
            <w:tcW w:w="4005" w:type="dxa"/>
            <w:tcBorders>
              <w:top w:val="nil"/>
              <w:left w:val="nil"/>
              <w:bottom w:val="nil"/>
              <w:right w:val="nil"/>
            </w:tcBorders>
            <w:vAlign w:val="center"/>
            <w:hideMark/>
          </w:tcPr>
          <w:p w14:paraId="5F4F5A86" w14:textId="67F6F6C3" w:rsidR="006F65D7" w:rsidRPr="000A13A9" w:rsidRDefault="006F65D7" w:rsidP="006F65D7">
            <w:pPr>
              <w:jc w:val="right"/>
              <w:rPr>
                <w:rFonts w:ascii="Arial" w:hAnsi="Arial" w:cs="Arial"/>
                <w:b/>
                <w:bCs/>
                <w:color w:val="000000"/>
                <w:sz w:val="20"/>
                <w:szCs w:val="20"/>
                <w:highlight w:val="green"/>
              </w:rPr>
            </w:pPr>
          </w:p>
        </w:tc>
        <w:tc>
          <w:tcPr>
            <w:tcW w:w="1320" w:type="dxa"/>
            <w:tcBorders>
              <w:top w:val="nil"/>
              <w:left w:val="nil"/>
              <w:bottom w:val="nil"/>
              <w:right w:val="nil"/>
            </w:tcBorders>
            <w:noWrap/>
            <w:vAlign w:val="center"/>
            <w:hideMark/>
          </w:tcPr>
          <w:p w14:paraId="0250BC9F" w14:textId="26FFFD46" w:rsidR="006F65D7" w:rsidRPr="000A13A9" w:rsidRDefault="006F65D7" w:rsidP="006F65D7">
            <w:pPr>
              <w:rPr>
                <w:sz w:val="20"/>
                <w:szCs w:val="20"/>
              </w:rPr>
            </w:pPr>
          </w:p>
        </w:tc>
        <w:tc>
          <w:tcPr>
            <w:tcW w:w="1320" w:type="dxa"/>
            <w:tcBorders>
              <w:top w:val="nil"/>
              <w:left w:val="nil"/>
              <w:bottom w:val="nil"/>
              <w:right w:val="nil"/>
            </w:tcBorders>
            <w:noWrap/>
            <w:vAlign w:val="center"/>
            <w:hideMark/>
          </w:tcPr>
          <w:p w14:paraId="6E60CF7D" w14:textId="20FC4CC4" w:rsidR="006F65D7" w:rsidRPr="000A13A9" w:rsidRDefault="006F65D7" w:rsidP="006F65D7">
            <w:pPr>
              <w:jc w:val="right"/>
              <w:rPr>
                <w:sz w:val="20"/>
                <w:szCs w:val="20"/>
              </w:rPr>
            </w:pPr>
          </w:p>
        </w:tc>
        <w:tc>
          <w:tcPr>
            <w:tcW w:w="1290" w:type="dxa"/>
            <w:tcBorders>
              <w:top w:val="nil"/>
              <w:left w:val="nil"/>
              <w:bottom w:val="nil"/>
              <w:right w:val="nil"/>
            </w:tcBorders>
            <w:noWrap/>
            <w:vAlign w:val="center"/>
            <w:hideMark/>
          </w:tcPr>
          <w:p w14:paraId="1304E34E" w14:textId="4BEB7F9C" w:rsidR="006F65D7" w:rsidRPr="000A13A9" w:rsidRDefault="006F65D7" w:rsidP="006F65D7">
            <w:pPr>
              <w:jc w:val="right"/>
              <w:rPr>
                <w:sz w:val="20"/>
                <w:szCs w:val="20"/>
              </w:rPr>
            </w:pPr>
          </w:p>
        </w:tc>
        <w:tc>
          <w:tcPr>
            <w:tcW w:w="1320" w:type="dxa"/>
            <w:tcBorders>
              <w:top w:val="nil"/>
              <w:left w:val="nil"/>
              <w:bottom w:val="nil"/>
              <w:right w:val="nil"/>
            </w:tcBorders>
            <w:noWrap/>
            <w:vAlign w:val="center"/>
            <w:hideMark/>
          </w:tcPr>
          <w:p w14:paraId="3D90D950" w14:textId="344DD3BF" w:rsidR="006F65D7" w:rsidRPr="000A13A9" w:rsidRDefault="006F65D7" w:rsidP="006F65D7">
            <w:pPr>
              <w:jc w:val="right"/>
              <w:rPr>
                <w:sz w:val="20"/>
                <w:szCs w:val="20"/>
              </w:rPr>
            </w:pPr>
          </w:p>
        </w:tc>
        <w:tc>
          <w:tcPr>
            <w:tcW w:w="1379" w:type="dxa"/>
            <w:tcBorders>
              <w:top w:val="nil"/>
              <w:left w:val="nil"/>
              <w:bottom w:val="nil"/>
              <w:right w:val="nil"/>
            </w:tcBorders>
            <w:noWrap/>
            <w:vAlign w:val="center"/>
            <w:hideMark/>
          </w:tcPr>
          <w:p w14:paraId="78EDB1D1" w14:textId="6BC26F28" w:rsidR="006F65D7" w:rsidRPr="000A13A9" w:rsidRDefault="006F65D7" w:rsidP="006F65D7">
            <w:pPr>
              <w:jc w:val="right"/>
              <w:rPr>
                <w:sz w:val="20"/>
                <w:szCs w:val="20"/>
              </w:rPr>
            </w:pPr>
          </w:p>
        </w:tc>
        <w:tc>
          <w:tcPr>
            <w:tcW w:w="222" w:type="dxa"/>
            <w:vAlign w:val="center"/>
            <w:hideMark/>
          </w:tcPr>
          <w:p w14:paraId="51CBA45F" w14:textId="77777777" w:rsidR="006F65D7" w:rsidRPr="000A13A9" w:rsidRDefault="006F65D7" w:rsidP="006F65D7">
            <w:pPr>
              <w:rPr>
                <w:sz w:val="20"/>
                <w:szCs w:val="20"/>
                <w:highlight w:val="green"/>
              </w:rPr>
            </w:pPr>
          </w:p>
        </w:tc>
      </w:tr>
      <w:tr w:rsidR="002E2A51" w:rsidRPr="000A13A9" w14:paraId="73A885DE" w14:textId="77777777" w:rsidTr="12F3CE6E">
        <w:trPr>
          <w:trHeight w:val="265"/>
        </w:trPr>
        <w:tc>
          <w:tcPr>
            <w:tcW w:w="4005" w:type="dxa"/>
            <w:tcBorders>
              <w:top w:val="nil"/>
              <w:left w:val="nil"/>
              <w:bottom w:val="nil"/>
              <w:right w:val="nil"/>
            </w:tcBorders>
            <w:vAlign w:val="center"/>
            <w:hideMark/>
          </w:tcPr>
          <w:p w14:paraId="6912AF00" w14:textId="360C05D3" w:rsidR="006F65D7" w:rsidRPr="000A13A9" w:rsidRDefault="006F65D7" w:rsidP="006F65D7">
            <w:pPr>
              <w:rPr>
                <w:rFonts w:ascii="Arial" w:hAnsi="Arial" w:cs="Arial"/>
                <w:b/>
                <w:bCs/>
                <w:i/>
                <w:iCs/>
                <w:color w:val="000000"/>
                <w:sz w:val="20"/>
                <w:szCs w:val="20"/>
                <w:highlight w:val="green"/>
              </w:rPr>
            </w:pPr>
            <w:r w:rsidRPr="60EF5B48">
              <w:rPr>
                <w:rFonts w:ascii="Arial" w:hAnsi="Arial" w:cs="Arial"/>
                <w:b/>
                <w:i/>
                <w:color w:val="000000" w:themeColor="text1"/>
                <w:sz w:val="20"/>
                <w:szCs w:val="20"/>
              </w:rPr>
              <w:t>Grants &amp; contributions</w:t>
            </w:r>
          </w:p>
        </w:tc>
        <w:tc>
          <w:tcPr>
            <w:tcW w:w="1320" w:type="dxa"/>
            <w:tcBorders>
              <w:top w:val="nil"/>
              <w:left w:val="nil"/>
              <w:bottom w:val="nil"/>
              <w:right w:val="nil"/>
            </w:tcBorders>
            <w:noWrap/>
            <w:vAlign w:val="center"/>
            <w:hideMark/>
          </w:tcPr>
          <w:p w14:paraId="0CD07755" w14:textId="0068EABC" w:rsidR="006F65D7" w:rsidRPr="000A13A9" w:rsidRDefault="006F65D7" w:rsidP="006F65D7">
            <w:pPr>
              <w:rPr>
                <w:rFonts w:ascii="Arial" w:hAnsi="Arial" w:cs="Arial"/>
                <w:b/>
                <w:i/>
                <w:color w:val="000000"/>
                <w:sz w:val="20"/>
                <w:szCs w:val="20"/>
              </w:rPr>
            </w:pPr>
          </w:p>
        </w:tc>
        <w:tc>
          <w:tcPr>
            <w:tcW w:w="1320" w:type="dxa"/>
            <w:tcBorders>
              <w:top w:val="nil"/>
              <w:left w:val="nil"/>
              <w:bottom w:val="nil"/>
              <w:right w:val="nil"/>
            </w:tcBorders>
            <w:noWrap/>
            <w:vAlign w:val="center"/>
            <w:hideMark/>
          </w:tcPr>
          <w:p w14:paraId="347EB3AC" w14:textId="6CB987B5" w:rsidR="006F65D7" w:rsidRPr="000A13A9" w:rsidRDefault="006F65D7" w:rsidP="006F65D7">
            <w:pPr>
              <w:jc w:val="right"/>
              <w:rPr>
                <w:sz w:val="20"/>
                <w:szCs w:val="20"/>
              </w:rPr>
            </w:pPr>
          </w:p>
        </w:tc>
        <w:tc>
          <w:tcPr>
            <w:tcW w:w="1290" w:type="dxa"/>
            <w:tcBorders>
              <w:top w:val="nil"/>
              <w:left w:val="nil"/>
              <w:bottom w:val="nil"/>
              <w:right w:val="nil"/>
            </w:tcBorders>
            <w:noWrap/>
            <w:vAlign w:val="center"/>
            <w:hideMark/>
          </w:tcPr>
          <w:p w14:paraId="7BBFA55F" w14:textId="25656994" w:rsidR="006F65D7" w:rsidRPr="000A13A9" w:rsidRDefault="006F65D7" w:rsidP="006F65D7">
            <w:pPr>
              <w:jc w:val="right"/>
              <w:rPr>
                <w:sz w:val="20"/>
                <w:szCs w:val="20"/>
              </w:rPr>
            </w:pPr>
          </w:p>
        </w:tc>
        <w:tc>
          <w:tcPr>
            <w:tcW w:w="1320" w:type="dxa"/>
            <w:tcBorders>
              <w:top w:val="nil"/>
              <w:left w:val="nil"/>
              <w:bottom w:val="nil"/>
              <w:right w:val="nil"/>
            </w:tcBorders>
            <w:noWrap/>
            <w:vAlign w:val="center"/>
            <w:hideMark/>
          </w:tcPr>
          <w:p w14:paraId="02383031" w14:textId="0D0C568A" w:rsidR="006F65D7" w:rsidRPr="000A13A9" w:rsidRDefault="006F65D7" w:rsidP="006F65D7">
            <w:pPr>
              <w:jc w:val="right"/>
              <w:rPr>
                <w:sz w:val="20"/>
                <w:szCs w:val="20"/>
              </w:rPr>
            </w:pPr>
          </w:p>
        </w:tc>
        <w:tc>
          <w:tcPr>
            <w:tcW w:w="1379" w:type="dxa"/>
            <w:tcBorders>
              <w:top w:val="nil"/>
              <w:left w:val="nil"/>
              <w:bottom w:val="nil"/>
              <w:right w:val="nil"/>
            </w:tcBorders>
            <w:vAlign w:val="center"/>
            <w:hideMark/>
          </w:tcPr>
          <w:p w14:paraId="409D72E3" w14:textId="26AEC41E" w:rsidR="006F65D7" w:rsidRPr="000A13A9" w:rsidRDefault="006F65D7" w:rsidP="006F65D7">
            <w:pPr>
              <w:jc w:val="right"/>
              <w:rPr>
                <w:sz w:val="20"/>
                <w:szCs w:val="20"/>
              </w:rPr>
            </w:pPr>
          </w:p>
        </w:tc>
        <w:tc>
          <w:tcPr>
            <w:tcW w:w="222" w:type="dxa"/>
            <w:vAlign w:val="center"/>
            <w:hideMark/>
          </w:tcPr>
          <w:p w14:paraId="734D32F3" w14:textId="77777777" w:rsidR="006F65D7" w:rsidRPr="000A13A9" w:rsidRDefault="006F65D7" w:rsidP="006F65D7">
            <w:pPr>
              <w:rPr>
                <w:sz w:val="20"/>
                <w:szCs w:val="20"/>
                <w:highlight w:val="green"/>
              </w:rPr>
            </w:pPr>
          </w:p>
        </w:tc>
      </w:tr>
      <w:tr w:rsidR="002E2A51" w:rsidRPr="000A13A9" w14:paraId="5BB8F38F" w14:textId="77777777" w:rsidTr="12F3CE6E">
        <w:trPr>
          <w:trHeight w:val="265"/>
        </w:trPr>
        <w:tc>
          <w:tcPr>
            <w:tcW w:w="4005" w:type="dxa"/>
            <w:tcBorders>
              <w:top w:val="nil"/>
              <w:left w:val="nil"/>
              <w:bottom w:val="nil"/>
              <w:right w:val="nil"/>
            </w:tcBorders>
            <w:vAlign w:val="center"/>
            <w:hideMark/>
          </w:tcPr>
          <w:p w14:paraId="23247D93" w14:textId="68A8FF86" w:rsidR="006412E7" w:rsidRPr="000A13A9" w:rsidRDefault="006412E7" w:rsidP="006412E7">
            <w:pPr>
              <w:rPr>
                <w:rFonts w:ascii="Arial" w:hAnsi="Arial" w:cs="Arial"/>
                <w:color w:val="000000"/>
                <w:sz w:val="20"/>
                <w:szCs w:val="20"/>
                <w:highlight w:val="green"/>
              </w:rPr>
            </w:pPr>
            <w:r w:rsidRPr="60EF5B48">
              <w:rPr>
                <w:rFonts w:ascii="Arial" w:hAnsi="Arial" w:cs="Arial"/>
                <w:color w:val="000000" w:themeColor="text1"/>
                <w:sz w:val="20"/>
                <w:szCs w:val="20"/>
              </w:rPr>
              <w:t>Opening balance</w:t>
            </w:r>
          </w:p>
        </w:tc>
        <w:tc>
          <w:tcPr>
            <w:tcW w:w="1320" w:type="dxa"/>
            <w:tcBorders>
              <w:top w:val="nil"/>
              <w:left w:val="nil"/>
              <w:bottom w:val="nil"/>
              <w:right w:val="nil"/>
            </w:tcBorders>
            <w:noWrap/>
            <w:vAlign w:val="center"/>
            <w:hideMark/>
          </w:tcPr>
          <w:p w14:paraId="49F247D8" w14:textId="331A3A5F" w:rsidR="006412E7" w:rsidRPr="0034152F" w:rsidRDefault="00E345D7" w:rsidP="006412E7">
            <w:pPr>
              <w:jc w:val="right"/>
              <w:rPr>
                <w:rFonts w:ascii="Arial" w:hAnsi="Arial" w:cs="Arial"/>
                <w:color w:val="000000"/>
                <w:sz w:val="20"/>
                <w:szCs w:val="20"/>
              </w:rPr>
            </w:pPr>
            <w:r>
              <w:rPr>
                <w:rFonts w:ascii="Arial" w:hAnsi="Arial" w:cs="Arial"/>
                <w:color w:val="000000"/>
                <w:sz w:val="20"/>
                <w:szCs w:val="20"/>
              </w:rPr>
              <w:t>1,011,041</w:t>
            </w:r>
          </w:p>
        </w:tc>
        <w:tc>
          <w:tcPr>
            <w:tcW w:w="1320" w:type="dxa"/>
            <w:tcBorders>
              <w:top w:val="nil"/>
              <w:left w:val="nil"/>
              <w:bottom w:val="nil"/>
              <w:right w:val="nil"/>
            </w:tcBorders>
            <w:noWrap/>
            <w:vAlign w:val="center"/>
            <w:hideMark/>
          </w:tcPr>
          <w:p w14:paraId="6EBB0255" w14:textId="096A6410" w:rsidR="006412E7" w:rsidRPr="0034152F" w:rsidRDefault="009B4A10" w:rsidP="006412E7">
            <w:pPr>
              <w:jc w:val="right"/>
              <w:rPr>
                <w:rFonts w:ascii="Arial" w:hAnsi="Arial" w:cs="Arial"/>
                <w:color w:val="000000"/>
                <w:sz w:val="20"/>
                <w:szCs w:val="20"/>
              </w:rPr>
            </w:pPr>
            <w:r>
              <w:rPr>
                <w:rFonts w:ascii="Arial" w:hAnsi="Arial" w:cs="Arial"/>
                <w:color w:val="000000"/>
                <w:sz w:val="20"/>
                <w:szCs w:val="20"/>
              </w:rPr>
              <w:t>1</w:t>
            </w:r>
          </w:p>
        </w:tc>
        <w:tc>
          <w:tcPr>
            <w:tcW w:w="1290" w:type="dxa"/>
            <w:tcBorders>
              <w:top w:val="nil"/>
              <w:left w:val="nil"/>
              <w:bottom w:val="nil"/>
              <w:right w:val="nil"/>
            </w:tcBorders>
            <w:noWrap/>
            <w:vAlign w:val="center"/>
            <w:hideMark/>
          </w:tcPr>
          <w:p w14:paraId="1755610E" w14:textId="3A6FB881" w:rsidR="006412E7" w:rsidRPr="0034152F" w:rsidRDefault="009B4A10" w:rsidP="006412E7">
            <w:pPr>
              <w:jc w:val="right"/>
              <w:rPr>
                <w:rFonts w:ascii="Arial" w:hAnsi="Arial" w:cs="Arial"/>
                <w:color w:val="000000"/>
                <w:sz w:val="20"/>
                <w:szCs w:val="20"/>
              </w:rPr>
            </w:pPr>
            <w:r>
              <w:rPr>
                <w:rFonts w:ascii="Arial" w:hAnsi="Arial" w:cs="Arial"/>
                <w:color w:val="000000"/>
                <w:sz w:val="20"/>
                <w:szCs w:val="20"/>
              </w:rPr>
              <w:t>1</w:t>
            </w:r>
          </w:p>
        </w:tc>
        <w:tc>
          <w:tcPr>
            <w:tcW w:w="1320" w:type="dxa"/>
            <w:tcBorders>
              <w:top w:val="nil"/>
              <w:left w:val="nil"/>
              <w:bottom w:val="nil"/>
              <w:right w:val="nil"/>
            </w:tcBorders>
            <w:noWrap/>
            <w:vAlign w:val="center"/>
            <w:hideMark/>
          </w:tcPr>
          <w:p w14:paraId="41791866" w14:textId="5E2E1C3D" w:rsidR="006412E7" w:rsidRPr="0034152F" w:rsidRDefault="009B4A10" w:rsidP="006412E7">
            <w:pPr>
              <w:jc w:val="right"/>
              <w:rPr>
                <w:rFonts w:ascii="Arial" w:hAnsi="Arial" w:cs="Arial"/>
                <w:color w:val="000000"/>
                <w:sz w:val="20"/>
                <w:szCs w:val="20"/>
              </w:rPr>
            </w:pPr>
            <w:r>
              <w:rPr>
                <w:rFonts w:ascii="Arial" w:hAnsi="Arial" w:cs="Arial"/>
                <w:color w:val="000000"/>
                <w:sz w:val="20"/>
                <w:szCs w:val="20"/>
              </w:rPr>
              <w:t>1</w:t>
            </w:r>
          </w:p>
        </w:tc>
        <w:tc>
          <w:tcPr>
            <w:tcW w:w="1379" w:type="dxa"/>
            <w:tcBorders>
              <w:top w:val="nil"/>
              <w:left w:val="nil"/>
              <w:bottom w:val="nil"/>
              <w:right w:val="nil"/>
            </w:tcBorders>
            <w:noWrap/>
            <w:vAlign w:val="center"/>
            <w:hideMark/>
          </w:tcPr>
          <w:p w14:paraId="5DA9D160" w14:textId="17D485B5" w:rsidR="006412E7" w:rsidRPr="0034152F" w:rsidRDefault="009B4A10" w:rsidP="006412E7">
            <w:pPr>
              <w:jc w:val="right"/>
              <w:rPr>
                <w:rFonts w:ascii="Arial" w:hAnsi="Arial" w:cs="Arial"/>
                <w:color w:val="000000"/>
                <w:sz w:val="20"/>
                <w:szCs w:val="20"/>
              </w:rPr>
            </w:pPr>
            <w:r>
              <w:rPr>
                <w:rFonts w:ascii="Arial" w:hAnsi="Arial" w:cs="Arial"/>
                <w:color w:val="000000"/>
                <w:sz w:val="20"/>
                <w:szCs w:val="20"/>
              </w:rPr>
              <w:t>1</w:t>
            </w:r>
          </w:p>
        </w:tc>
        <w:tc>
          <w:tcPr>
            <w:tcW w:w="222" w:type="dxa"/>
            <w:vAlign w:val="center"/>
            <w:hideMark/>
          </w:tcPr>
          <w:p w14:paraId="56D24549" w14:textId="77777777" w:rsidR="006412E7" w:rsidRPr="000A13A9" w:rsidRDefault="006412E7" w:rsidP="006412E7">
            <w:pPr>
              <w:rPr>
                <w:sz w:val="20"/>
                <w:szCs w:val="20"/>
                <w:highlight w:val="green"/>
              </w:rPr>
            </w:pPr>
          </w:p>
        </w:tc>
      </w:tr>
      <w:tr w:rsidR="002E2A51" w:rsidRPr="000A13A9" w14:paraId="1DC1F523" w14:textId="77777777" w:rsidTr="12F3CE6E">
        <w:trPr>
          <w:trHeight w:val="265"/>
        </w:trPr>
        <w:tc>
          <w:tcPr>
            <w:tcW w:w="4005" w:type="dxa"/>
            <w:tcBorders>
              <w:top w:val="nil"/>
              <w:left w:val="nil"/>
              <w:bottom w:val="nil"/>
              <w:right w:val="nil"/>
            </w:tcBorders>
            <w:vAlign w:val="center"/>
            <w:hideMark/>
          </w:tcPr>
          <w:p w14:paraId="6164A052" w14:textId="50C33EC1" w:rsidR="006412E7" w:rsidRPr="000A13A9" w:rsidRDefault="006412E7" w:rsidP="006412E7">
            <w:pPr>
              <w:rPr>
                <w:rFonts w:ascii="Arial" w:hAnsi="Arial" w:cs="Arial"/>
                <w:color w:val="000000"/>
                <w:sz w:val="20"/>
                <w:szCs w:val="20"/>
                <w:highlight w:val="green"/>
              </w:rPr>
            </w:pPr>
            <w:r w:rsidRPr="60EF5B48">
              <w:rPr>
                <w:rFonts w:ascii="Arial" w:hAnsi="Arial" w:cs="Arial"/>
                <w:color w:val="000000" w:themeColor="text1"/>
                <w:sz w:val="20"/>
                <w:szCs w:val="20"/>
              </w:rPr>
              <w:t>Received in year</w:t>
            </w:r>
          </w:p>
        </w:tc>
        <w:tc>
          <w:tcPr>
            <w:tcW w:w="1320" w:type="dxa"/>
            <w:tcBorders>
              <w:top w:val="nil"/>
              <w:left w:val="nil"/>
              <w:bottom w:val="nil"/>
              <w:right w:val="nil"/>
            </w:tcBorders>
            <w:noWrap/>
            <w:vAlign w:val="center"/>
            <w:hideMark/>
          </w:tcPr>
          <w:p w14:paraId="6C674ECA" w14:textId="33D2B3E0" w:rsidR="006412E7" w:rsidRPr="0034152F" w:rsidRDefault="002022B3" w:rsidP="006412E7">
            <w:pPr>
              <w:jc w:val="right"/>
              <w:rPr>
                <w:rFonts w:ascii="Arial" w:hAnsi="Arial" w:cs="Arial"/>
                <w:color w:val="000000"/>
                <w:sz w:val="20"/>
                <w:szCs w:val="20"/>
              </w:rPr>
            </w:pPr>
            <w:r w:rsidRPr="60EF5B48">
              <w:rPr>
                <w:rFonts w:ascii="Arial" w:hAnsi="Arial" w:cs="Arial"/>
                <w:color w:val="000000" w:themeColor="text1"/>
                <w:sz w:val="20"/>
                <w:szCs w:val="20"/>
              </w:rPr>
              <w:t>1,057,181</w:t>
            </w:r>
          </w:p>
        </w:tc>
        <w:tc>
          <w:tcPr>
            <w:tcW w:w="1320" w:type="dxa"/>
            <w:tcBorders>
              <w:top w:val="nil"/>
              <w:left w:val="nil"/>
              <w:bottom w:val="nil"/>
              <w:right w:val="nil"/>
            </w:tcBorders>
            <w:noWrap/>
            <w:vAlign w:val="center"/>
            <w:hideMark/>
          </w:tcPr>
          <w:p w14:paraId="524695E4" w14:textId="53FF7462" w:rsidR="006412E7" w:rsidRPr="0034152F" w:rsidRDefault="002022B3" w:rsidP="006412E7">
            <w:pPr>
              <w:jc w:val="right"/>
              <w:rPr>
                <w:rFonts w:ascii="Arial" w:hAnsi="Arial" w:cs="Arial"/>
                <w:color w:val="000000"/>
                <w:sz w:val="20"/>
                <w:szCs w:val="20"/>
              </w:rPr>
            </w:pPr>
            <w:r w:rsidRPr="60EF5B48">
              <w:rPr>
                <w:rFonts w:ascii="Arial" w:hAnsi="Arial" w:cs="Arial"/>
                <w:color w:val="000000" w:themeColor="text1"/>
                <w:sz w:val="20"/>
                <w:szCs w:val="20"/>
              </w:rPr>
              <w:t>1,057,181</w:t>
            </w:r>
          </w:p>
        </w:tc>
        <w:tc>
          <w:tcPr>
            <w:tcW w:w="1290" w:type="dxa"/>
            <w:tcBorders>
              <w:top w:val="nil"/>
              <w:left w:val="nil"/>
              <w:bottom w:val="nil"/>
              <w:right w:val="nil"/>
            </w:tcBorders>
            <w:noWrap/>
            <w:vAlign w:val="center"/>
            <w:hideMark/>
          </w:tcPr>
          <w:p w14:paraId="78F12511" w14:textId="48866951" w:rsidR="006412E7" w:rsidRPr="0034152F" w:rsidRDefault="002022B3" w:rsidP="006412E7">
            <w:pPr>
              <w:jc w:val="right"/>
              <w:rPr>
                <w:rFonts w:ascii="Arial" w:hAnsi="Arial" w:cs="Arial"/>
                <w:color w:val="000000"/>
                <w:sz w:val="20"/>
                <w:szCs w:val="20"/>
              </w:rPr>
            </w:pPr>
            <w:r w:rsidRPr="60EF5B48">
              <w:rPr>
                <w:rFonts w:ascii="Arial" w:hAnsi="Arial" w:cs="Arial"/>
                <w:color w:val="000000" w:themeColor="text1"/>
                <w:sz w:val="20"/>
                <w:szCs w:val="20"/>
              </w:rPr>
              <w:t>1,057,181</w:t>
            </w:r>
          </w:p>
        </w:tc>
        <w:tc>
          <w:tcPr>
            <w:tcW w:w="1320" w:type="dxa"/>
            <w:tcBorders>
              <w:top w:val="nil"/>
              <w:left w:val="nil"/>
              <w:bottom w:val="nil"/>
              <w:right w:val="nil"/>
            </w:tcBorders>
            <w:noWrap/>
            <w:vAlign w:val="center"/>
            <w:hideMark/>
          </w:tcPr>
          <w:p w14:paraId="5627E3D4" w14:textId="0E2EAC2B" w:rsidR="006412E7" w:rsidRPr="0034152F" w:rsidRDefault="002022B3" w:rsidP="006412E7">
            <w:pPr>
              <w:jc w:val="right"/>
              <w:rPr>
                <w:rFonts w:ascii="Arial" w:hAnsi="Arial" w:cs="Arial"/>
                <w:color w:val="000000"/>
                <w:sz w:val="20"/>
                <w:szCs w:val="20"/>
              </w:rPr>
            </w:pPr>
            <w:r w:rsidRPr="60EF5B48">
              <w:rPr>
                <w:rFonts w:ascii="Arial" w:hAnsi="Arial" w:cs="Arial"/>
                <w:color w:val="000000" w:themeColor="text1"/>
                <w:sz w:val="20"/>
                <w:szCs w:val="20"/>
              </w:rPr>
              <w:t>1,057,181</w:t>
            </w:r>
          </w:p>
        </w:tc>
        <w:tc>
          <w:tcPr>
            <w:tcW w:w="1379" w:type="dxa"/>
            <w:tcBorders>
              <w:top w:val="nil"/>
              <w:left w:val="nil"/>
              <w:bottom w:val="nil"/>
              <w:right w:val="nil"/>
            </w:tcBorders>
            <w:noWrap/>
            <w:vAlign w:val="center"/>
            <w:hideMark/>
          </w:tcPr>
          <w:p w14:paraId="535C1029" w14:textId="3EF21AF1" w:rsidR="006412E7" w:rsidRPr="0034152F" w:rsidRDefault="002022B3" w:rsidP="006412E7">
            <w:pPr>
              <w:jc w:val="right"/>
              <w:rPr>
                <w:rFonts w:ascii="Arial" w:hAnsi="Arial" w:cs="Arial"/>
                <w:color w:val="000000"/>
                <w:sz w:val="20"/>
                <w:szCs w:val="20"/>
              </w:rPr>
            </w:pPr>
            <w:r w:rsidRPr="60EF5B48">
              <w:rPr>
                <w:rFonts w:ascii="Arial" w:hAnsi="Arial" w:cs="Arial"/>
                <w:color w:val="000000" w:themeColor="text1"/>
                <w:sz w:val="20"/>
                <w:szCs w:val="20"/>
              </w:rPr>
              <w:t>1,057,181</w:t>
            </w:r>
          </w:p>
        </w:tc>
        <w:tc>
          <w:tcPr>
            <w:tcW w:w="222" w:type="dxa"/>
            <w:vAlign w:val="center"/>
            <w:hideMark/>
          </w:tcPr>
          <w:p w14:paraId="0DE4CE10" w14:textId="77777777" w:rsidR="006412E7" w:rsidRPr="000A13A9" w:rsidRDefault="006412E7" w:rsidP="006412E7">
            <w:pPr>
              <w:rPr>
                <w:sz w:val="20"/>
                <w:szCs w:val="20"/>
                <w:highlight w:val="green"/>
              </w:rPr>
            </w:pPr>
          </w:p>
        </w:tc>
      </w:tr>
      <w:tr w:rsidR="002E2A51" w:rsidRPr="000A13A9" w14:paraId="43BF38B7" w14:textId="77777777" w:rsidTr="12F3CE6E">
        <w:trPr>
          <w:trHeight w:val="265"/>
        </w:trPr>
        <w:tc>
          <w:tcPr>
            <w:tcW w:w="4005" w:type="dxa"/>
            <w:tcBorders>
              <w:top w:val="nil"/>
              <w:left w:val="nil"/>
              <w:bottom w:val="nil"/>
              <w:right w:val="nil"/>
            </w:tcBorders>
            <w:vAlign w:val="center"/>
            <w:hideMark/>
          </w:tcPr>
          <w:p w14:paraId="34E5F178" w14:textId="0818A372" w:rsidR="00807D66" w:rsidRPr="000A13A9" w:rsidRDefault="00807D66" w:rsidP="00807D66">
            <w:pPr>
              <w:rPr>
                <w:rFonts w:ascii="Arial" w:hAnsi="Arial" w:cs="Arial"/>
                <w:color w:val="000000"/>
                <w:sz w:val="20"/>
                <w:szCs w:val="20"/>
                <w:highlight w:val="green"/>
              </w:rPr>
            </w:pPr>
            <w:r w:rsidRPr="60EF5B48">
              <w:rPr>
                <w:rFonts w:ascii="Arial" w:hAnsi="Arial" w:cs="Arial"/>
                <w:color w:val="000000" w:themeColor="text1"/>
                <w:sz w:val="20"/>
                <w:szCs w:val="20"/>
              </w:rPr>
              <w:t>Used in financing</w:t>
            </w:r>
          </w:p>
        </w:tc>
        <w:tc>
          <w:tcPr>
            <w:tcW w:w="1320" w:type="dxa"/>
            <w:tcBorders>
              <w:top w:val="nil"/>
              <w:left w:val="nil"/>
              <w:bottom w:val="nil"/>
              <w:right w:val="nil"/>
            </w:tcBorders>
            <w:noWrap/>
            <w:vAlign w:val="center"/>
            <w:hideMark/>
          </w:tcPr>
          <w:p w14:paraId="746D5372" w14:textId="5C36DF40" w:rsidR="00807D66" w:rsidRPr="0034152F" w:rsidRDefault="00807D66" w:rsidP="00807D66">
            <w:pPr>
              <w:jc w:val="right"/>
              <w:rPr>
                <w:rFonts w:ascii="Arial" w:hAnsi="Arial" w:cs="Arial"/>
                <w:color w:val="000000"/>
                <w:sz w:val="20"/>
                <w:szCs w:val="20"/>
              </w:rPr>
            </w:pPr>
            <w:r w:rsidRPr="60EF5B48">
              <w:rPr>
                <w:rFonts w:ascii="Arial" w:hAnsi="Arial" w:cs="Arial"/>
                <w:color w:val="000000" w:themeColor="text1"/>
                <w:sz w:val="20"/>
                <w:szCs w:val="20"/>
              </w:rPr>
              <w:t>(2,0</w:t>
            </w:r>
            <w:r w:rsidR="00E345D7">
              <w:rPr>
                <w:rFonts w:ascii="Arial" w:hAnsi="Arial" w:cs="Arial"/>
                <w:color w:val="000000" w:themeColor="text1"/>
                <w:sz w:val="20"/>
                <w:szCs w:val="20"/>
              </w:rPr>
              <w:t>68,221</w:t>
            </w:r>
            <w:r w:rsidRPr="60EF5B48">
              <w:rPr>
                <w:rFonts w:ascii="Arial" w:hAnsi="Arial" w:cs="Arial"/>
                <w:color w:val="000000" w:themeColor="text1"/>
                <w:sz w:val="20"/>
                <w:szCs w:val="20"/>
              </w:rPr>
              <w:t>)</w:t>
            </w:r>
          </w:p>
        </w:tc>
        <w:tc>
          <w:tcPr>
            <w:tcW w:w="1320" w:type="dxa"/>
            <w:tcBorders>
              <w:top w:val="nil"/>
              <w:left w:val="nil"/>
              <w:bottom w:val="nil"/>
              <w:right w:val="nil"/>
            </w:tcBorders>
            <w:noWrap/>
            <w:vAlign w:val="center"/>
            <w:hideMark/>
          </w:tcPr>
          <w:p w14:paraId="212727DD" w14:textId="22F0FE2C" w:rsidR="00807D66" w:rsidRPr="0034152F" w:rsidRDefault="00807D66" w:rsidP="00807D66">
            <w:pPr>
              <w:jc w:val="right"/>
              <w:rPr>
                <w:rFonts w:ascii="Arial" w:hAnsi="Arial" w:cs="Arial"/>
                <w:color w:val="000000"/>
                <w:sz w:val="20"/>
                <w:szCs w:val="20"/>
              </w:rPr>
            </w:pPr>
            <w:r w:rsidRPr="60EF5B48">
              <w:rPr>
                <w:rFonts w:ascii="Arial" w:hAnsi="Arial" w:cs="Arial"/>
                <w:color w:val="000000" w:themeColor="text1"/>
                <w:sz w:val="20"/>
                <w:szCs w:val="20"/>
              </w:rPr>
              <w:t>(1,057,181)</w:t>
            </w:r>
          </w:p>
        </w:tc>
        <w:tc>
          <w:tcPr>
            <w:tcW w:w="1290" w:type="dxa"/>
            <w:tcBorders>
              <w:top w:val="nil"/>
              <w:left w:val="nil"/>
              <w:bottom w:val="nil"/>
              <w:right w:val="nil"/>
            </w:tcBorders>
            <w:noWrap/>
            <w:vAlign w:val="center"/>
            <w:hideMark/>
          </w:tcPr>
          <w:p w14:paraId="76310F0A" w14:textId="6377BDFB" w:rsidR="00807D66" w:rsidRPr="0034152F" w:rsidRDefault="00807D66" w:rsidP="00807D66">
            <w:pPr>
              <w:jc w:val="right"/>
              <w:rPr>
                <w:rFonts w:ascii="Arial" w:hAnsi="Arial" w:cs="Arial"/>
                <w:color w:val="000000"/>
                <w:sz w:val="20"/>
                <w:szCs w:val="20"/>
              </w:rPr>
            </w:pPr>
            <w:r w:rsidRPr="60EF5B48">
              <w:rPr>
                <w:rFonts w:ascii="Arial" w:hAnsi="Arial" w:cs="Arial"/>
                <w:color w:val="000000" w:themeColor="text1"/>
                <w:sz w:val="20"/>
                <w:szCs w:val="20"/>
              </w:rPr>
              <w:t>(1,057,181)</w:t>
            </w:r>
          </w:p>
        </w:tc>
        <w:tc>
          <w:tcPr>
            <w:tcW w:w="1320" w:type="dxa"/>
            <w:tcBorders>
              <w:top w:val="nil"/>
              <w:left w:val="nil"/>
              <w:bottom w:val="nil"/>
              <w:right w:val="nil"/>
            </w:tcBorders>
            <w:noWrap/>
            <w:vAlign w:val="center"/>
            <w:hideMark/>
          </w:tcPr>
          <w:p w14:paraId="531AF6F5" w14:textId="6FF484F8" w:rsidR="00807D66" w:rsidRPr="0034152F" w:rsidRDefault="00807D66" w:rsidP="00807D66">
            <w:pPr>
              <w:jc w:val="right"/>
              <w:rPr>
                <w:rFonts w:ascii="Arial" w:hAnsi="Arial" w:cs="Arial"/>
                <w:color w:val="000000"/>
                <w:sz w:val="20"/>
                <w:szCs w:val="20"/>
              </w:rPr>
            </w:pPr>
            <w:r w:rsidRPr="60EF5B48">
              <w:rPr>
                <w:rFonts w:ascii="Arial" w:hAnsi="Arial" w:cs="Arial"/>
                <w:color w:val="000000" w:themeColor="text1"/>
                <w:sz w:val="20"/>
                <w:szCs w:val="20"/>
              </w:rPr>
              <w:t>(1,057,181</w:t>
            </w:r>
            <w:r w:rsidRPr="23112924">
              <w:rPr>
                <w:rFonts w:ascii="Arial" w:hAnsi="Arial" w:cs="Arial"/>
                <w:color w:val="000000" w:themeColor="text1"/>
                <w:sz w:val="20"/>
                <w:szCs w:val="20"/>
              </w:rPr>
              <w:t>)</w:t>
            </w:r>
          </w:p>
        </w:tc>
        <w:tc>
          <w:tcPr>
            <w:tcW w:w="1379" w:type="dxa"/>
            <w:tcBorders>
              <w:top w:val="nil"/>
              <w:left w:val="nil"/>
              <w:bottom w:val="nil"/>
              <w:right w:val="nil"/>
            </w:tcBorders>
            <w:noWrap/>
            <w:vAlign w:val="center"/>
            <w:hideMark/>
          </w:tcPr>
          <w:p w14:paraId="4C80E673" w14:textId="35835E1E" w:rsidR="00807D66" w:rsidRPr="0034152F" w:rsidRDefault="00807D66" w:rsidP="00807D66">
            <w:pPr>
              <w:jc w:val="right"/>
              <w:rPr>
                <w:rFonts w:ascii="Arial" w:hAnsi="Arial" w:cs="Arial"/>
                <w:color w:val="000000"/>
                <w:sz w:val="20"/>
                <w:szCs w:val="20"/>
              </w:rPr>
            </w:pPr>
            <w:r w:rsidRPr="60EF5B48">
              <w:rPr>
                <w:rFonts w:ascii="Arial" w:hAnsi="Arial" w:cs="Arial"/>
                <w:color w:val="000000" w:themeColor="text1"/>
                <w:sz w:val="20"/>
                <w:szCs w:val="20"/>
              </w:rPr>
              <w:t>(1,057,181</w:t>
            </w:r>
            <w:r w:rsidRPr="23112924">
              <w:rPr>
                <w:rFonts w:ascii="Arial" w:hAnsi="Arial" w:cs="Arial"/>
                <w:color w:val="000000" w:themeColor="text1"/>
                <w:sz w:val="20"/>
                <w:szCs w:val="20"/>
              </w:rPr>
              <w:t>)</w:t>
            </w:r>
          </w:p>
        </w:tc>
        <w:tc>
          <w:tcPr>
            <w:tcW w:w="222" w:type="dxa"/>
            <w:vAlign w:val="center"/>
            <w:hideMark/>
          </w:tcPr>
          <w:p w14:paraId="0815B4A1" w14:textId="77777777" w:rsidR="00807D66" w:rsidRPr="000A13A9" w:rsidRDefault="00807D66" w:rsidP="00807D66">
            <w:pPr>
              <w:rPr>
                <w:sz w:val="20"/>
                <w:szCs w:val="20"/>
                <w:highlight w:val="green"/>
              </w:rPr>
            </w:pPr>
          </w:p>
        </w:tc>
      </w:tr>
      <w:tr w:rsidR="002E2A51" w:rsidRPr="000A13A9" w14:paraId="320558BE" w14:textId="77777777" w:rsidTr="12F3CE6E">
        <w:trPr>
          <w:trHeight w:val="265"/>
        </w:trPr>
        <w:tc>
          <w:tcPr>
            <w:tcW w:w="4005" w:type="dxa"/>
            <w:tcBorders>
              <w:top w:val="nil"/>
              <w:left w:val="nil"/>
              <w:bottom w:val="nil"/>
              <w:right w:val="nil"/>
            </w:tcBorders>
            <w:vAlign w:val="center"/>
            <w:hideMark/>
          </w:tcPr>
          <w:p w14:paraId="19EF8F1D" w14:textId="63924A9D" w:rsidR="00807D66" w:rsidRPr="000A13A9" w:rsidRDefault="00807D66" w:rsidP="00807D66">
            <w:pPr>
              <w:rPr>
                <w:rFonts w:ascii="Arial" w:hAnsi="Arial" w:cs="Arial"/>
                <w:color w:val="000000"/>
                <w:sz w:val="20"/>
                <w:szCs w:val="20"/>
                <w:highlight w:val="green"/>
              </w:rPr>
            </w:pPr>
            <w:r w:rsidRPr="60EF5B48">
              <w:rPr>
                <w:rFonts w:ascii="Arial" w:hAnsi="Arial" w:cs="Arial"/>
                <w:color w:val="000000" w:themeColor="text1"/>
                <w:sz w:val="20"/>
                <w:szCs w:val="20"/>
              </w:rPr>
              <w:t>Closing balance</w:t>
            </w:r>
          </w:p>
        </w:tc>
        <w:tc>
          <w:tcPr>
            <w:tcW w:w="1320" w:type="dxa"/>
            <w:tcBorders>
              <w:top w:val="single" w:sz="4" w:space="0" w:color="auto"/>
              <w:left w:val="nil"/>
              <w:bottom w:val="single" w:sz="4" w:space="0" w:color="auto"/>
              <w:right w:val="nil"/>
            </w:tcBorders>
            <w:noWrap/>
            <w:vAlign w:val="center"/>
            <w:hideMark/>
          </w:tcPr>
          <w:p w14:paraId="1651FBB8" w14:textId="12C95B9D" w:rsidR="00807D66" w:rsidRPr="000A13A9" w:rsidRDefault="00E345D7" w:rsidP="00807D66">
            <w:pPr>
              <w:jc w:val="right"/>
              <w:rPr>
                <w:rFonts w:ascii="Arial" w:hAnsi="Arial" w:cs="Arial"/>
                <w:b/>
                <w:color w:val="000000"/>
                <w:sz w:val="20"/>
                <w:szCs w:val="20"/>
              </w:rPr>
            </w:pPr>
            <w:r>
              <w:rPr>
                <w:rFonts w:ascii="Arial" w:hAnsi="Arial" w:cs="Arial"/>
                <w:b/>
                <w:color w:val="000000"/>
                <w:sz w:val="20"/>
                <w:szCs w:val="20"/>
              </w:rPr>
              <w:t>1</w:t>
            </w:r>
          </w:p>
        </w:tc>
        <w:tc>
          <w:tcPr>
            <w:tcW w:w="1320" w:type="dxa"/>
            <w:tcBorders>
              <w:top w:val="single" w:sz="4" w:space="0" w:color="auto"/>
              <w:left w:val="nil"/>
              <w:bottom w:val="single" w:sz="4" w:space="0" w:color="auto"/>
              <w:right w:val="nil"/>
            </w:tcBorders>
            <w:noWrap/>
            <w:vAlign w:val="center"/>
            <w:hideMark/>
          </w:tcPr>
          <w:p w14:paraId="62326D73" w14:textId="290F8B84" w:rsidR="00807D66" w:rsidRPr="000A13A9" w:rsidRDefault="00E345D7" w:rsidP="00807D66">
            <w:pPr>
              <w:jc w:val="right"/>
              <w:rPr>
                <w:rFonts w:ascii="Arial" w:hAnsi="Arial" w:cs="Arial"/>
                <w:b/>
                <w:color w:val="000000"/>
                <w:sz w:val="20"/>
                <w:szCs w:val="20"/>
              </w:rPr>
            </w:pPr>
            <w:r>
              <w:rPr>
                <w:rFonts w:ascii="Arial" w:hAnsi="Arial" w:cs="Arial"/>
                <w:b/>
                <w:color w:val="000000"/>
                <w:sz w:val="20"/>
                <w:szCs w:val="20"/>
              </w:rPr>
              <w:t>1</w:t>
            </w:r>
          </w:p>
        </w:tc>
        <w:tc>
          <w:tcPr>
            <w:tcW w:w="1290" w:type="dxa"/>
            <w:tcBorders>
              <w:top w:val="single" w:sz="4" w:space="0" w:color="auto"/>
              <w:left w:val="nil"/>
              <w:bottom w:val="single" w:sz="4" w:space="0" w:color="auto"/>
              <w:right w:val="nil"/>
            </w:tcBorders>
            <w:noWrap/>
            <w:vAlign w:val="center"/>
            <w:hideMark/>
          </w:tcPr>
          <w:p w14:paraId="439DCA0A" w14:textId="38B66951" w:rsidR="00807D66" w:rsidRPr="000A13A9" w:rsidRDefault="00E345D7" w:rsidP="00807D66">
            <w:pPr>
              <w:jc w:val="right"/>
              <w:rPr>
                <w:rFonts w:ascii="Arial" w:hAnsi="Arial" w:cs="Arial"/>
                <w:b/>
                <w:color w:val="000000"/>
                <w:sz w:val="20"/>
                <w:szCs w:val="20"/>
              </w:rPr>
            </w:pPr>
            <w:r>
              <w:rPr>
                <w:rFonts w:ascii="Arial" w:hAnsi="Arial" w:cs="Arial"/>
                <w:b/>
                <w:color w:val="000000"/>
                <w:sz w:val="20"/>
                <w:szCs w:val="20"/>
              </w:rPr>
              <w:t>1</w:t>
            </w:r>
          </w:p>
        </w:tc>
        <w:tc>
          <w:tcPr>
            <w:tcW w:w="1320" w:type="dxa"/>
            <w:tcBorders>
              <w:top w:val="single" w:sz="4" w:space="0" w:color="auto"/>
              <w:left w:val="nil"/>
              <w:bottom w:val="single" w:sz="4" w:space="0" w:color="auto"/>
              <w:right w:val="nil"/>
            </w:tcBorders>
            <w:noWrap/>
            <w:vAlign w:val="center"/>
            <w:hideMark/>
          </w:tcPr>
          <w:p w14:paraId="175CC5BD" w14:textId="31B8A4E9" w:rsidR="00807D66" w:rsidRPr="000A13A9" w:rsidRDefault="00E345D7" w:rsidP="00807D66">
            <w:pPr>
              <w:jc w:val="right"/>
              <w:rPr>
                <w:rFonts w:ascii="Arial" w:hAnsi="Arial" w:cs="Arial"/>
                <w:b/>
                <w:color w:val="000000"/>
                <w:sz w:val="20"/>
                <w:szCs w:val="20"/>
              </w:rPr>
            </w:pPr>
            <w:r>
              <w:rPr>
                <w:rFonts w:ascii="Arial" w:hAnsi="Arial" w:cs="Arial"/>
                <w:b/>
                <w:color w:val="000000"/>
                <w:sz w:val="20"/>
                <w:szCs w:val="20"/>
              </w:rPr>
              <w:t>1</w:t>
            </w:r>
          </w:p>
        </w:tc>
        <w:tc>
          <w:tcPr>
            <w:tcW w:w="1379" w:type="dxa"/>
            <w:tcBorders>
              <w:top w:val="single" w:sz="4" w:space="0" w:color="auto"/>
              <w:left w:val="nil"/>
              <w:bottom w:val="single" w:sz="4" w:space="0" w:color="auto"/>
              <w:right w:val="nil"/>
            </w:tcBorders>
            <w:noWrap/>
            <w:vAlign w:val="center"/>
            <w:hideMark/>
          </w:tcPr>
          <w:p w14:paraId="5D1AB0E9" w14:textId="57775E22" w:rsidR="00807D66" w:rsidRPr="000A13A9" w:rsidRDefault="009B4A10" w:rsidP="00807D66">
            <w:pPr>
              <w:jc w:val="right"/>
              <w:rPr>
                <w:rFonts w:ascii="Arial" w:hAnsi="Arial" w:cs="Arial"/>
                <w:b/>
                <w:color w:val="000000"/>
                <w:sz w:val="20"/>
                <w:szCs w:val="20"/>
              </w:rPr>
            </w:pPr>
            <w:r>
              <w:rPr>
                <w:rFonts w:ascii="Arial" w:hAnsi="Arial" w:cs="Arial"/>
                <w:b/>
                <w:color w:val="000000"/>
                <w:sz w:val="20"/>
                <w:szCs w:val="20"/>
              </w:rPr>
              <w:t>1</w:t>
            </w:r>
          </w:p>
        </w:tc>
        <w:tc>
          <w:tcPr>
            <w:tcW w:w="222" w:type="dxa"/>
            <w:vAlign w:val="center"/>
            <w:hideMark/>
          </w:tcPr>
          <w:p w14:paraId="6401BEE6" w14:textId="77777777" w:rsidR="00807D66" w:rsidRPr="000A13A9" w:rsidRDefault="00807D66" w:rsidP="00807D66">
            <w:pPr>
              <w:rPr>
                <w:sz w:val="20"/>
                <w:szCs w:val="20"/>
                <w:highlight w:val="green"/>
              </w:rPr>
            </w:pPr>
          </w:p>
        </w:tc>
      </w:tr>
      <w:tr w:rsidR="002E2A51" w:rsidRPr="000A13A9" w14:paraId="49571A3F" w14:textId="77777777" w:rsidTr="12F3CE6E">
        <w:trPr>
          <w:trHeight w:val="265"/>
        </w:trPr>
        <w:tc>
          <w:tcPr>
            <w:tcW w:w="4005" w:type="dxa"/>
            <w:tcBorders>
              <w:top w:val="nil"/>
              <w:left w:val="nil"/>
              <w:bottom w:val="nil"/>
              <w:right w:val="nil"/>
            </w:tcBorders>
            <w:vAlign w:val="center"/>
            <w:hideMark/>
          </w:tcPr>
          <w:p w14:paraId="122A4D0A" w14:textId="1B07DDC2" w:rsidR="00807D66" w:rsidRPr="000A13A9" w:rsidRDefault="00807D66" w:rsidP="00807D66">
            <w:pPr>
              <w:jc w:val="right"/>
              <w:rPr>
                <w:rFonts w:ascii="Arial" w:hAnsi="Arial" w:cs="Arial"/>
                <w:b/>
                <w:bCs/>
                <w:color w:val="000000"/>
                <w:sz w:val="20"/>
                <w:szCs w:val="20"/>
                <w:highlight w:val="green"/>
              </w:rPr>
            </w:pPr>
          </w:p>
        </w:tc>
        <w:tc>
          <w:tcPr>
            <w:tcW w:w="1320" w:type="dxa"/>
            <w:tcBorders>
              <w:top w:val="nil"/>
              <w:left w:val="nil"/>
              <w:bottom w:val="nil"/>
              <w:right w:val="nil"/>
            </w:tcBorders>
            <w:noWrap/>
            <w:vAlign w:val="center"/>
            <w:hideMark/>
          </w:tcPr>
          <w:p w14:paraId="7BDA2E34" w14:textId="13355B01" w:rsidR="00807D66" w:rsidRPr="000A13A9" w:rsidRDefault="00807D66" w:rsidP="00807D66">
            <w:pPr>
              <w:rPr>
                <w:sz w:val="20"/>
                <w:szCs w:val="20"/>
              </w:rPr>
            </w:pPr>
          </w:p>
        </w:tc>
        <w:tc>
          <w:tcPr>
            <w:tcW w:w="1320" w:type="dxa"/>
            <w:tcBorders>
              <w:top w:val="nil"/>
              <w:left w:val="nil"/>
              <w:bottom w:val="nil"/>
              <w:right w:val="nil"/>
            </w:tcBorders>
            <w:noWrap/>
            <w:vAlign w:val="center"/>
            <w:hideMark/>
          </w:tcPr>
          <w:p w14:paraId="7C2B7C38" w14:textId="515077B3" w:rsidR="00807D66" w:rsidRPr="000A13A9" w:rsidRDefault="00807D66" w:rsidP="00807D66">
            <w:pPr>
              <w:jc w:val="right"/>
              <w:rPr>
                <w:sz w:val="20"/>
                <w:szCs w:val="20"/>
              </w:rPr>
            </w:pPr>
          </w:p>
        </w:tc>
        <w:tc>
          <w:tcPr>
            <w:tcW w:w="1290" w:type="dxa"/>
            <w:tcBorders>
              <w:top w:val="nil"/>
              <w:left w:val="nil"/>
              <w:bottom w:val="nil"/>
              <w:right w:val="nil"/>
            </w:tcBorders>
            <w:noWrap/>
            <w:vAlign w:val="center"/>
            <w:hideMark/>
          </w:tcPr>
          <w:p w14:paraId="2B496FF3" w14:textId="5F41FC3A" w:rsidR="00807D66" w:rsidRPr="000A13A9" w:rsidRDefault="00807D66" w:rsidP="00807D66">
            <w:pPr>
              <w:jc w:val="right"/>
              <w:rPr>
                <w:sz w:val="20"/>
                <w:szCs w:val="20"/>
              </w:rPr>
            </w:pPr>
          </w:p>
        </w:tc>
        <w:tc>
          <w:tcPr>
            <w:tcW w:w="1320" w:type="dxa"/>
            <w:tcBorders>
              <w:top w:val="nil"/>
              <w:left w:val="nil"/>
              <w:bottom w:val="nil"/>
              <w:right w:val="nil"/>
            </w:tcBorders>
            <w:noWrap/>
            <w:vAlign w:val="center"/>
            <w:hideMark/>
          </w:tcPr>
          <w:p w14:paraId="3B587DA4" w14:textId="155E1237" w:rsidR="00807D66" w:rsidRPr="000A13A9" w:rsidRDefault="00807D66" w:rsidP="00807D66">
            <w:pPr>
              <w:jc w:val="right"/>
              <w:rPr>
                <w:sz w:val="20"/>
                <w:szCs w:val="20"/>
              </w:rPr>
            </w:pPr>
          </w:p>
        </w:tc>
        <w:tc>
          <w:tcPr>
            <w:tcW w:w="1379" w:type="dxa"/>
            <w:tcBorders>
              <w:top w:val="nil"/>
              <w:left w:val="nil"/>
              <w:bottom w:val="nil"/>
              <w:right w:val="nil"/>
            </w:tcBorders>
            <w:noWrap/>
            <w:vAlign w:val="center"/>
            <w:hideMark/>
          </w:tcPr>
          <w:p w14:paraId="4CD8D78A" w14:textId="216B27D7" w:rsidR="00807D66" w:rsidRPr="000A13A9" w:rsidRDefault="00807D66" w:rsidP="00807D66">
            <w:pPr>
              <w:jc w:val="right"/>
              <w:rPr>
                <w:sz w:val="20"/>
                <w:szCs w:val="20"/>
              </w:rPr>
            </w:pPr>
          </w:p>
        </w:tc>
        <w:tc>
          <w:tcPr>
            <w:tcW w:w="222" w:type="dxa"/>
            <w:vAlign w:val="center"/>
            <w:hideMark/>
          </w:tcPr>
          <w:p w14:paraId="35D1B69B" w14:textId="77777777" w:rsidR="00807D66" w:rsidRPr="000A13A9" w:rsidRDefault="00807D66" w:rsidP="00807D66">
            <w:pPr>
              <w:rPr>
                <w:sz w:val="20"/>
                <w:szCs w:val="20"/>
                <w:highlight w:val="green"/>
              </w:rPr>
            </w:pPr>
          </w:p>
        </w:tc>
      </w:tr>
      <w:tr w:rsidR="002E2A51" w:rsidRPr="000A13A9" w14:paraId="4DA504D1" w14:textId="77777777" w:rsidTr="12F3CE6E">
        <w:trPr>
          <w:trHeight w:val="265"/>
        </w:trPr>
        <w:tc>
          <w:tcPr>
            <w:tcW w:w="4005" w:type="dxa"/>
            <w:tcBorders>
              <w:top w:val="nil"/>
              <w:left w:val="nil"/>
              <w:bottom w:val="nil"/>
              <w:right w:val="nil"/>
            </w:tcBorders>
            <w:vAlign w:val="center"/>
            <w:hideMark/>
          </w:tcPr>
          <w:p w14:paraId="2D96B6BC" w14:textId="5FB8C5D7" w:rsidR="00807D66" w:rsidRPr="000A13A9" w:rsidRDefault="00807D66" w:rsidP="00807D66">
            <w:pPr>
              <w:rPr>
                <w:rFonts w:ascii="Arial" w:hAnsi="Arial" w:cs="Arial"/>
                <w:b/>
                <w:bCs/>
                <w:i/>
                <w:iCs/>
                <w:color w:val="000000"/>
                <w:sz w:val="20"/>
                <w:szCs w:val="20"/>
                <w:highlight w:val="green"/>
              </w:rPr>
            </w:pPr>
            <w:r w:rsidRPr="60EF5B48">
              <w:rPr>
                <w:rFonts w:ascii="Arial" w:hAnsi="Arial" w:cs="Arial"/>
                <w:b/>
                <w:i/>
                <w:color w:val="000000" w:themeColor="text1"/>
                <w:sz w:val="20"/>
                <w:szCs w:val="20"/>
              </w:rPr>
              <w:t>Unsupported borrowing</w:t>
            </w:r>
          </w:p>
        </w:tc>
        <w:tc>
          <w:tcPr>
            <w:tcW w:w="1320" w:type="dxa"/>
            <w:tcBorders>
              <w:top w:val="nil"/>
              <w:left w:val="nil"/>
              <w:bottom w:val="nil"/>
              <w:right w:val="nil"/>
            </w:tcBorders>
            <w:noWrap/>
            <w:vAlign w:val="center"/>
            <w:hideMark/>
          </w:tcPr>
          <w:p w14:paraId="09ED0798" w14:textId="189DDCCD" w:rsidR="00807D66" w:rsidRPr="000A13A9" w:rsidRDefault="00807D66" w:rsidP="00807D66">
            <w:pPr>
              <w:rPr>
                <w:rFonts w:ascii="Arial" w:hAnsi="Arial" w:cs="Arial"/>
                <w:b/>
                <w:i/>
                <w:color w:val="000000"/>
                <w:sz w:val="20"/>
                <w:szCs w:val="20"/>
              </w:rPr>
            </w:pPr>
          </w:p>
        </w:tc>
        <w:tc>
          <w:tcPr>
            <w:tcW w:w="1320" w:type="dxa"/>
            <w:tcBorders>
              <w:top w:val="nil"/>
              <w:left w:val="nil"/>
              <w:bottom w:val="nil"/>
              <w:right w:val="nil"/>
            </w:tcBorders>
            <w:noWrap/>
            <w:vAlign w:val="center"/>
            <w:hideMark/>
          </w:tcPr>
          <w:p w14:paraId="6548F5A8" w14:textId="60A9A94F" w:rsidR="00807D66" w:rsidRPr="000A13A9" w:rsidRDefault="00807D66" w:rsidP="00807D66">
            <w:pPr>
              <w:jc w:val="right"/>
              <w:rPr>
                <w:sz w:val="20"/>
                <w:szCs w:val="20"/>
              </w:rPr>
            </w:pPr>
          </w:p>
        </w:tc>
        <w:tc>
          <w:tcPr>
            <w:tcW w:w="1290" w:type="dxa"/>
            <w:tcBorders>
              <w:top w:val="nil"/>
              <w:left w:val="nil"/>
              <w:bottom w:val="nil"/>
              <w:right w:val="nil"/>
            </w:tcBorders>
            <w:noWrap/>
            <w:vAlign w:val="center"/>
            <w:hideMark/>
          </w:tcPr>
          <w:p w14:paraId="3B052B03" w14:textId="24D4EEBA" w:rsidR="00807D66" w:rsidRPr="000A13A9" w:rsidRDefault="00807D66" w:rsidP="00807D66">
            <w:pPr>
              <w:jc w:val="right"/>
              <w:rPr>
                <w:sz w:val="20"/>
                <w:szCs w:val="20"/>
              </w:rPr>
            </w:pPr>
          </w:p>
        </w:tc>
        <w:tc>
          <w:tcPr>
            <w:tcW w:w="1320" w:type="dxa"/>
            <w:tcBorders>
              <w:top w:val="nil"/>
              <w:left w:val="nil"/>
              <w:bottom w:val="nil"/>
              <w:right w:val="nil"/>
            </w:tcBorders>
            <w:noWrap/>
            <w:vAlign w:val="center"/>
            <w:hideMark/>
          </w:tcPr>
          <w:p w14:paraId="504FEB07" w14:textId="188FFCBA" w:rsidR="00807D66" w:rsidRPr="000A13A9" w:rsidRDefault="00807D66" w:rsidP="00807D66">
            <w:pPr>
              <w:jc w:val="right"/>
              <w:rPr>
                <w:sz w:val="20"/>
                <w:szCs w:val="20"/>
              </w:rPr>
            </w:pPr>
          </w:p>
        </w:tc>
        <w:tc>
          <w:tcPr>
            <w:tcW w:w="1379" w:type="dxa"/>
            <w:tcBorders>
              <w:top w:val="nil"/>
              <w:left w:val="nil"/>
              <w:bottom w:val="nil"/>
              <w:right w:val="nil"/>
            </w:tcBorders>
            <w:vAlign w:val="center"/>
            <w:hideMark/>
          </w:tcPr>
          <w:p w14:paraId="24F85CB0" w14:textId="324F671C" w:rsidR="00807D66" w:rsidRPr="000A13A9" w:rsidRDefault="00807D66" w:rsidP="00807D66">
            <w:pPr>
              <w:jc w:val="right"/>
              <w:rPr>
                <w:sz w:val="20"/>
                <w:szCs w:val="20"/>
              </w:rPr>
            </w:pPr>
          </w:p>
        </w:tc>
        <w:tc>
          <w:tcPr>
            <w:tcW w:w="222" w:type="dxa"/>
            <w:vAlign w:val="center"/>
            <w:hideMark/>
          </w:tcPr>
          <w:p w14:paraId="67088A0D" w14:textId="77777777" w:rsidR="00807D66" w:rsidRPr="000A13A9" w:rsidRDefault="00807D66" w:rsidP="00807D66">
            <w:pPr>
              <w:rPr>
                <w:sz w:val="20"/>
                <w:szCs w:val="20"/>
                <w:highlight w:val="green"/>
              </w:rPr>
            </w:pPr>
          </w:p>
        </w:tc>
      </w:tr>
      <w:tr w:rsidR="002E2A51" w:rsidRPr="000A13A9" w14:paraId="0FE4E6F2" w14:textId="77777777" w:rsidTr="12F3CE6E">
        <w:trPr>
          <w:trHeight w:val="265"/>
        </w:trPr>
        <w:tc>
          <w:tcPr>
            <w:tcW w:w="4005" w:type="dxa"/>
            <w:tcBorders>
              <w:top w:val="nil"/>
              <w:left w:val="nil"/>
              <w:bottom w:val="nil"/>
              <w:right w:val="nil"/>
            </w:tcBorders>
            <w:vAlign w:val="center"/>
            <w:hideMark/>
          </w:tcPr>
          <w:p w14:paraId="4EB69593" w14:textId="3B2C6224" w:rsidR="00807D66" w:rsidRPr="000A13A9" w:rsidRDefault="00807D66" w:rsidP="00807D66">
            <w:pPr>
              <w:rPr>
                <w:rFonts w:ascii="Arial" w:hAnsi="Arial" w:cs="Arial"/>
                <w:color w:val="000000"/>
                <w:sz w:val="20"/>
                <w:szCs w:val="20"/>
                <w:highlight w:val="green"/>
              </w:rPr>
            </w:pPr>
            <w:r w:rsidRPr="60EF5B48">
              <w:rPr>
                <w:rFonts w:ascii="Arial" w:hAnsi="Arial" w:cs="Arial"/>
                <w:color w:val="000000" w:themeColor="text1"/>
                <w:sz w:val="20"/>
                <w:szCs w:val="20"/>
              </w:rPr>
              <w:t>Opening balance</w:t>
            </w:r>
          </w:p>
        </w:tc>
        <w:tc>
          <w:tcPr>
            <w:tcW w:w="1320" w:type="dxa"/>
            <w:tcBorders>
              <w:top w:val="nil"/>
              <w:left w:val="nil"/>
              <w:bottom w:val="nil"/>
              <w:right w:val="nil"/>
            </w:tcBorders>
            <w:noWrap/>
            <w:vAlign w:val="center"/>
            <w:hideMark/>
          </w:tcPr>
          <w:p w14:paraId="4D950576" w14:textId="12EDEA37" w:rsidR="00807D66" w:rsidRPr="000A13A9" w:rsidRDefault="00807D66" w:rsidP="00807D66">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1320" w:type="dxa"/>
            <w:tcBorders>
              <w:top w:val="nil"/>
              <w:left w:val="nil"/>
              <w:bottom w:val="nil"/>
              <w:right w:val="nil"/>
            </w:tcBorders>
            <w:noWrap/>
            <w:vAlign w:val="center"/>
            <w:hideMark/>
          </w:tcPr>
          <w:p w14:paraId="68FF70A2" w14:textId="4A7A9AC7" w:rsidR="00807D66" w:rsidRPr="000A13A9" w:rsidRDefault="00807D66" w:rsidP="00807D66">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1290" w:type="dxa"/>
            <w:tcBorders>
              <w:top w:val="nil"/>
              <w:left w:val="nil"/>
              <w:bottom w:val="nil"/>
              <w:right w:val="nil"/>
            </w:tcBorders>
            <w:noWrap/>
            <w:vAlign w:val="center"/>
            <w:hideMark/>
          </w:tcPr>
          <w:p w14:paraId="2A90DEDB" w14:textId="4B188827" w:rsidR="00807D66" w:rsidRPr="000A13A9" w:rsidRDefault="00807D66" w:rsidP="00807D66">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1320" w:type="dxa"/>
            <w:tcBorders>
              <w:top w:val="nil"/>
              <w:left w:val="nil"/>
              <w:bottom w:val="nil"/>
              <w:right w:val="nil"/>
            </w:tcBorders>
            <w:noWrap/>
            <w:vAlign w:val="center"/>
            <w:hideMark/>
          </w:tcPr>
          <w:p w14:paraId="12C22F88" w14:textId="0AD5A118" w:rsidR="00807D66" w:rsidRPr="000A13A9" w:rsidRDefault="00807D66" w:rsidP="00807D66">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1379" w:type="dxa"/>
            <w:tcBorders>
              <w:top w:val="nil"/>
              <w:left w:val="nil"/>
              <w:bottom w:val="nil"/>
              <w:right w:val="nil"/>
            </w:tcBorders>
            <w:noWrap/>
            <w:vAlign w:val="center"/>
            <w:hideMark/>
          </w:tcPr>
          <w:p w14:paraId="3EA6422F" w14:textId="5FF44F3C" w:rsidR="00807D66" w:rsidRPr="000A13A9" w:rsidRDefault="00807D66" w:rsidP="00807D66">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222" w:type="dxa"/>
            <w:vAlign w:val="center"/>
            <w:hideMark/>
          </w:tcPr>
          <w:p w14:paraId="0B45CD62" w14:textId="77777777" w:rsidR="00807D66" w:rsidRPr="000A13A9" w:rsidRDefault="00807D66" w:rsidP="00807D66">
            <w:pPr>
              <w:rPr>
                <w:sz w:val="20"/>
                <w:szCs w:val="20"/>
                <w:highlight w:val="green"/>
              </w:rPr>
            </w:pPr>
          </w:p>
        </w:tc>
      </w:tr>
      <w:tr w:rsidR="002E2A51" w:rsidRPr="000A13A9" w14:paraId="423C35B0" w14:textId="77777777" w:rsidTr="12F3CE6E">
        <w:trPr>
          <w:trHeight w:val="265"/>
        </w:trPr>
        <w:tc>
          <w:tcPr>
            <w:tcW w:w="4005" w:type="dxa"/>
            <w:tcBorders>
              <w:top w:val="nil"/>
              <w:left w:val="nil"/>
              <w:bottom w:val="nil"/>
              <w:right w:val="nil"/>
            </w:tcBorders>
            <w:vAlign w:val="center"/>
            <w:hideMark/>
          </w:tcPr>
          <w:p w14:paraId="5B7C8A2F" w14:textId="2ECF73F8" w:rsidR="00807D66" w:rsidRPr="000A13A9" w:rsidRDefault="00807D66" w:rsidP="00807D66">
            <w:pPr>
              <w:rPr>
                <w:rFonts w:ascii="Arial" w:hAnsi="Arial" w:cs="Arial"/>
                <w:color w:val="000000"/>
                <w:sz w:val="20"/>
                <w:szCs w:val="20"/>
                <w:highlight w:val="green"/>
              </w:rPr>
            </w:pPr>
            <w:r w:rsidRPr="60EF5B48">
              <w:rPr>
                <w:rFonts w:ascii="Arial" w:hAnsi="Arial" w:cs="Arial"/>
                <w:color w:val="000000" w:themeColor="text1"/>
                <w:sz w:val="20"/>
                <w:szCs w:val="20"/>
              </w:rPr>
              <w:t>Received in year</w:t>
            </w:r>
          </w:p>
        </w:tc>
        <w:tc>
          <w:tcPr>
            <w:tcW w:w="1320" w:type="dxa"/>
            <w:tcBorders>
              <w:top w:val="nil"/>
              <w:left w:val="nil"/>
              <w:bottom w:val="nil"/>
              <w:right w:val="nil"/>
            </w:tcBorders>
            <w:noWrap/>
            <w:vAlign w:val="center"/>
            <w:hideMark/>
          </w:tcPr>
          <w:p w14:paraId="53CE16B9" w14:textId="6C20906F" w:rsidR="00807D66" w:rsidRPr="00BC4373" w:rsidRDefault="03CCA72E" w:rsidP="00807D66">
            <w:pPr>
              <w:jc w:val="right"/>
              <w:rPr>
                <w:rFonts w:ascii="Arial" w:hAnsi="Arial" w:cs="Arial"/>
                <w:color w:val="000000"/>
                <w:sz w:val="20"/>
                <w:szCs w:val="20"/>
              </w:rPr>
            </w:pPr>
            <w:r w:rsidRPr="1C449EF2">
              <w:rPr>
                <w:rFonts w:ascii="Arial" w:hAnsi="Arial" w:cs="Arial"/>
                <w:color w:val="000000" w:themeColor="text1"/>
                <w:sz w:val="20"/>
                <w:szCs w:val="20"/>
              </w:rPr>
              <w:t>9</w:t>
            </w:r>
            <w:r w:rsidR="7BC96224" w:rsidRPr="1C449EF2">
              <w:rPr>
                <w:rFonts w:ascii="Arial" w:hAnsi="Arial" w:cs="Arial"/>
                <w:color w:val="000000" w:themeColor="text1"/>
                <w:sz w:val="20"/>
                <w:szCs w:val="20"/>
              </w:rPr>
              <w:t>41</w:t>
            </w:r>
            <w:r w:rsidR="458D0322" w:rsidRPr="1C449EF2">
              <w:rPr>
                <w:rFonts w:ascii="Arial" w:hAnsi="Arial" w:cs="Arial"/>
                <w:color w:val="000000" w:themeColor="text1"/>
                <w:sz w:val="20"/>
                <w:szCs w:val="20"/>
              </w:rPr>
              <w:t>,</w:t>
            </w:r>
            <w:r w:rsidR="745ED48C" w:rsidRPr="1C449EF2">
              <w:rPr>
                <w:rFonts w:ascii="Arial" w:hAnsi="Arial" w:cs="Arial"/>
                <w:color w:val="000000" w:themeColor="text1"/>
                <w:sz w:val="20"/>
                <w:szCs w:val="20"/>
              </w:rPr>
              <w:t>08</w:t>
            </w:r>
            <w:r w:rsidR="458D0322" w:rsidRPr="1C449EF2">
              <w:rPr>
                <w:rFonts w:ascii="Arial" w:hAnsi="Arial" w:cs="Arial"/>
                <w:color w:val="000000" w:themeColor="text1"/>
                <w:sz w:val="20"/>
                <w:szCs w:val="20"/>
              </w:rPr>
              <w:t>8</w:t>
            </w:r>
          </w:p>
        </w:tc>
        <w:tc>
          <w:tcPr>
            <w:tcW w:w="1320" w:type="dxa"/>
            <w:tcBorders>
              <w:top w:val="nil"/>
              <w:left w:val="nil"/>
              <w:bottom w:val="nil"/>
              <w:right w:val="nil"/>
            </w:tcBorders>
            <w:noWrap/>
            <w:vAlign w:val="center"/>
            <w:hideMark/>
          </w:tcPr>
          <w:p w14:paraId="244A9565" w14:textId="6913C19A" w:rsidR="00807D66" w:rsidRPr="00BC4373" w:rsidRDefault="00807D66" w:rsidP="00807D66">
            <w:pPr>
              <w:jc w:val="right"/>
              <w:rPr>
                <w:rFonts w:ascii="Arial" w:hAnsi="Arial" w:cs="Arial"/>
                <w:color w:val="000000"/>
                <w:sz w:val="20"/>
                <w:szCs w:val="20"/>
                <w:highlight w:val="yellow"/>
              </w:rPr>
            </w:pPr>
            <w:r w:rsidRPr="60EF5B48">
              <w:rPr>
                <w:rFonts w:ascii="Arial" w:hAnsi="Arial" w:cs="Arial"/>
                <w:color w:val="000000" w:themeColor="text1"/>
                <w:sz w:val="20"/>
                <w:szCs w:val="20"/>
              </w:rPr>
              <w:t>249,336</w:t>
            </w:r>
          </w:p>
        </w:tc>
        <w:tc>
          <w:tcPr>
            <w:tcW w:w="1290" w:type="dxa"/>
            <w:tcBorders>
              <w:top w:val="nil"/>
              <w:left w:val="nil"/>
              <w:bottom w:val="nil"/>
              <w:right w:val="nil"/>
            </w:tcBorders>
            <w:noWrap/>
            <w:vAlign w:val="center"/>
            <w:hideMark/>
          </w:tcPr>
          <w:p w14:paraId="5C520387" w14:textId="3F49C8BA" w:rsidR="00807D66" w:rsidRPr="00BC4373" w:rsidRDefault="00807D66" w:rsidP="00807D66">
            <w:pPr>
              <w:jc w:val="right"/>
              <w:rPr>
                <w:rFonts w:ascii="Arial" w:hAnsi="Arial" w:cs="Arial"/>
                <w:color w:val="000000"/>
                <w:sz w:val="20"/>
                <w:szCs w:val="20"/>
                <w:highlight w:val="yellow"/>
              </w:rPr>
            </w:pPr>
            <w:r w:rsidRPr="60EF5B48">
              <w:rPr>
                <w:rFonts w:ascii="Arial" w:hAnsi="Arial" w:cs="Arial"/>
                <w:color w:val="000000" w:themeColor="text1"/>
                <w:sz w:val="20"/>
                <w:szCs w:val="20"/>
              </w:rPr>
              <w:t>258,461</w:t>
            </w:r>
          </w:p>
        </w:tc>
        <w:tc>
          <w:tcPr>
            <w:tcW w:w="1320" w:type="dxa"/>
            <w:tcBorders>
              <w:top w:val="nil"/>
              <w:left w:val="nil"/>
              <w:bottom w:val="nil"/>
              <w:right w:val="nil"/>
            </w:tcBorders>
            <w:noWrap/>
            <w:vAlign w:val="center"/>
            <w:hideMark/>
          </w:tcPr>
          <w:p w14:paraId="515E48F4" w14:textId="38B143DE" w:rsidR="00807D66" w:rsidRPr="00BC4373" w:rsidRDefault="00807D66" w:rsidP="00807D66">
            <w:pPr>
              <w:jc w:val="right"/>
              <w:rPr>
                <w:rFonts w:ascii="Arial" w:hAnsi="Arial" w:cs="Arial"/>
                <w:color w:val="000000"/>
                <w:sz w:val="20"/>
                <w:szCs w:val="20"/>
                <w:highlight w:val="yellow"/>
              </w:rPr>
            </w:pPr>
            <w:r w:rsidRPr="60EF5B48">
              <w:rPr>
                <w:rFonts w:ascii="Arial" w:hAnsi="Arial" w:cs="Arial"/>
                <w:color w:val="000000" w:themeColor="text1"/>
                <w:sz w:val="20"/>
                <w:szCs w:val="20"/>
              </w:rPr>
              <w:t>200,000</w:t>
            </w:r>
          </w:p>
        </w:tc>
        <w:tc>
          <w:tcPr>
            <w:tcW w:w="1379" w:type="dxa"/>
            <w:tcBorders>
              <w:top w:val="nil"/>
              <w:left w:val="nil"/>
              <w:bottom w:val="nil"/>
              <w:right w:val="nil"/>
            </w:tcBorders>
            <w:noWrap/>
            <w:vAlign w:val="center"/>
            <w:hideMark/>
          </w:tcPr>
          <w:p w14:paraId="29219C99" w14:textId="5D9A30B5" w:rsidR="00807D66" w:rsidRPr="00BC4373" w:rsidRDefault="00807D66" w:rsidP="00807D66">
            <w:pPr>
              <w:jc w:val="right"/>
              <w:rPr>
                <w:rFonts w:ascii="Arial" w:hAnsi="Arial" w:cs="Arial"/>
                <w:color w:val="000000"/>
                <w:sz w:val="20"/>
                <w:szCs w:val="20"/>
                <w:highlight w:val="yellow"/>
              </w:rPr>
            </w:pPr>
            <w:r w:rsidRPr="60EF5B48">
              <w:rPr>
                <w:rFonts w:ascii="Arial" w:hAnsi="Arial" w:cs="Arial"/>
                <w:color w:val="000000" w:themeColor="text1"/>
                <w:sz w:val="20"/>
                <w:szCs w:val="20"/>
              </w:rPr>
              <w:t>200,000</w:t>
            </w:r>
          </w:p>
        </w:tc>
        <w:tc>
          <w:tcPr>
            <w:tcW w:w="222" w:type="dxa"/>
            <w:vAlign w:val="center"/>
            <w:hideMark/>
          </w:tcPr>
          <w:p w14:paraId="098158E6" w14:textId="77777777" w:rsidR="00807D66" w:rsidRPr="000A13A9" w:rsidRDefault="00807D66" w:rsidP="00807D66">
            <w:pPr>
              <w:rPr>
                <w:sz w:val="20"/>
                <w:szCs w:val="20"/>
                <w:highlight w:val="green"/>
              </w:rPr>
            </w:pPr>
          </w:p>
        </w:tc>
      </w:tr>
      <w:tr w:rsidR="002E2A51" w:rsidRPr="000A13A9" w14:paraId="19D57A02" w14:textId="77777777" w:rsidTr="12F3CE6E">
        <w:trPr>
          <w:trHeight w:val="265"/>
        </w:trPr>
        <w:tc>
          <w:tcPr>
            <w:tcW w:w="4005" w:type="dxa"/>
            <w:tcBorders>
              <w:top w:val="nil"/>
              <w:left w:val="nil"/>
              <w:bottom w:val="nil"/>
              <w:right w:val="nil"/>
            </w:tcBorders>
            <w:vAlign w:val="center"/>
            <w:hideMark/>
          </w:tcPr>
          <w:p w14:paraId="1AE47B61" w14:textId="1E62E4F7" w:rsidR="00807D66" w:rsidRPr="000A13A9" w:rsidRDefault="00807D66" w:rsidP="00807D66">
            <w:pPr>
              <w:rPr>
                <w:rFonts w:ascii="Arial" w:hAnsi="Arial" w:cs="Arial"/>
                <w:color w:val="000000"/>
                <w:sz w:val="20"/>
                <w:szCs w:val="20"/>
                <w:highlight w:val="green"/>
              </w:rPr>
            </w:pPr>
            <w:r w:rsidRPr="60EF5B48">
              <w:rPr>
                <w:rFonts w:ascii="Arial" w:hAnsi="Arial" w:cs="Arial"/>
                <w:color w:val="000000" w:themeColor="text1"/>
                <w:sz w:val="20"/>
                <w:szCs w:val="20"/>
              </w:rPr>
              <w:t>Used in financing</w:t>
            </w:r>
          </w:p>
        </w:tc>
        <w:tc>
          <w:tcPr>
            <w:tcW w:w="1320" w:type="dxa"/>
            <w:tcBorders>
              <w:top w:val="nil"/>
              <w:left w:val="nil"/>
              <w:bottom w:val="nil"/>
              <w:right w:val="nil"/>
            </w:tcBorders>
            <w:noWrap/>
            <w:vAlign w:val="center"/>
            <w:hideMark/>
          </w:tcPr>
          <w:p w14:paraId="4A5DF4EE" w14:textId="3EB36F63" w:rsidR="00807D66" w:rsidRPr="00BC4373" w:rsidRDefault="03CCA72E" w:rsidP="00807D66">
            <w:pPr>
              <w:jc w:val="right"/>
              <w:rPr>
                <w:rFonts w:ascii="Arial" w:hAnsi="Arial" w:cs="Arial"/>
                <w:color w:val="000000"/>
                <w:sz w:val="20"/>
                <w:szCs w:val="20"/>
                <w:highlight w:val="yellow"/>
              </w:rPr>
            </w:pPr>
            <w:r w:rsidRPr="1C449EF2">
              <w:rPr>
                <w:rFonts w:ascii="Arial" w:hAnsi="Arial" w:cs="Arial"/>
                <w:color w:val="000000" w:themeColor="text1"/>
                <w:sz w:val="20"/>
                <w:szCs w:val="20"/>
              </w:rPr>
              <w:t>(9</w:t>
            </w:r>
            <w:r w:rsidR="00069F7C" w:rsidRPr="1C449EF2">
              <w:rPr>
                <w:rFonts w:ascii="Arial" w:hAnsi="Arial" w:cs="Arial"/>
                <w:color w:val="000000" w:themeColor="text1"/>
                <w:sz w:val="20"/>
                <w:szCs w:val="20"/>
              </w:rPr>
              <w:t>41,08</w:t>
            </w:r>
            <w:r w:rsidR="458D0322" w:rsidRPr="1C449EF2">
              <w:rPr>
                <w:rFonts w:ascii="Arial" w:hAnsi="Arial" w:cs="Arial"/>
                <w:color w:val="000000" w:themeColor="text1"/>
                <w:sz w:val="20"/>
                <w:szCs w:val="20"/>
              </w:rPr>
              <w:t>8</w:t>
            </w:r>
            <w:r w:rsidRPr="1C449EF2">
              <w:rPr>
                <w:rFonts w:ascii="Arial" w:hAnsi="Arial" w:cs="Arial"/>
                <w:color w:val="000000" w:themeColor="text1"/>
                <w:sz w:val="20"/>
                <w:szCs w:val="20"/>
              </w:rPr>
              <w:t>)</w:t>
            </w:r>
          </w:p>
        </w:tc>
        <w:tc>
          <w:tcPr>
            <w:tcW w:w="1320" w:type="dxa"/>
            <w:tcBorders>
              <w:top w:val="nil"/>
              <w:left w:val="nil"/>
              <w:bottom w:val="nil"/>
              <w:right w:val="nil"/>
            </w:tcBorders>
            <w:noWrap/>
            <w:vAlign w:val="center"/>
            <w:hideMark/>
          </w:tcPr>
          <w:p w14:paraId="118A2D40" w14:textId="23EC608A" w:rsidR="00807D66" w:rsidRPr="00BC4373" w:rsidRDefault="00807D66" w:rsidP="00807D66">
            <w:pPr>
              <w:jc w:val="right"/>
              <w:rPr>
                <w:rFonts w:ascii="Arial" w:hAnsi="Arial" w:cs="Arial"/>
                <w:color w:val="000000"/>
                <w:sz w:val="20"/>
                <w:szCs w:val="20"/>
                <w:highlight w:val="yellow"/>
              </w:rPr>
            </w:pPr>
            <w:r w:rsidRPr="60EF5B48">
              <w:rPr>
                <w:rFonts w:ascii="Arial" w:hAnsi="Arial" w:cs="Arial"/>
                <w:color w:val="000000" w:themeColor="text1"/>
                <w:sz w:val="20"/>
                <w:szCs w:val="20"/>
              </w:rPr>
              <w:t>(249,336)</w:t>
            </w:r>
          </w:p>
        </w:tc>
        <w:tc>
          <w:tcPr>
            <w:tcW w:w="1290" w:type="dxa"/>
            <w:tcBorders>
              <w:top w:val="nil"/>
              <w:left w:val="nil"/>
              <w:bottom w:val="nil"/>
              <w:right w:val="nil"/>
            </w:tcBorders>
            <w:noWrap/>
            <w:vAlign w:val="center"/>
            <w:hideMark/>
          </w:tcPr>
          <w:p w14:paraId="7CF69B1B" w14:textId="7467BE5D" w:rsidR="00807D66" w:rsidRPr="00BC4373" w:rsidRDefault="00807D66" w:rsidP="00807D66">
            <w:pPr>
              <w:jc w:val="right"/>
              <w:rPr>
                <w:rFonts w:ascii="Arial" w:hAnsi="Arial" w:cs="Arial"/>
                <w:color w:val="000000"/>
                <w:sz w:val="20"/>
                <w:szCs w:val="20"/>
                <w:highlight w:val="yellow"/>
              </w:rPr>
            </w:pPr>
            <w:r w:rsidRPr="60EF5B48">
              <w:rPr>
                <w:rFonts w:ascii="Arial" w:hAnsi="Arial" w:cs="Arial"/>
                <w:color w:val="000000" w:themeColor="text1"/>
                <w:sz w:val="20"/>
                <w:szCs w:val="20"/>
              </w:rPr>
              <w:t>(258,461)</w:t>
            </w:r>
          </w:p>
        </w:tc>
        <w:tc>
          <w:tcPr>
            <w:tcW w:w="1320" w:type="dxa"/>
            <w:tcBorders>
              <w:top w:val="nil"/>
              <w:left w:val="nil"/>
              <w:bottom w:val="nil"/>
              <w:right w:val="nil"/>
            </w:tcBorders>
            <w:noWrap/>
            <w:vAlign w:val="center"/>
            <w:hideMark/>
          </w:tcPr>
          <w:p w14:paraId="1BA9571E" w14:textId="14126588" w:rsidR="00807D66" w:rsidRPr="00BC4373" w:rsidRDefault="00807D66" w:rsidP="00807D66">
            <w:pPr>
              <w:jc w:val="right"/>
              <w:rPr>
                <w:rFonts w:ascii="Arial" w:hAnsi="Arial" w:cs="Arial"/>
                <w:color w:val="000000"/>
                <w:sz w:val="20"/>
                <w:szCs w:val="20"/>
                <w:highlight w:val="yellow"/>
              </w:rPr>
            </w:pPr>
            <w:r w:rsidRPr="60EF5B48">
              <w:rPr>
                <w:rFonts w:ascii="Arial" w:hAnsi="Arial" w:cs="Arial"/>
                <w:color w:val="000000" w:themeColor="text1"/>
                <w:sz w:val="20"/>
                <w:szCs w:val="20"/>
              </w:rPr>
              <w:t>(200,000)</w:t>
            </w:r>
          </w:p>
        </w:tc>
        <w:tc>
          <w:tcPr>
            <w:tcW w:w="1379" w:type="dxa"/>
            <w:tcBorders>
              <w:top w:val="nil"/>
              <w:left w:val="nil"/>
              <w:bottom w:val="nil"/>
              <w:right w:val="nil"/>
            </w:tcBorders>
            <w:noWrap/>
            <w:vAlign w:val="center"/>
            <w:hideMark/>
          </w:tcPr>
          <w:p w14:paraId="4A7FDA90" w14:textId="5A278774" w:rsidR="00807D66" w:rsidRPr="00BC4373" w:rsidRDefault="00807D66" w:rsidP="00807D66">
            <w:pPr>
              <w:jc w:val="right"/>
              <w:rPr>
                <w:rFonts w:ascii="Arial" w:hAnsi="Arial" w:cs="Arial"/>
                <w:color w:val="000000"/>
                <w:sz w:val="20"/>
                <w:szCs w:val="20"/>
                <w:highlight w:val="yellow"/>
              </w:rPr>
            </w:pPr>
            <w:r w:rsidRPr="60EF5B48">
              <w:rPr>
                <w:rFonts w:ascii="Arial" w:hAnsi="Arial" w:cs="Arial"/>
                <w:color w:val="000000" w:themeColor="text1"/>
                <w:sz w:val="20"/>
                <w:szCs w:val="20"/>
              </w:rPr>
              <w:t>(200,000)</w:t>
            </w:r>
          </w:p>
        </w:tc>
        <w:tc>
          <w:tcPr>
            <w:tcW w:w="222" w:type="dxa"/>
            <w:vAlign w:val="center"/>
            <w:hideMark/>
          </w:tcPr>
          <w:p w14:paraId="25F096CA" w14:textId="77777777" w:rsidR="00807D66" w:rsidRPr="000A13A9" w:rsidRDefault="00807D66" w:rsidP="00807D66">
            <w:pPr>
              <w:rPr>
                <w:sz w:val="20"/>
                <w:szCs w:val="20"/>
                <w:highlight w:val="green"/>
              </w:rPr>
            </w:pPr>
          </w:p>
        </w:tc>
      </w:tr>
      <w:tr w:rsidR="002E2A51" w:rsidRPr="000A13A9" w14:paraId="429A287F" w14:textId="77777777" w:rsidTr="12F3CE6E">
        <w:trPr>
          <w:trHeight w:val="265"/>
        </w:trPr>
        <w:tc>
          <w:tcPr>
            <w:tcW w:w="4005" w:type="dxa"/>
            <w:tcBorders>
              <w:top w:val="nil"/>
              <w:left w:val="nil"/>
              <w:bottom w:val="nil"/>
              <w:right w:val="nil"/>
            </w:tcBorders>
            <w:vAlign w:val="center"/>
            <w:hideMark/>
          </w:tcPr>
          <w:p w14:paraId="2DB6622A" w14:textId="3471B6F5" w:rsidR="00807D66" w:rsidRPr="000A13A9" w:rsidRDefault="00807D66" w:rsidP="00807D66">
            <w:pPr>
              <w:rPr>
                <w:rFonts w:ascii="Arial" w:hAnsi="Arial" w:cs="Arial"/>
                <w:color w:val="000000"/>
                <w:sz w:val="20"/>
                <w:szCs w:val="20"/>
                <w:highlight w:val="green"/>
              </w:rPr>
            </w:pPr>
            <w:r w:rsidRPr="60EF5B48">
              <w:rPr>
                <w:rFonts w:ascii="Arial" w:hAnsi="Arial" w:cs="Arial"/>
                <w:color w:val="000000" w:themeColor="text1"/>
                <w:sz w:val="20"/>
                <w:szCs w:val="20"/>
              </w:rPr>
              <w:t>Closing balance</w:t>
            </w:r>
          </w:p>
        </w:tc>
        <w:tc>
          <w:tcPr>
            <w:tcW w:w="1320" w:type="dxa"/>
            <w:tcBorders>
              <w:top w:val="single" w:sz="4" w:space="0" w:color="auto"/>
              <w:left w:val="nil"/>
              <w:bottom w:val="single" w:sz="4" w:space="0" w:color="auto"/>
              <w:right w:val="nil"/>
            </w:tcBorders>
            <w:noWrap/>
            <w:vAlign w:val="center"/>
            <w:hideMark/>
          </w:tcPr>
          <w:p w14:paraId="48E0AB04" w14:textId="595CC66E" w:rsidR="00807D66" w:rsidRPr="000A13A9" w:rsidRDefault="00807D66" w:rsidP="00807D66">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1320" w:type="dxa"/>
            <w:tcBorders>
              <w:top w:val="single" w:sz="4" w:space="0" w:color="auto"/>
              <w:left w:val="nil"/>
              <w:bottom w:val="single" w:sz="4" w:space="0" w:color="auto"/>
              <w:right w:val="nil"/>
            </w:tcBorders>
            <w:noWrap/>
            <w:vAlign w:val="center"/>
            <w:hideMark/>
          </w:tcPr>
          <w:p w14:paraId="6E0D9669" w14:textId="2A7A8B8F" w:rsidR="00807D66" w:rsidRPr="000A13A9" w:rsidRDefault="00807D66" w:rsidP="00807D66">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1290" w:type="dxa"/>
            <w:tcBorders>
              <w:top w:val="single" w:sz="4" w:space="0" w:color="auto"/>
              <w:left w:val="nil"/>
              <w:bottom w:val="single" w:sz="4" w:space="0" w:color="auto"/>
              <w:right w:val="nil"/>
            </w:tcBorders>
            <w:noWrap/>
            <w:vAlign w:val="center"/>
            <w:hideMark/>
          </w:tcPr>
          <w:p w14:paraId="1A5031CF" w14:textId="7AE37613" w:rsidR="00807D66" w:rsidRPr="000A13A9" w:rsidRDefault="00807D66" w:rsidP="00807D66">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1320" w:type="dxa"/>
            <w:tcBorders>
              <w:top w:val="single" w:sz="4" w:space="0" w:color="auto"/>
              <w:left w:val="nil"/>
              <w:bottom w:val="single" w:sz="4" w:space="0" w:color="auto"/>
              <w:right w:val="nil"/>
            </w:tcBorders>
            <w:noWrap/>
            <w:vAlign w:val="center"/>
            <w:hideMark/>
          </w:tcPr>
          <w:p w14:paraId="119388D3" w14:textId="47C7272F" w:rsidR="00807D66" w:rsidRPr="000A13A9" w:rsidRDefault="00807D66" w:rsidP="00807D66">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1379" w:type="dxa"/>
            <w:tcBorders>
              <w:top w:val="single" w:sz="4" w:space="0" w:color="auto"/>
              <w:left w:val="nil"/>
              <w:bottom w:val="single" w:sz="4" w:space="0" w:color="auto"/>
              <w:right w:val="nil"/>
            </w:tcBorders>
            <w:noWrap/>
            <w:vAlign w:val="center"/>
            <w:hideMark/>
          </w:tcPr>
          <w:p w14:paraId="63F4CA16" w14:textId="092EF469" w:rsidR="00807D66" w:rsidRPr="000A13A9" w:rsidRDefault="00807D66" w:rsidP="00807D66">
            <w:pPr>
              <w:jc w:val="right"/>
              <w:rPr>
                <w:rFonts w:ascii="Arial" w:hAnsi="Arial" w:cs="Arial"/>
                <w:color w:val="000000"/>
                <w:sz w:val="20"/>
                <w:szCs w:val="20"/>
                <w:highlight w:val="green"/>
              </w:rPr>
            </w:pPr>
            <w:r w:rsidRPr="60EF5B48">
              <w:rPr>
                <w:rFonts w:ascii="Arial" w:hAnsi="Arial" w:cs="Arial"/>
                <w:color w:val="000000" w:themeColor="text1"/>
                <w:sz w:val="20"/>
                <w:szCs w:val="20"/>
              </w:rPr>
              <w:t>0</w:t>
            </w:r>
          </w:p>
        </w:tc>
        <w:tc>
          <w:tcPr>
            <w:tcW w:w="222" w:type="dxa"/>
            <w:vAlign w:val="center"/>
            <w:hideMark/>
          </w:tcPr>
          <w:p w14:paraId="40F99A1D" w14:textId="77777777" w:rsidR="00807D66" w:rsidRPr="000A13A9" w:rsidRDefault="00807D66" w:rsidP="00807D66">
            <w:pPr>
              <w:rPr>
                <w:sz w:val="20"/>
                <w:szCs w:val="20"/>
                <w:highlight w:val="green"/>
              </w:rPr>
            </w:pPr>
          </w:p>
        </w:tc>
      </w:tr>
      <w:tr w:rsidR="002E2A51" w:rsidRPr="000A13A9" w14:paraId="610203AE" w14:textId="77777777" w:rsidTr="12F3CE6E">
        <w:trPr>
          <w:trHeight w:val="265"/>
        </w:trPr>
        <w:tc>
          <w:tcPr>
            <w:tcW w:w="4005" w:type="dxa"/>
            <w:tcBorders>
              <w:top w:val="nil"/>
              <w:left w:val="nil"/>
              <w:bottom w:val="nil"/>
              <w:right w:val="nil"/>
            </w:tcBorders>
            <w:vAlign w:val="center"/>
            <w:hideMark/>
          </w:tcPr>
          <w:p w14:paraId="2F10616F" w14:textId="08DDAF8D" w:rsidR="00807D66" w:rsidRPr="000A13A9" w:rsidRDefault="00807D66" w:rsidP="00807D66">
            <w:pPr>
              <w:jc w:val="right"/>
              <w:rPr>
                <w:rFonts w:ascii="Arial" w:hAnsi="Arial" w:cs="Arial"/>
                <w:color w:val="000000"/>
                <w:sz w:val="20"/>
                <w:szCs w:val="20"/>
                <w:highlight w:val="green"/>
              </w:rPr>
            </w:pPr>
          </w:p>
        </w:tc>
        <w:tc>
          <w:tcPr>
            <w:tcW w:w="1320" w:type="dxa"/>
            <w:tcBorders>
              <w:top w:val="nil"/>
              <w:left w:val="nil"/>
              <w:bottom w:val="nil"/>
              <w:right w:val="nil"/>
            </w:tcBorders>
            <w:noWrap/>
            <w:vAlign w:val="center"/>
            <w:hideMark/>
          </w:tcPr>
          <w:p w14:paraId="2276BC3D" w14:textId="3F60497D" w:rsidR="00807D66" w:rsidRPr="000A13A9" w:rsidRDefault="00807D66" w:rsidP="00807D66">
            <w:pPr>
              <w:rPr>
                <w:sz w:val="20"/>
                <w:szCs w:val="20"/>
                <w:highlight w:val="green"/>
              </w:rPr>
            </w:pPr>
          </w:p>
        </w:tc>
        <w:tc>
          <w:tcPr>
            <w:tcW w:w="1320" w:type="dxa"/>
            <w:tcBorders>
              <w:top w:val="nil"/>
              <w:left w:val="nil"/>
              <w:bottom w:val="nil"/>
              <w:right w:val="nil"/>
            </w:tcBorders>
            <w:noWrap/>
            <w:vAlign w:val="center"/>
            <w:hideMark/>
          </w:tcPr>
          <w:p w14:paraId="40202CA1" w14:textId="5201F5CB" w:rsidR="00807D66" w:rsidRPr="000A13A9" w:rsidRDefault="00807D66" w:rsidP="00807D66">
            <w:pPr>
              <w:rPr>
                <w:sz w:val="20"/>
                <w:szCs w:val="20"/>
                <w:highlight w:val="green"/>
              </w:rPr>
            </w:pPr>
          </w:p>
        </w:tc>
        <w:tc>
          <w:tcPr>
            <w:tcW w:w="1290" w:type="dxa"/>
            <w:tcBorders>
              <w:top w:val="nil"/>
              <w:left w:val="nil"/>
              <w:bottom w:val="nil"/>
              <w:right w:val="nil"/>
            </w:tcBorders>
            <w:noWrap/>
            <w:vAlign w:val="center"/>
            <w:hideMark/>
          </w:tcPr>
          <w:p w14:paraId="2D5CE65E" w14:textId="3F5B0AA4" w:rsidR="00807D66" w:rsidRPr="000A13A9" w:rsidRDefault="00807D66" w:rsidP="00807D66">
            <w:pPr>
              <w:rPr>
                <w:sz w:val="20"/>
                <w:szCs w:val="20"/>
                <w:highlight w:val="green"/>
              </w:rPr>
            </w:pPr>
          </w:p>
        </w:tc>
        <w:tc>
          <w:tcPr>
            <w:tcW w:w="1320" w:type="dxa"/>
            <w:tcBorders>
              <w:top w:val="nil"/>
              <w:left w:val="nil"/>
              <w:bottom w:val="nil"/>
              <w:right w:val="nil"/>
            </w:tcBorders>
            <w:noWrap/>
            <w:vAlign w:val="center"/>
            <w:hideMark/>
          </w:tcPr>
          <w:p w14:paraId="5FFE81BB" w14:textId="389BB3AC" w:rsidR="00807D66" w:rsidRPr="000A13A9" w:rsidRDefault="00807D66" w:rsidP="00807D66">
            <w:pPr>
              <w:rPr>
                <w:sz w:val="20"/>
                <w:szCs w:val="20"/>
                <w:highlight w:val="green"/>
              </w:rPr>
            </w:pPr>
          </w:p>
        </w:tc>
        <w:tc>
          <w:tcPr>
            <w:tcW w:w="1379" w:type="dxa"/>
            <w:tcBorders>
              <w:top w:val="nil"/>
              <w:left w:val="nil"/>
              <w:bottom w:val="nil"/>
              <w:right w:val="nil"/>
            </w:tcBorders>
            <w:vAlign w:val="center"/>
            <w:hideMark/>
          </w:tcPr>
          <w:p w14:paraId="41C3DE1E" w14:textId="141A4E28" w:rsidR="00807D66" w:rsidRPr="000A13A9" w:rsidRDefault="00807D66" w:rsidP="00807D66">
            <w:pPr>
              <w:rPr>
                <w:sz w:val="20"/>
                <w:szCs w:val="20"/>
                <w:highlight w:val="green"/>
              </w:rPr>
            </w:pPr>
          </w:p>
        </w:tc>
        <w:tc>
          <w:tcPr>
            <w:tcW w:w="222" w:type="dxa"/>
            <w:vAlign w:val="center"/>
            <w:hideMark/>
          </w:tcPr>
          <w:p w14:paraId="122CF00E" w14:textId="77777777" w:rsidR="00807D66" w:rsidRPr="000A13A9" w:rsidRDefault="00807D66" w:rsidP="00807D66">
            <w:pPr>
              <w:rPr>
                <w:sz w:val="20"/>
                <w:szCs w:val="20"/>
                <w:highlight w:val="green"/>
              </w:rPr>
            </w:pPr>
          </w:p>
        </w:tc>
      </w:tr>
      <w:tr w:rsidR="002E2A51" w:rsidRPr="000A13A9" w14:paraId="5ACC6C13" w14:textId="77777777" w:rsidTr="12F3CE6E">
        <w:trPr>
          <w:trHeight w:val="265"/>
        </w:trPr>
        <w:tc>
          <w:tcPr>
            <w:tcW w:w="4005" w:type="dxa"/>
            <w:tcBorders>
              <w:top w:val="nil"/>
              <w:left w:val="nil"/>
              <w:bottom w:val="nil"/>
              <w:right w:val="nil"/>
            </w:tcBorders>
            <w:vAlign w:val="center"/>
            <w:hideMark/>
          </w:tcPr>
          <w:p w14:paraId="255405B3" w14:textId="4297FEDC" w:rsidR="00807D66" w:rsidRPr="000A13A9" w:rsidRDefault="00807D66" w:rsidP="00807D66">
            <w:pPr>
              <w:rPr>
                <w:rFonts w:ascii="Arial" w:hAnsi="Arial" w:cs="Arial"/>
                <w:b/>
                <w:bCs/>
                <w:color w:val="000000"/>
                <w:sz w:val="20"/>
                <w:szCs w:val="20"/>
                <w:highlight w:val="green"/>
              </w:rPr>
            </w:pPr>
            <w:r w:rsidRPr="60EF5B48">
              <w:rPr>
                <w:rFonts w:ascii="Arial" w:hAnsi="Arial" w:cs="Arial"/>
                <w:b/>
                <w:color w:val="000000" w:themeColor="text1"/>
                <w:sz w:val="20"/>
                <w:szCs w:val="20"/>
              </w:rPr>
              <w:t>Total Capital Funding Utilised</w:t>
            </w:r>
          </w:p>
        </w:tc>
        <w:tc>
          <w:tcPr>
            <w:tcW w:w="1320" w:type="dxa"/>
            <w:tcBorders>
              <w:top w:val="nil"/>
              <w:left w:val="nil"/>
              <w:bottom w:val="nil"/>
              <w:right w:val="nil"/>
            </w:tcBorders>
            <w:noWrap/>
            <w:vAlign w:val="center"/>
            <w:hideMark/>
          </w:tcPr>
          <w:p w14:paraId="236B758D" w14:textId="3492A916" w:rsidR="00807D66" w:rsidRPr="00613366" w:rsidRDefault="03CCA72E" w:rsidP="00807D66">
            <w:pPr>
              <w:jc w:val="right"/>
              <w:rPr>
                <w:rFonts w:ascii="Arial" w:hAnsi="Arial" w:cs="Arial"/>
                <w:b/>
                <w:color w:val="000000"/>
                <w:sz w:val="20"/>
                <w:szCs w:val="20"/>
              </w:rPr>
            </w:pPr>
            <w:r w:rsidRPr="1C449EF2">
              <w:rPr>
                <w:rFonts w:ascii="Arial" w:hAnsi="Arial" w:cs="Arial"/>
                <w:b/>
                <w:bCs/>
                <w:color w:val="000000" w:themeColor="text1"/>
                <w:sz w:val="20"/>
                <w:szCs w:val="20"/>
              </w:rPr>
              <w:t>6,5</w:t>
            </w:r>
            <w:r w:rsidR="0A8ABB23" w:rsidRPr="1C449EF2">
              <w:rPr>
                <w:rFonts w:ascii="Arial" w:hAnsi="Arial" w:cs="Arial"/>
                <w:b/>
                <w:bCs/>
                <w:color w:val="000000" w:themeColor="text1"/>
                <w:sz w:val="20"/>
                <w:szCs w:val="20"/>
              </w:rPr>
              <w:t>74,374</w:t>
            </w:r>
          </w:p>
        </w:tc>
        <w:tc>
          <w:tcPr>
            <w:tcW w:w="1320" w:type="dxa"/>
            <w:tcBorders>
              <w:top w:val="nil"/>
              <w:left w:val="nil"/>
              <w:bottom w:val="nil"/>
              <w:right w:val="nil"/>
            </w:tcBorders>
            <w:noWrap/>
            <w:vAlign w:val="center"/>
            <w:hideMark/>
          </w:tcPr>
          <w:p w14:paraId="6C896DAC" w14:textId="2CFAD1A8" w:rsidR="00807D66" w:rsidRPr="00613366" w:rsidRDefault="00807D66" w:rsidP="00807D66">
            <w:pPr>
              <w:jc w:val="right"/>
              <w:rPr>
                <w:rFonts w:ascii="Arial" w:hAnsi="Arial" w:cs="Arial"/>
                <w:b/>
                <w:bCs/>
                <w:color w:val="000000"/>
                <w:sz w:val="20"/>
                <w:szCs w:val="20"/>
                <w:highlight w:val="yellow"/>
              </w:rPr>
            </w:pPr>
            <w:r w:rsidRPr="60EF5B48">
              <w:rPr>
                <w:rFonts w:ascii="Arial" w:hAnsi="Arial" w:cs="Arial"/>
                <w:b/>
                <w:color w:val="000000" w:themeColor="text1"/>
                <w:sz w:val="20"/>
                <w:szCs w:val="20"/>
              </w:rPr>
              <w:t>1,306,517</w:t>
            </w:r>
          </w:p>
        </w:tc>
        <w:tc>
          <w:tcPr>
            <w:tcW w:w="1290" w:type="dxa"/>
            <w:tcBorders>
              <w:top w:val="nil"/>
              <w:left w:val="nil"/>
              <w:bottom w:val="nil"/>
              <w:right w:val="nil"/>
            </w:tcBorders>
            <w:noWrap/>
            <w:vAlign w:val="center"/>
            <w:hideMark/>
          </w:tcPr>
          <w:p w14:paraId="6F415C50" w14:textId="133A8B0C" w:rsidR="00807D66" w:rsidRPr="00613366" w:rsidRDefault="00807D66" w:rsidP="00807D66">
            <w:pPr>
              <w:jc w:val="right"/>
              <w:rPr>
                <w:rFonts w:ascii="Arial" w:hAnsi="Arial" w:cs="Arial"/>
                <w:b/>
                <w:bCs/>
                <w:color w:val="000000"/>
                <w:sz w:val="20"/>
                <w:szCs w:val="20"/>
                <w:highlight w:val="yellow"/>
              </w:rPr>
            </w:pPr>
            <w:r w:rsidRPr="60EF5B48">
              <w:rPr>
                <w:rFonts w:ascii="Arial" w:hAnsi="Arial" w:cs="Arial"/>
                <w:b/>
                <w:color w:val="000000" w:themeColor="text1"/>
                <w:sz w:val="20"/>
                <w:szCs w:val="20"/>
              </w:rPr>
              <w:t>1,315,642</w:t>
            </w:r>
          </w:p>
        </w:tc>
        <w:tc>
          <w:tcPr>
            <w:tcW w:w="1320" w:type="dxa"/>
            <w:tcBorders>
              <w:top w:val="nil"/>
              <w:left w:val="nil"/>
              <w:bottom w:val="nil"/>
              <w:right w:val="nil"/>
            </w:tcBorders>
            <w:noWrap/>
            <w:vAlign w:val="center"/>
            <w:hideMark/>
          </w:tcPr>
          <w:p w14:paraId="397F5A94" w14:textId="285E872F" w:rsidR="00807D66" w:rsidRPr="00613366" w:rsidRDefault="00807D66" w:rsidP="00807D66">
            <w:pPr>
              <w:jc w:val="right"/>
              <w:rPr>
                <w:rFonts w:ascii="Arial" w:hAnsi="Arial" w:cs="Arial"/>
                <w:b/>
                <w:bCs/>
                <w:color w:val="000000"/>
                <w:sz w:val="20"/>
                <w:szCs w:val="20"/>
                <w:highlight w:val="yellow"/>
              </w:rPr>
            </w:pPr>
            <w:r w:rsidRPr="60EF5B48">
              <w:rPr>
                <w:rFonts w:ascii="Arial" w:hAnsi="Arial" w:cs="Arial"/>
                <w:b/>
                <w:color w:val="000000" w:themeColor="text1"/>
                <w:sz w:val="20"/>
                <w:szCs w:val="20"/>
              </w:rPr>
              <w:t>1,257,181</w:t>
            </w:r>
          </w:p>
        </w:tc>
        <w:tc>
          <w:tcPr>
            <w:tcW w:w="1379" w:type="dxa"/>
            <w:tcBorders>
              <w:top w:val="nil"/>
              <w:left w:val="nil"/>
              <w:bottom w:val="nil"/>
              <w:right w:val="nil"/>
            </w:tcBorders>
            <w:noWrap/>
            <w:vAlign w:val="center"/>
            <w:hideMark/>
          </w:tcPr>
          <w:p w14:paraId="65C2C0CC" w14:textId="21C35B36" w:rsidR="00807D66" w:rsidRPr="00613366" w:rsidRDefault="00807D66" w:rsidP="00807D66">
            <w:pPr>
              <w:jc w:val="right"/>
              <w:rPr>
                <w:rFonts w:ascii="Arial" w:hAnsi="Arial" w:cs="Arial"/>
                <w:b/>
                <w:bCs/>
                <w:color w:val="000000"/>
                <w:sz w:val="20"/>
                <w:szCs w:val="20"/>
                <w:highlight w:val="yellow"/>
              </w:rPr>
            </w:pPr>
            <w:r w:rsidRPr="60EF5B48">
              <w:rPr>
                <w:rFonts w:ascii="Arial" w:hAnsi="Arial" w:cs="Arial"/>
                <w:b/>
                <w:color w:val="000000" w:themeColor="text1"/>
                <w:sz w:val="20"/>
                <w:szCs w:val="20"/>
              </w:rPr>
              <w:t>1,257,181</w:t>
            </w:r>
          </w:p>
        </w:tc>
        <w:tc>
          <w:tcPr>
            <w:tcW w:w="222" w:type="dxa"/>
            <w:vAlign w:val="center"/>
            <w:hideMark/>
          </w:tcPr>
          <w:p w14:paraId="7B6B3490" w14:textId="77777777" w:rsidR="00807D66" w:rsidRPr="000A13A9" w:rsidRDefault="00807D66" w:rsidP="00807D66">
            <w:pPr>
              <w:rPr>
                <w:sz w:val="20"/>
                <w:szCs w:val="20"/>
                <w:highlight w:val="green"/>
              </w:rPr>
            </w:pPr>
          </w:p>
        </w:tc>
      </w:tr>
      <w:tr w:rsidR="002E2A51" w:rsidRPr="000A13A9" w14:paraId="5D4F03D0" w14:textId="77777777" w:rsidTr="12F3CE6E">
        <w:trPr>
          <w:trHeight w:val="265"/>
        </w:trPr>
        <w:tc>
          <w:tcPr>
            <w:tcW w:w="4005" w:type="dxa"/>
            <w:tcBorders>
              <w:top w:val="nil"/>
              <w:left w:val="nil"/>
              <w:bottom w:val="nil"/>
              <w:right w:val="nil"/>
            </w:tcBorders>
            <w:vAlign w:val="center"/>
            <w:hideMark/>
          </w:tcPr>
          <w:p w14:paraId="6F5B072A" w14:textId="299A2C40" w:rsidR="00807D66" w:rsidRPr="000A13A9" w:rsidRDefault="00807D66" w:rsidP="00807D66">
            <w:pPr>
              <w:jc w:val="right"/>
              <w:rPr>
                <w:rFonts w:ascii="Arial" w:hAnsi="Arial" w:cs="Arial"/>
                <w:b/>
                <w:bCs/>
                <w:color w:val="000000"/>
                <w:sz w:val="20"/>
                <w:szCs w:val="20"/>
                <w:highlight w:val="green"/>
              </w:rPr>
            </w:pPr>
          </w:p>
        </w:tc>
        <w:tc>
          <w:tcPr>
            <w:tcW w:w="1320" w:type="dxa"/>
            <w:tcBorders>
              <w:top w:val="nil"/>
              <w:left w:val="nil"/>
              <w:bottom w:val="nil"/>
              <w:right w:val="nil"/>
            </w:tcBorders>
            <w:noWrap/>
            <w:vAlign w:val="center"/>
            <w:hideMark/>
          </w:tcPr>
          <w:p w14:paraId="122ED68A" w14:textId="0CB93C0A" w:rsidR="00807D66" w:rsidRPr="000A13A9" w:rsidRDefault="00807D66" w:rsidP="00807D66">
            <w:pPr>
              <w:rPr>
                <w:sz w:val="20"/>
                <w:szCs w:val="20"/>
                <w:highlight w:val="green"/>
              </w:rPr>
            </w:pPr>
          </w:p>
        </w:tc>
        <w:tc>
          <w:tcPr>
            <w:tcW w:w="1320" w:type="dxa"/>
            <w:tcBorders>
              <w:top w:val="nil"/>
              <w:left w:val="nil"/>
              <w:bottom w:val="nil"/>
              <w:right w:val="nil"/>
            </w:tcBorders>
            <w:noWrap/>
            <w:vAlign w:val="center"/>
            <w:hideMark/>
          </w:tcPr>
          <w:p w14:paraId="29E91E69" w14:textId="075AC845" w:rsidR="00807D66" w:rsidRPr="000A13A9" w:rsidRDefault="00807D66" w:rsidP="00807D66">
            <w:pPr>
              <w:rPr>
                <w:sz w:val="20"/>
                <w:szCs w:val="20"/>
                <w:highlight w:val="green"/>
              </w:rPr>
            </w:pPr>
          </w:p>
        </w:tc>
        <w:tc>
          <w:tcPr>
            <w:tcW w:w="1290" w:type="dxa"/>
            <w:tcBorders>
              <w:top w:val="nil"/>
              <w:left w:val="nil"/>
              <w:bottom w:val="nil"/>
              <w:right w:val="nil"/>
            </w:tcBorders>
            <w:noWrap/>
            <w:vAlign w:val="center"/>
            <w:hideMark/>
          </w:tcPr>
          <w:p w14:paraId="6F407769" w14:textId="10680237" w:rsidR="00807D66" w:rsidRPr="000A13A9" w:rsidRDefault="00807D66" w:rsidP="00807D66">
            <w:pPr>
              <w:rPr>
                <w:sz w:val="20"/>
                <w:szCs w:val="20"/>
                <w:highlight w:val="green"/>
              </w:rPr>
            </w:pPr>
          </w:p>
        </w:tc>
        <w:tc>
          <w:tcPr>
            <w:tcW w:w="1320" w:type="dxa"/>
            <w:tcBorders>
              <w:top w:val="nil"/>
              <w:left w:val="nil"/>
              <w:bottom w:val="nil"/>
              <w:right w:val="nil"/>
            </w:tcBorders>
            <w:noWrap/>
            <w:vAlign w:val="center"/>
            <w:hideMark/>
          </w:tcPr>
          <w:p w14:paraId="1731EC1C" w14:textId="1A10E31B" w:rsidR="00807D66" w:rsidRPr="000A13A9" w:rsidRDefault="00807D66" w:rsidP="00807D66">
            <w:pPr>
              <w:rPr>
                <w:sz w:val="20"/>
                <w:szCs w:val="20"/>
                <w:highlight w:val="green"/>
              </w:rPr>
            </w:pPr>
          </w:p>
        </w:tc>
        <w:tc>
          <w:tcPr>
            <w:tcW w:w="1379" w:type="dxa"/>
            <w:tcBorders>
              <w:top w:val="nil"/>
              <w:left w:val="nil"/>
              <w:bottom w:val="nil"/>
              <w:right w:val="nil"/>
            </w:tcBorders>
            <w:vAlign w:val="center"/>
            <w:hideMark/>
          </w:tcPr>
          <w:p w14:paraId="713BB67A" w14:textId="7BD46CE3" w:rsidR="00807D66" w:rsidRPr="000A13A9" w:rsidRDefault="00807D66" w:rsidP="00807D66">
            <w:pPr>
              <w:rPr>
                <w:sz w:val="20"/>
                <w:szCs w:val="20"/>
                <w:highlight w:val="green"/>
              </w:rPr>
            </w:pPr>
          </w:p>
        </w:tc>
        <w:tc>
          <w:tcPr>
            <w:tcW w:w="222" w:type="dxa"/>
            <w:vAlign w:val="center"/>
            <w:hideMark/>
          </w:tcPr>
          <w:p w14:paraId="1AD44B07" w14:textId="77777777" w:rsidR="00807D66" w:rsidRPr="000A13A9" w:rsidRDefault="00807D66" w:rsidP="00807D66">
            <w:pPr>
              <w:rPr>
                <w:sz w:val="20"/>
                <w:szCs w:val="20"/>
                <w:highlight w:val="green"/>
              </w:rPr>
            </w:pPr>
          </w:p>
        </w:tc>
      </w:tr>
      <w:tr w:rsidR="002E2A51" w:rsidRPr="000A13A9" w14:paraId="1EDEB181" w14:textId="77777777" w:rsidTr="12F3CE6E">
        <w:trPr>
          <w:trHeight w:val="265"/>
        </w:trPr>
        <w:tc>
          <w:tcPr>
            <w:tcW w:w="4005" w:type="dxa"/>
            <w:tcBorders>
              <w:top w:val="nil"/>
              <w:left w:val="nil"/>
              <w:bottom w:val="nil"/>
              <w:right w:val="nil"/>
            </w:tcBorders>
            <w:vAlign w:val="center"/>
            <w:hideMark/>
          </w:tcPr>
          <w:p w14:paraId="3B522C36" w14:textId="1BC059F4" w:rsidR="00807D66" w:rsidRPr="000A13A9" w:rsidRDefault="00807D66" w:rsidP="00807D66">
            <w:pPr>
              <w:rPr>
                <w:rFonts w:ascii="Arial" w:hAnsi="Arial" w:cs="Arial"/>
                <w:b/>
                <w:bCs/>
                <w:color w:val="000000"/>
                <w:sz w:val="20"/>
                <w:szCs w:val="20"/>
                <w:highlight w:val="green"/>
              </w:rPr>
            </w:pPr>
            <w:r w:rsidRPr="60EF5B48">
              <w:rPr>
                <w:rFonts w:ascii="Arial" w:hAnsi="Arial" w:cs="Arial"/>
                <w:b/>
                <w:color w:val="000000" w:themeColor="text1"/>
                <w:sz w:val="20"/>
                <w:szCs w:val="20"/>
              </w:rPr>
              <w:t>Available Resources c/f</w:t>
            </w:r>
          </w:p>
        </w:tc>
        <w:tc>
          <w:tcPr>
            <w:tcW w:w="1320" w:type="dxa"/>
            <w:tcBorders>
              <w:top w:val="single" w:sz="4" w:space="0" w:color="auto"/>
              <w:left w:val="nil"/>
              <w:bottom w:val="single" w:sz="4" w:space="0" w:color="auto"/>
              <w:right w:val="nil"/>
            </w:tcBorders>
            <w:noWrap/>
            <w:vAlign w:val="center"/>
            <w:hideMark/>
          </w:tcPr>
          <w:p w14:paraId="5A76F1CD" w14:textId="100E4CDB" w:rsidR="00807D66" w:rsidRPr="000A13A9" w:rsidRDefault="03CCA72E" w:rsidP="00807D66">
            <w:pPr>
              <w:jc w:val="right"/>
              <w:rPr>
                <w:rFonts w:ascii="Arial" w:hAnsi="Arial" w:cs="Arial"/>
                <w:b/>
                <w:bCs/>
                <w:color w:val="000000"/>
                <w:sz w:val="20"/>
                <w:szCs w:val="20"/>
                <w:highlight w:val="green"/>
              </w:rPr>
            </w:pPr>
            <w:r w:rsidRPr="1C449EF2">
              <w:rPr>
                <w:rFonts w:ascii="Arial" w:hAnsi="Arial" w:cs="Arial"/>
                <w:sz w:val="20"/>
                <w:szCs w:val="20"/>
              </w:rPr>
              <w:t>82</w:t>
            </w:r>
            <w:r w:rsidR="020EE6E2" w:rsidRPr="1C449EF2">
              <w:rPr>
                <w:rFonts w:ascii="Arial" w:hAnsi="Arial" w:cs="Arial"/>
                <w:sz w:val="20"/>
                <w:szCs w:val="20"/>
              </w:rPr>
              <w:t>6,07</w:t>
            </w:r>
            <w:r w:rsidR="00E8304B">
              <w:rPr>
                <w:rFonts w:ascii="Arial" w:hAnsi="Arial" w:cs="Arial"/>
                <w:sz w:val="20"/>
                <w:szCs w:val="20"/>
              </w:rPr>
              <w:t>5</w:t>
            </w:r>
          </w:p>
        </w:tc>
        <w:tc>
          <w:tcPr>
            <w:tcW w:w="1320" w:type="dxa"/>
            <w:tcBorders>
              <w:top w:val="single" w:sz="4" w:space="0" w:color="auto"/>
              <w:left w:val="nil"/>
              <w:bottom w:val="single" w:sz="4" w:space="0" w:color="auto"/>
              <w:right w:val="nil"/>
            </w:tcBorders>
            <w:noWrap/>
            <w:vAlign w:val="center"/>
            <w:hideMark/>
          </w:tcPr>
          <w:p w14:paraId="20272BAD" w14:textId="187D8BAC" w:rsidR="00807D66" w:rsidRPr="000A13A9" w:rsidRDefault="03CCA72E" w:rsidP="00807D66">
            <w:pPr>
              <w:jc w:val="right"/>
              <w:rPr>
                <w:rFonts w:ascii="Arial" w:hAnsi="Arial" w:cs="Arial"/>
                <w:sz w:val="20"/>
                <w:szCs w:val="20"/>
              </w:rPr>
            </w:pPr>
            <w:r w:rsidRPr="1C449EF2">
              <w:rPr>
                <w:rFonts w:ascii="Arial" w:hAnsi="Arial" w:cs="Arial"/>
                <w:sz w:val="20"/>
                <w:szCs w:val="20"/>
              </w:rPr>
              <w:t>1,83</w:t>
            </w:r>
            <w:r w:rsidR="14BBA9FF" w:rsidRPr="1C449EF2">
              <w:rPr>
                <w:rFonts w:ascii="Arial" w:hAnsi="Arial" w:cs="Arial"/>
                <w:sz w:val="20"/>
                <w:szCs w:val="20"/>
              </w:rPr>
              <w:t>4,43</w:t>
            </w:r>
            <w:r w:rsidR="00E8304B">
              <w:rPr>
                <w:rFonts w:ascii="Arial" w:hAnsi="Arial" w:cs="Arial"/>
                <w:sz w:val="20"/>
                <w:szCs w:val="20"/>
              </w:rPr>
              <w:t>4</w:t>
            </w:r>
          </w:p>
        </w:tc>
        <w:tc>
          <w:tcPr>
            <w:tcW w:w="1290" w:type="dxa"/>
            <w:tcBorders>
              <w:top w:val="single" w:sz="4" w:space="0" w:color="auto"/>
              <w:left w:val="nil"/>
              <w:bottom w:val="single" w:sz="4" w:space="0" w:color="auto"/>
              <w:right w:val="nil"/>
            </w:tcBorders>
            <w:noWrap/>
            <w:vAlign w:val="center"/>
            <w:hideMark/>
          </w:tcPr>
          <w:p w14:paraId="19C35C66" w14:textId="50BC9FB9" w:rsidR="00807D66" w:rsidRPr="000A13A9" w:rsidRDefault="14BBA9FF" w:rsidP="00807D66">
            <w:pPr>
              <w:jc w:val="right"/>
              <w:rPr>
                <w:rFonts w:ascii="Arial" w:hAnsi="Arial" w:cs="Arial"/>
                <w:sz w:val="20"/>
                <w:szCs w:val="20"/>
              </w:rPr>
            </w:pPr>
            <w:r w:rsidRPr="1C449EF2">
              <w:rPr>
                <w:rFonts w:ascii="Arial" w:hAnsi="Arial" w:cs="Arial"/>
                <w:sz w:val="20"/>
                <w:szCs w:val="20"/>
              </w:rPr>
              <w:t>1,834,43</w:t>
            </w:r>
            <w:r w:rsidR="00E8304B">
              <w:rPr>
                <w:rFonts w:ascii="Arial" w:hAnsi="Arial" w:cs="Arial"/>
                <w:sz w:val="20"/>
                <w:szCs w:val="20"/>
              </w:rPr>
              <w:t>4</w:t>
            </w:r>
          </w:p>
        </w:tc>
        <w:tc>
          <w:tcPr>
            <w:tcW w:w="1320" w:type="dxa"/>
            <w:tcBorders>
              <w:top w:val="single" w:sz="4" w:space="0" w:color="auto"/>
              <w:left w:val="nil"/>
              <w:bottom w:val="single" w:sz="4" w:space="0" w:color="auto"/>
              <w:right w:val="nil"/>
            </w:tcBorders>
            <w:noWrap/>
            <w:vAlign w:val="center"/>
            <w:hideMark/>
          </w:tcPr>
          <w:p w14:paraId="76BC72A5" w14:textId="4702860C" w:rsidR="00807D66" w:rsidRPr="000A13A9" w:rsidRDefault="14BBA9FF" w:rsidP="00807D66">
            <w:pPr>
              <w:jc w:val="right"/>
              <w:rPr>
                <w:rFonts w:ascii="Arial" w:hAnsi="Arial" w:cs="Arial"/>
                <w:sz w:val="20"/>
                <w:szCs w:val="20"/>
              </w:rPr>
            </w:pPr>
            <w:r w:rsidRPr="1C449EF2">
              <w:rPr>
                <w:rFonts w:ascii="Arial" w:hAnsi="Arial" w:cs="Arial"/>
                <w:sz w:val="20"/>
                <w:szCs w:val="20"/>
              </w:rPr>
              <w:t>1,834,43</w:t>
            </w:r>
            <w:r w:rsidR="00E8304B">
              <w:rPr>
                <w:rFonts w:ascii="Arial" w:hAnsi="Arial" w:cs="Arial"/>
                <w:sz w:val="20"/>
                <w:szCs w:val="20"/>
              </w:rPr>
              <w:t>4</w:t>
            </w:r>
          </w:p>
        </w:tc>
        <w:tc>
          <w:tcPr>
            <w:tcW w:w="1379" w:type="dxa"/>
            <w:tcBorders>
              <w:top w:val="single" w:sz="4" w:space="0" w:color="auto"/>
              <w:left w:val="nil"/>
              <w:bottom w:val="single" w:sz="4" w:space="0" w:color="auto"/>
              <w:right w:val="nil"/>
            </w:tcBorders>
            <w:noWrap/>
            <w:vAlign w:val="center"/>
            <w:hideMark/>
          </w:tcPr>
          <w:p w14:paraId="3687099F" w14:textId="32618C4E" w:rsidR="00807D66" w:rsidRPr="000A13A9" w:rsidRDefault="14BBA9FF" w:rsidP="00807D66">
            <w:pPr>
              <w:jc w:val="right"/>
              <w:rPr>
                <w:rFonts w:ascii="Arial" w:hAnsi="Arial" w:cs="Arial"/>
                <w:sz w:val="20"/>
                <w:szCs w:val="20"/>
              </w:rPr>
            </w:pPr>
            <w:r w:rsidRPr="1C449EF2">
              <w:rPr>
                <w:rFonts w:ascii="Arial" w:hAnsi="Arial" w:cs="Arial"/>
                <w:sz w:val="20"/>
                <w:szCs w:val="20"/>
              </w:rPr>
              <w:t>1,834,43</w:t>
            </w:r>
            <w:r w:rsidR="00E8304B">
              <w:rPr>
                <w:rFonts w:ascii="Arial" w:hAnsi="Arial" w:cs="Arial"/>
                <w:sz w:val="20"/>
                <w:szCs w:val="20"/>
              </w:rPr>
              <w:t>4</w:t>
            </w:r>
          </w:p>
        </w:tc>
        <w:tc>
          <w:tcPr>
            <w:tcW w:w="222" w:type="dxa"/>
            <w:vAlign w:val="center"/>
            <w:hideMark/>
          </w:tcPr>
          <w:p w14:paraId="7588DEF7" w14:textId="77777777" w:rsidR="00807D66" w:rsidRPr="000A13A9" w:rsidRDefault="00807D66" w:rsidP="00807D66">
            <w:pPr>
              <w:rPr>
                <w:sz w:val="20"/>
                <w:szCs w:val="20"/>
                <w:highlight w:val="green"/>
              </w:rPr>
            </w:pPr>
          </w:p>
        </w:tc>
      </w:tr>
    </w:tbl>
    <w:p w14:paraId="775C14E8" w14:textId="77777777" w:rsidR="00F47A82" w:rsidRPr="000A13A9" w:rsidRDefault="00F47A82">
      <w:pPr>
        <w:rPr>
          <w:rFonts w:ascii="Arial" w:hAnsi="Arial" w:cs="Arial"/>
          <w:highlight w:val="green"/>
        </w:rPr>
      </w:pPr>
    </w:p>
    <w:p w14:paraId="6CC67E84" w14:textId="77777777" w:rsidR="00961E97" w:rsidRPr="000A13A9" w:rsidRDefault="00961E97">
      <w:pPr>
        <w:rPr>
          <w:rFonts w:ascii="Arial" w:hAnsi="Arial" w:cs="Arial"/>
          <w:highlight w:val="green"/>
        </w:rPr>
      </w:pPr>
    </w:p>
    <w:p w14:paraId="445F2713" w14:textId="77777777" w:rsidR="00F47A82" w:rsidRPr="000A13A9" w:rsidRDefault="00F47A82">
      <w:pPr>
        <w:rPr>
          <w:rFonts w:ascii="Arial" w:hAnsi="Arial" w:cs="Arial"/>
          <w:highlight w:val="green"/>
        </w:rPr>
        <w:sectPr w:rsidR="00F47A82" w:rsidRPr="000A13A9" w:rsidSect="00963B6A">
          <w:headerReference w:type="default" r:id="rId31"/>
          <w:pgSz w:w="11906" w:h="16838" w:code="9"/>
          <w:pgMar w:top="1440" w:right="1106" w:bottom="1440" w:left="680" w:header="709" w:footer="709" w:gutter="0"/>
          <w:pgBorders w:offsetFrom="page">
            <w:bottom w:val="single" w:sz="4" w:space="24" w:color="auto"/>
          </w:pgBorders>
          <w:cols w:space="708"/>
          <w:docGrid w:linePitch="360"/>
        </w:sectPr>
      </w:pPr>
    </w:p>
    <w:tbl>
      <w:tblPr>
        <w:tblpPr w:leftFromText="180" w:rightFromText="180" w:vertAnchor="text" w:horzAnchor="margin" w:tblpXSpec="center" w:tblpY="97"/>
        <w:tblW w:w="11074" w:type="dxa"/>
        <w:tblLook w:val="04A0" w:firstRow="1" w:lastRow="0" w:firstColumn="1" w:lastColumn="0" w:noHBand="0" w:noVBand="1"/>
      </w:tblPr>
      <w:tblGrid>
        <w:gridCol w:w="229"/>
        <w:gridCol w:w="3315"/>
        <w:gridCol w:w="1538"/>
        <w:gridCol w:w="21"/>
        <w:gridCol w:w="1701"/>
        <w:gridCol w:w="18"/>
        <w:gridCol w:w="1542"/>
        <w:gridCol w:w="28"/>
        <w:gridCol w:w="1367"/>
        <w:gridCol w:w="22"/>
        <w:gridCol w:w="1276"/>
        <w:gridCol w:w="17"/>
      </w:tblGrid>
      <w:tr w:rsidR="00940C93" w:rsidRPr="007E659C" w14:paraId="6B6C0B46" w14:textId="77777777" w:rsidTr="1079040B">
        <w:trPr>
          <w:gridAfter w:val="11"/>
          <w:wAfter w:w="10845" w:type="dxa"/>
          <w:trHeight w:val="80"/>
        </w:trPr>
        <w:tc>
          <w:tcPr>
            <w:tcW w:w="229" w:type="dxa"/>
            <w:tcBorders>
              <w:top w:val="nil"/>
              <w:left w:val="nil"/>
              <w:bottom w:val="nil"/>
              <w:right w:val="nil"/>
            </w:tcBorders>
            <w:noWrap/>
            <w:vAlign w:val="bottom"/>
            <w:hideMark/>
          </w:tcPr>
          <w:p w14:paraId="06B51179" w14:textId="77777777" w:rsidR="003A1FA1" w:rsidRPr="007E659C" w:rsidRDefault="003A1FA1" w:rsidP="003A1FA1">
            <w:pPr>
              <w:jc w:val="center"/>
              <w:rPr>
                <w:rFonts w:ascii="Arial" w:hAnsi="Arial" w:cs="Arial"/>
                <w:b/>
                <w:bCs/>
                <w:color w:val="000000"/>
                <w:sz w:val="20"/>
                <w:szCs w:val="20"/>
                <w:highlight w:val="yellow"/>
              </w:rPr>
            </w:pPr>
          </w:p>
        </w:tc>
      </w:tr>
      <w:tr w:rsidR="00940C93" w:rsidRPr="007E659C" w14:paraId="552F43E5" w14:textId="77777777" w:rsidTr="1079040B">
        <w:trPr>
          <w:gridAfter w:val="1"/>
          <w:wAfter w:w="17" w:type="dxa"/>
          <w:trHeight w:val="479"/>
        </w:trPr>
        <w:tc>
          <w:tcPr>
            <w:tcW w:w="11057" w:type="dxa"/>
            <w:gridSpan w:val="11"/>
            <w:tcBorders>
              <w:top w:val="nil"/>
              <w:left w:val="nil"/>
              <w:bottom w:val="nil"/>
              <w:right w:val="nil"/>
            </w:tcBorders>
            <w:noWrap/>
            <w:vAlign w:val="bottom"/>
          </w:tcPr>
          <w:p w14:paraId="14395354" w14:textId="77777777" w:rsidR="005F512A" w:rsidRPr="00D80FBD" w:rsidRDefault="005F512A" w:rsidP="003A1FA1">
            <w:pPr>
              <w:jc w:val="center"/>
              <w:rPr>
                <w:rFonts w:ascii="Arial" w:hAnsi="Arial" w:cs="Arial"/>
                <w:b/>
                <w:bCs/>
                <w:color w:val="000000" w:themeColor="text1"/>
                <w:sz w:val="20"/>
                <w:szCs w:val="20"/>
              </w:rPr>
            </w:pPr>
          </w:p>
          <w:p w14:paraId="69387CD6" w14:textId="76B18B48" w:rsidR="005F512A" w:rsidRPr="00D80FBD" w:rsidRDefault="005F512A" w:rsidP="003A1FA1">
            <w:pPr>
              <w:jc w:val="center"/>
              <w:rPr>
                <w:rFonts w:ascii="Arial" w:hAnsi="Arial" w:cs="Arial"/>
                <w:b/>
                <w:bCs/>
                <w:color w:val="000000" w:themeColor="text1"/>
                <w:sz w:val="20"/>
                <w:szCs w:val="20"/>
              </w:rPr>
            </w:pPr>
            <w:r w:rsidRPr="00D80FBD">
              <w:rPr>
                <w:rFonts w:ascii="Arial" w:hAnsi="Arial" w:cs="Arial"/>
                <w:b/>
                <w:bCs/>
                <w:color w:val="000000" w:themeColor="text1"/>
                <w:sz w:val="20"/>
                <w:szCs w:val="20"/>
              </w:rPr>
              <w:t>HOUSING INVESTMENT PROGRAMME – 2026/27 to 2030/31</w:t>
            </w:r>
          </w:p>
          <w:p w14:paraId="6712BED1" w14:textId="6BFEE6C3" w:rsidR="005F512A" w:rsidRPr="00D80FBD" w:rsidRDefault="005F512A" w:rsidP="003A1FA1">
            <w:pPr>
              <w:jc w:val="center"/>
              <w:rPr>
                <w:rFonts w:ascii="Arial" w:hAnsi="Arial" w:cs="Arial"/>
                <w:b/>
                <w:bCs/>
                <w:color w:val="000000"/>
                <w:sz w:val="20"/>
                <w:szCs w:val="20"/>
              </w:rPr>
            </w:pPr>
          </w:p>
        </w:tc>
      </w:tr>
      <w:tr w:rsidR="00CA78ED" w:rsidRPr="007E659C" w14:paraId="236EE061" w14:textId="77777777" w:rsidTr="1079040B">
        <w:trPr>
          <w:trHeight w:val="230"/>
        </w:trPr>
        <w:tc>
          <w:tcPr>
            <w:tcW w:w="3544" w:type="dxa"/>
            <w:gridSpan w:val="2"/>
            <w:tcBorders>
              <w:top w:val="nil"/>
              <w:left w:val="nil"/>
              <w:bottom w:val="nil"/>
              <w:right w:val="nil"/>
            </w:tcBorders>
            <w:noWrap/>
            <w:vAlign w:val="center"/>
            <w:hideMark/>
          </w:tcPr>
          <w:p w14:paraId="2AF95EBD" w14:textId="77777777" w:rsidR="00B113C3" w:rsidRPr="00D80FBD" w:rsidRDefault="00B113C3" w:rsidP="00B113C3">
            <w:pPr>
              <w:rPr>
                <w:sz w:val="20"/>
                <w:szCs w:val="20"/>
              </w:rPr>
            </w:pPr>
          </w:p>
        </w:tc>
        <w:tc>
          <w:tcPr>
            <w:tcW w:w="1538" w:type="dxa"/>
            <w:tcBorders>
              <w:top w:val="nil"/>
              <w:left w:val="nil"/>
              <w:bottom w:val="nil"/>
              <w:right w:val="nil"/>
            </w:tcBorders>
            <w:noWrap/>
            <w:vAlign w:val="center"/>
            <w:hideMark/>
          </w:tcPr>
          <w:p w14:paraId="3BB43820" w14:textId="15479AFB" w:rsidR="00B113C3" w:rsidRPr="00D80FBD" w:rsidRDefault="00B113C3" w:rsidP="00B113C3">
            <w:pPr>
              <w:jc w:val="center"/>
              <w:rPr>
                <w:rFonts w:ascii="Arial" w:hAnsi="Arial" w:cs="Arial"/>
                <w:b/>
                <w:color w:val="000000"/>
                <w:sz w:val="20"/>
                <w:szCs w:val="20"/>
              </w:rPr>
            </w:pPr>
            <w:r w:rsidRPr="00D80FBD">
              <w:rPr>
                <w:rFonts w:ascii="Arial" w:hAnsi="Arial" w:cs="Arial"/>
                <w:b/>
                <w:color w:val="000000" w:themeColor="text1"/>
                <w:sz w:val="20"/>
                <w:szCs w:val="20"/>
              </w:rPr>
              <w:t>2026/27</w:t>
            </w:r>
          </w:p>
        </w:tc>
        <w:tc>
          <w:tcPr>
            <w:tcW w:w="1740" w:type="dxa"/>
            <w:gridSpan w:val="3"/>
            <w:tcBorders>
              <w:top w:val="nil"/>
              <w:left w:val="nil"/>
              <w:bottom w:val="nil"/>
              <w:right w:val="nil"/>
            </w:tcBorders>
            <w:noWrap/>
            <w:vAlign w:val="center"/>
            <w:hideMark/>
          </w:tcPr>
          <w:p w14:paraId="0BD9F7B3" w14:textId="6C765C38" w:rsidR="00B113C3" w:rsidRPr="00D80FBD" w:rsidRDefault="00B113C3" w:rsidP="00B113C3">
            <w:pPr>
              <w:jc w:val="center"/>
              <w:rPr>
                <w:rFonts w:ascii="Arial" w:hAnsi="Arial" w:cs="Arial"/>
                <w:b/>
                <w:color w:val="000000"/>
                <w:sz w:val="20"/>
                <w:szCs w:val="20"/>
              </w:rPr>
            </w:pPr>
            <w:r w:rsidRPr="00D80FBD">
              <w:rPr>
                <w:rFonts w:ascii="Arial" w:hAnsi="Arial" w:cs="Arial"/>
                <w:b/>
                <w:color w:val="000000" w:themeColor="text1"/>
                <w:sz w:val="20"/>
                <w:szCs w:val="20"/>
              </w:rPr>
              <w:t>2027/28</w:t>
            </w:r>
          </w:p>
        </w:tc>
        <w:tc>
          <w:tcPr>
            <w:tcW w:w="1570" w:type="dxa"/>
            <w:gridSpan w:val="2"/>
            <w:tcBorders>
              <w:top w:val="nil"/>
              <w:left w:val="nil"/>
              <w:bottom w:val="nil"/>
              <w:right w:val="nil"/>
            </w:tcBorders>
            <w:noWrap/>
            <w:vAlign w:val="center"/>
            <w:hideMark/>
          </w:tcPr>
          <w:p w14:paraId="440039DC" w14:textId="4B717570" w:rsidR="00B113C3" w:rsidRPr="00D80FBD" w:rsidRDefault="00B113C3" w:rsidP="00B113C3">
            <w:pPr>
              <w:jc w:val="center"/>
              <w:rPr>
                <w:rFonts w:ascii="Arial" w:hAnsi="Arial" w:cs="Arial"/>
                <w:b/>
                <w:color w:val="000000"/>
                <w:sz w:val="20"/>
                <w:szCs w:val="20"/>
              </w:rPr>
            </w:pPr>
            <w:r w:rsidRPr="00D80FBD">
              <w:rPr>
                <w:rFonts w:ascii="Arial" w:hAnsi="Arial" w:cs="Arial"/>
                <w:b/>
                <w:color w:val="000000" w:themeColor="text1"/>
                <w:sz w:val="20"/>
                <w:szCs w:val="20"/>
              </w:rPr>
              <w:t>2028/29</w:t>
            </w:r>
          </w:p>
        </w:tc>
        <w:tc>
          <w:tcPr>
            <w:tcW w:w="1367" w:type="dxa"/>
            <w:tcBorders>
              <w:top w:val="nil"/>
              <w:left w:val="nil"/>
              <w:bottom w:val="nil"/>
              <w:right w:val="nil"/>
            </w:tcBorders>
            <w:noWrap/>
            <w:vAlign w:val="center"/>
            <w:hideMark/>
          </w:tcPr>
          <w:p w14:paraId="57B890BA" w14:textId="2438F14C" w:rsidR="00B113C3" w:rsidRPr="00D80FBD" w:rsidRDefault="00B113C3" w:rsidP="00B113C3">
            <w:pPr>
              <w:jc w:val="center"/>
              <w:rPr>
                <w:rFonts w:ascii="Arial" w:hAnsi="Arial" w:cs="Arial"/>
                <w:b/>
                <w:color w:val="000000"/>
                <w:sz w:val="20"/>
                <w:szCs w:val="20"/>
              </w:rPr>
            </w:pPr>
            <w:r w:rsidRPr="00D80FBD">
              <w:rPr>
                <w:rFonts w:ascii="Arial" w:hAnsi="Arial" w:cs="Arial"/>
                <w:b/>
                <w:color w:val="000000" w:themeColor="text1"/>
                <w:sz w:val="20"/>
                <w:szCs w:val="20"/>
              </w:rPr>
              <w:t>2029/30</w:t>
            </w:r>
          </w:p>
        </w:tc>
        <w:tc>
          <w:tcPr>
            <w:tcW w:w="1315" w:type="dxa"/>
            <w:gridSpan w:val="3"/>
            <w:tcBorders>
              <w:top w:val="nil"/>
              <w:left w:val="nil"/>
              <w:bottom w:val="nil"/>
              <w:right w:val="nil"/>
            </w:tcBorders>
            <w:noWrap/>
            <w:vAlign w:val="center"/>
            <w:hideMark/>
          </w:tcPr>
          <w:p w14:paraId="5E95074F" w14:textId="51667FF2" w:rsidR="00B113C3" w:rsidRPr="00D80FBD" w:rsidRDefault="00B113C3" w:rsidP="00B113C3">
            <w:pPr>
              <w:jc w:val="center"/>
              <w:rPr>
                <w:rFonts w:ascii="Arial" w:hAnsi="Arial" w:cs="Arial"/>
                <w:b/>
                <w:color w:val="000000"/>
                <w:sz w:val="20"/>
                <w:szCs w:val="20"/>
              </w:rPr>
            </w:pPr>
            <w:r w:rsidRPr="00D80FBD">
              <w:rPr>
                <w:rFonts w:ascii="Arial" w:hAnsi="Arial" w:cs="Arial"/>
                <w:b/>
                <w:color w:val="000000" w:themeColor="text1"/>
                <w:sz w:val="20"/>
                <w:szCs w:val="20"/>
              </w:rPr>
              <w:t>2030/31</w:t>
            </w:r>
          </w:p>
        </w:tc>
      </w:tr>
      <w:tr w:rsidR="00CA78ED" w:rsidRPr="007E659C" w14:paraId="43D358B6" w14:textId="77777777" w:rsidTr="1079040B">
        <w:trPr>
          <w:trHeight w:val="230"/>
        </w:trPr>
        <w:tc>
          <w:tcPr>
            <w:tcW w:w="3544" w:type="dxa"/>
            <w:gridSpan w:val="2"/>
            <w:tcBorders>
              <w:top w:val="nil"/>
              <w:left w:val="nil"/>
              <w:bottom w:val="nil"/>
              <w:right w:val="nil"/>
            </w:tcBorders>
            <w:noWrap/>
            <w:vAlign w:val="center"/>
            <w:hideMark/>
          </w:tcPr>
          <w:p w14:paraId="6FA2ACF9" w14:textId="77777777" w:rsidR="003A1FA1" w:rsidRPr="00D80FBD" w:rsidRDefault="003A1FA1" w:rsidP="003A1FA1">
            <w:pPr>
              <w:jc w:val="center"/>
              <w:rPr>
                <w:rFonts w:ascii="Arial" w:hAnsi="Arial" w:cs="Arial"/>
                <w:b/>
                <w:color w:val="000000"/>
                <w:sz w:val="20"/>
                <w:szCs w:val="20"/>
              </w:rPr>
            </w:pPr>
          </w:p>
        </w:tc>
        <w:tc>
          <w:tcPr>
            <w:tcW w:w="1538" w:type="dxa"/>
            <w:tcBorders>
              <w:top w:val="nil"/>
              <w:left w:val="nil"/>
              <w:bottom w:val="nil"/>
              <w:right w:val="nil"/>
            </w:tcBorders>
            <w:noWrap/>
            <w:vAlign w:val="center"/>
            <w:hideMark/>
          </w:tcPr>
          <w:p w14:paraId="4ED2AE17" w14:textId="77777777" w:rsidR="003A1FA1" w:rsidRPr="00D80FBD" w:rsidRDefault="003A1FA1" w:rsidP="003A1FA1">
            <w:pPr>
              <w:jc w:val="center"/>
              <w:rPr>
                <w:rFonts w:ascii="Arial" w:hAnsi="Arial" w:cs="Arial"/>
                <w:b/>
                <w:color w:val="000000"/>
                <w:sz w:val="20"/>
                <w:szCs w:val="20"/>
              </w:rPr>
            </w:pPr>
            <w:r w:rsidRPr="00D80FBD">
              <w:rPr>
                <w:rFonts w:ascii="Arial" w:hAnsi="Arial" w:cs="Arial"/>
                <w:b/>
                <w:color w:val="000000" w:themeColor="text1"/>
                <w:sz w:val="20"/>
                <w:szCs w:val="20"/>
              </w:rPr>
              <w:t>Estimate</w:t>
            </w:r>
          </w:p>
        </w:tc>
        <w:tc>
          <w:tcPr>
            <w:tcW w:w="1740" w:type="dxa"/>
            <w:gridSpan w:val="3"/>
            <w:tcBorders>
              <w:top w:val="nil"/>
              <w:left w:val="nil"/>
              <w:bottom w:val="nil"/>
              <w:right w:val="nil"/>
            </w:tcBorders>
            <w:noWrap/>
            <w:vAlign w:val="center"/>
            <w:hideMark/>
          </w:tcPr>
          <w:p w14:paraId="036D75E9" w14:textId="77777777" w:rsidR="003A1FA1" w:rsidRPr="00D80FBD" w:rsidRDefault="003A1FA1" w:rsidP="003A1FA1">
            <w:pPr>
              <w:jc w:val="center"/>
              <w:rPr>
                <w:rFonts w:ascii="Arial" w:hAnsi="Arial" w:cs="Arial"/>
                <w:b/>
                <w:color w:val="000000"/>
                <w:sz w:val="20"/>
                <w:szCs w:val="20"/>
              </w:rPr>
            </w:pPr>
            <w:r w:rsidRPr="00D80FBD">
              <w:rPr>
                <w:rFonts w:ascii="Arial" w:hAnsi="Arial" w:cs="Arial"/>
                <w:b/>
                <w:color w:val="000000" w:themeColor="text1"/>
                <w:sz w:val="20"/>
                <w:szCs w:val="20"/>
              </w:rPr>
              <w:t>Estimate</w:t>
            </w:r>
          </w:p>
        </w:tc>
        <w:tc>
          <w:tcPr>
            <w:tcW w:w="1570" w:type="dxa"/>
            <w:gridSpan w:val="2"/>
            <w:tcBorders>
              <w:top w:val="nil"/>
              <w:left w:val="nil"/>
              <w:bottom w:val="nil"/>
              <w:right w:val="nil"/>
            </w:tcBorders>
            <w:noWrap/>
            <w:vAlign w:val="center"/>
            <w:hideMark/>
          </w:tcPr>
          <w:p w14:paraId="19511F0C" w14:textId="77777777" w:rsidR="003A1FA1" w:rsidRPr="00D80FBD" w:rsidRDefault="003A1FA1" w:rsidP="003A1FA1">
            <w:pPr>
              <w:jc w:val="center"/>
              <w:rPr>
                <w:rFonts w:ascii="Arial" w:hAnsi="Arial" w:cs="Arial"/>
                <w:b/>
                <w:color w:val="000000"/>
                <w:sz w:val="20"/>
                <w:szCs w:val="20"/>
              </w:rPr>
            </w:pPr>
            <w:r w:rsidRPr="00D80FBD">
              <w:rPr>
                <w:rFonts w:ascii="Arial" w:hAnsi="Arial" w:cs="Arial"/>
                <w:b/>
                <w:color w:val="000000" w:themeColor="text1"/>
                <w:sz w:val="20"/>
                <w:szCs w:val="20"/>
              </w:rPr>
              <w:t>Estimate</w:t>
            </w:r>
          </w:p>
        </w:tc>
        <w:tc>
          <w:tcPr>
            <w:tcW w:w="1367" w:type="dxa"/>
            <w:tcBorders>
              <w:top w:val="nil"/>
              <w:left w:val="nil"/>
              <w:bottom w:val="nil"/>
              <w:right w:val="nil"/>
            </w:tcBorders>
            <w:noWrap/>
            <w:vAlign w:val="center"/>
            <w:hideMark/>
          </w:tcPr>
          <w:p w14:paraId="5820DA10" w14:textId="77777777" w:rsidR="003A1FA1" w:rsidRPr="00D80FBD" w:rsidRDefault="003A1FA1" w:rsidP="003A1FA1">
            <w:pPr>
              <w:jc w:val="center"/>
              <w:rPr>
                <w:rFonts w:ascii="Arial" w:hAnsi="Arial" w:cs="Arial"/>
                <w:b/>
                <w:color w:val="000000"/>
                <w:sz w:val="20"/>
                <w:szCs w:val="20"/>
              </w:rPr>
            </w:pPr>
            <w:r w:rsidRPr="00D80FBD">
              <w:rPr>
                <w:rFonts w:ascii="Arial" w:hAnsi="Arial" w:cs="Arial"/>
                <w:b/>
                <w:color w:val="000000" w:themeColor="text1"/>
                <w:sz w:val="20"/>
                <w:szCs w:val="20"/>
              </w:rPr>
              <w:t>Estimate</w:t>
            </w:r>
          </w:p>
        </w:tc>
        <w:tc>
          <w:tcPr>
            <w:tcW w:w="1315" w:type="dxa"/>
            <w:gridSpan w:val="3"/>
            <w:tcBorders>
              <w:top w:val="nil"/>
              <w:left w:val="nil"/>
              <w:bottom w:val="nil"/>
              <w:right w:val="nil"/>
            </w:tcBorders>
            <w:noWrap/>
            <w:vAlign w:val="center"/>
            <w:hideMark/>
          </w:tcPr>
          <w:p w14:paraId="7F5A7552" w14:textId="77777777" w:rsidR="003A1FA1" w:rsidRPr="00D80FBD" w:rsidRDefault="003A1FA1" w:rsidP="003A1FA1">
            <w:pPr>
              <w:jc w:val="center"/>
              <w:rPr>
                <w:rFonts w:ascii="Arial" w:hAnsi="Arial" w:cs="Arial"/>
                <w:b/>
                <w:color w:val="000000"/>
                <w:sz w:val="20"/>
                <w:szCs w:val="20"/>
              </w:rPr>
            </w:pPr>
            <w:r w:rsidRPr="00D80FBD">
              <w:rPr>
                <w:rFonts w:ascii="Arial" w:hAnsi="Arial" w:cs="Arial"/>
                <w:b/>
                <w:color w:val="000000" w:themeColor="text1"/>
                <w:sz w:val="20"/>
                <w:szCs w:val="20"/>
              </w:rPr>
              <w:t>Estimate</w:t>
            </w:r>
          </w:p>
        </w:tc>
      </w:tr>
      <w:tr w:rsidR="00CA78ED" w:rsidRPr="007E659C" w14:paraId="67F93C4D" w14:textId="77777777" w:rsidTr="1079040B">
        <w:trPr>
          <w:trHeight w:val="271"/>
        </w:trPr>
        <w:tc>
          <w:tcPr>
            <w:tcW w:w="3544" w:type="dxa"/>
            <w:gridSpan w:val="2"/>
            <w:tcBorders>
              <w:top w:val="nil"/>
              <w:left w:val="nil"/>
              <w:bottom w:val="nil"/>
              <w:right w:val="nil"/>
            </w:tcBorders>
            <w:noWrap/>
            <w:vAlign w:val="center"/>
            <w:hideMark/>
          </w:tcPr>
          <w:p w14:paraId="1DFF25AC" w14:textId="77777777" w:rsidR="003A1FA1" w:rsidRPr="00D80FBD" w:rsidRDefault="003A1FA1" w:rsidP="003A1FA1">
            <w:pPr>
              <w:jc w:val="center"/>
              <w:rPr>
                <w:rFonts w:ascii="Arial" w:hAnsi="Arial" w:cs="Arial"/>
                <w:b/>
                <w:color w:val="000000"/>
                <w:sz w:val="20"/>
                <w:szCs w:val="20"/>
              </w:rPr>
            </w:pPr>
          </w:p>
        </w:tc>
        <w:tc>
          <w:tcPr>
            <w:tcW w:w="1538" w:type="dxa"/>
            <w:tcBorders>
              <w:top w:val="nil"/>
              <w:left w:val="nil"/>
              <w:bottom w:val="nil"/>
              <w:right w:val="nil"/>
            </w:tcBorders>
            <w:noWrap/>
            <w:vAlign w:val="center"/>
            <w:hideMark/>
          </w:tcPr>
          <w:p w14:paraId="6054EC02" w14:textId="77777777" w:rsidR="003A1FA1" w:rsidRPr="00D80FBD" w:rsidRDefault="003A1FA1" w:rsidP="003A1FA1">
            <w:pPr>
              <w:jc w:val="center"/>
              <w:rPr>
                <w:rFonts w:ascii="Arial" w:hAnsi="Arial" w:cs="Arial"/>
                <w:b/>
                <w:color w:val="000000"/>
                <w:sz w:val="20"/>
                <w:szCs w:val="20"/>
              </w:rPr>
            </w:pPr>
            <w:r w:rsidRPr="00D80FBD">
              <w:rPr>
                <w:rFonts w:ascii="Arial" w:hAnsi="Arial" w:cs="Arial"/>
                <w:b/>
                <w:color w:val="000000" w:themeColor="text1"/>
                <w:sz w:val="20"/>
                <w:szCs w:val="20"/>
              </w:rPr>
              <w:t>£</w:t>
            </w:r>
          </w:p>
        </w:tc>
        <w:tc>
          <w:tcPr>
            <w:tcW w:w="1740" w:type="dxa"/>
            <w:gridSpan w:val="3"/>
            <w:tcBorders>
              <w:top w:val="nil"/>
              <w:left w:val="nil"/>
              <w:bottom w:val="nil"/>
              <w:right w:val="nil"/>
            </w:tcBorders>
            <w:noWrap/>
            <w:vAlign w:val="center"/>
            <w:hideMark/>
          </w:tcPr>
          <w:p w14:paraId="34EEEF3B" w14:textId="77777777" w:rsidR="003A1FA1" w:rsidRPr="00D80FBD" w:rsidRDefault="003A1FA1" w:rsidP="003A1FA1">
            <w:pPr>
              <w:jc w:val="center"/>
              <w:rPr>
                <w:rFonts w:ascii="Arial" w:hAnsi="Arial" w:cs="Arial"/>
                <w:b/>
                <w:color w:val="000000"/>
                <w:sz w:val="20"/>
                <w:szCs w:val="20"/>
              </w:rPr>
            </w:pPr>
            <w:r w:rsidRPr="00D80FBD">
              <w:rPr>
                <w:rFonts w:ascii="Arial" w:hAnsi="Arial" w:cs="Arial"/>
                <w:b/>
                <w:color w:val="000000" w:themeColor="text1"/>
                <w:sz w:val="20"/>
                <w:szCs w:val="20"/>
              </w:rPr>
              <w:t>£</w:t>
            </w:r>
          </w:p>
        </w:tc>
        <w:tc>
          <w:tcPr>
            <w:tcW w:w="1570" w:type="dxa"/>
            <w:gridSpan w:val="2"/>
            <w:tcBorders>
              <w:top w:val="nil"/>
              <w:left w:val="nil"/>
              <w:bottom w:val="nil"/>
              <w:right w:val="nil"/>
            </w:tcBorders>
            <w:noWrap/>
            <w:vAlign w:val="center"/>
            <w:hideMark/>
          </w:tcPr>
          <w:p w14:paraId="4D5C707E" w14:textId="77777777" w:rsidR="003A1FA1" w:rsidRPr="00D80FBD" w:rsidRDefault="003A1FA1" w:rsidP="003A1FA1">
            <w:pPr>
              <w:jc w:val="center"/>
              <w:rPr>
                <w:rFonts w:ascii="Arial" w:hAnsi="Arial" w:cs="Arial"/>
                <w:b/>
                <w:color w:val="000000"/>
                <w:sz w:val="20"/>
                <w:szCs w:val="20"/>
              </w:rPr>
            </w:pPr>
            <w:r w:rsidRPr="00D80FBD">
              <w:rPr>
                <w:rFonts w:ascii="Arial" w:hAnsi="Arial" w:cs="Arial"/>
                <w:b/>
                <w:color w:val="000000" w:themeColor="text1"/>
                <w:sz w:val="20"/>
                <w:szCs w:val="20"/>
              </w:rPr>
              <w:t>£</w:t>
            </w:r>
          </w:p>
        </w:tc>
        <w:tc>
          <w:tcPr>
            <w:tcW w:w="1367" w:type="dxa"/>
            <w:tcBorders>
              <w:top w:val="nil"/>
              <w:left w:val="nil"/>
              <w:bottom w:val="nil"/>
              <w:right w:val="nil"/>
            </w:tcBorders>
            <w:noWrap/>
            <w:vAlign w:val="center"/>
            <w:hideMark/>
          </w:tcPr>
          <w:p w14:paraId="6E54653E" w14:textId="77777777" w:rsidR="003A1FA1" w:rsidRPr="00D80FBD" w:rsidRDefault="003A1FA1" w:rsidP="003A1FA1">
            <w:pPr>
              <w:jc w:val="center"/>
              <w:rPr>
                <w:rFonts w:ascii="Arial" w:hAnsi="Arial" w:cs="Arial"/>
                <w:b/>
                <w:color w:val="000000"/>
                <w:sz w:val="20"/>
                <w:szCs w:val="20"/>
              </w:rPr>
            </w:pPr>
            <w:r w:rsidRPr="00D80FBD">
              <w:rPr>
                <w:rFonts w:ascii="Arial" w:hAnsi="Arial" w:cs="Arial"/>
                <w:b/>
                <w:color w:val="000000" w:themeColor="text1"/>
                <w:sz w:val="20"/>
                <w:szCs w:val="20"/>
              </w:rPr>
              <w:t>£</w:t>
            </w:r>
          </w:p>
        </w:tc>
        <w:tc>
          <w:tcPr>
            <w:tcW w:w="1315" w:type="dxa"/>
            <w:gridSpan w:val="3"/>
            <w:tcBorders>
              <w:top w:val="nil"/>
              <w:left w:val="nil"/>
              <w:bottom w:val="nil"/>
              <w:right w:val="nil"/>
            </w:tcBorders>
            <w:noWrap/>
            <w:vAlign w:val="center"/>
            <w:hideMark/>
          </w:tcPr>
          <w:p w14:paraId="36BCE2B3" w14:textId="77777777" w:rsidR="003A1FA1" w:rsidRPr="00D80FBD" w:rsidRDefault="003A1FA1" w:rsidP="003A1FA1">
            <w:pPr>
              <w:jc w:val="center"/>
              <w:rPr>
                <w:rFonts w:ascii="Arial" w:hAnsi="Arial" w:cs="Arial"/>
                <w:b/>
                <w:color w:val="000000"/>
                <w:sz w:val="20"/>
                <w:szCs w:val="20"/>
              </w:rPr>
            </w:pPr>
            <w:r w:rsidRPr="00D80FBD">
              <w:rPr>
                <w:rFonts w:ascii="Arial" w:hAnsi="Arial" w:cs="Arial"/>
                <w:b/>
                <w:color w:val="000000" w:themeColor="text1"/>
                <w:sz w:val="20"/>
                <w:szCs w:val="20"/>
              </w:rPr>
              <w:t>£</w:t>
            </w:r>
          </w:p>
        </w:tc>
      </w:tr>
      <w:tr w:rsidR="00CA78ED" w:rsidRPr="007E659C" w14:paraId="25069BEC" w14:textId="77777777" w:rsidTr="1079040B">
        <w:trPr>
          <w:trHeight w:val="230"/>
        </w:trPr>
        <w:tc>
          <w:tcPr>
            <w:tcW w:w="3544" w:type="dxa"/>
            <w:gridSpan w:val="2"/>
            <w:tcBorders>
              <w:top w:val="nil"/>
              <w:left w:val="nil"/>
              <w:bottom w:val="nil"/>
              <w:right w:val="nil"/>
            </w:tcBorders>
            <w:noWrap/>
            <w:vAlign w:val="center"/>
            <w:hideMark/>
          </w:tcPr>
          <w:p w14:paraId="5F8B3C66" w14:textId="77777777" w:rsidR="003A1FA1" w:rsidRPr="00D80FBD" w:rsidRDefault="003A1FA1" w:rsidP="003A1FA1">
            <w:pPr>
              <w:rPr>
                <w:rFonts w:ascii="Arial" w:hAnsi="Arial" w:cs="Arial"/>
                <w:b/>
                <w:color w:val="000000"/>
                <w:sz w:val="20"/>
                <w:szCs w:val="20"/>
              </w:rPr>
            </w:pPr>
            <w:r w:rsidRPr="00D80FBD">
              <w:rPr>
                <w:rFonts w:ascii="Arial" w:hAnsi="Arial" w:cs="Arial"/>
                <w:b/>
                <w:color w:val="000000" w:themeColor="text1"/>
                <w:sz w:val="20"/>
                <w:szCs w:val="20"/>
              </w:rPr>
              <w:t>Capital Programme</w:t>
            </w:r>
          </w:p>
        </w:tc>
        <w:tc>
          <w:tcPr>
            <w:tcW w:w="1538" w:type="dxa"/>
            <w:tcBorders>
              <w:top w:val="nil"/>
              <w:left w:val="nil"/>
              <w:bottom w:val="nil"/>
              <w:right w:val="nil"/>
            </w:tcBorders>
            <w:noWrap/>
            <w:vAlign w:val="center"/>
            <w:hideMark/>
          </w:tcPr>
          <w:p w14:paraId="7B98FA81" w14:textId="77777777" w:rsidR="003A1FA1" w:rsidRPr="00D80FBD" w:rsidRDefault="003A1FA1" w:rsidP="003A1FA1">
            <w:pPr>
              <w:rPr>
                <w:rFonts w:ascii="Arial" w:hAnsi="Arial" w:cs="Arial"/>
                <w:b/>
                <w:color w:val="000000"/>
                <w:sz w:val="20"/>
                <w:szCs w:val="20"/>
              </w:rPr>
            </w:pPr>
          </w:p>
        </w:tc>
        <w:tc>
          <w:tcPr>
            <w:tcW w:w="1740" w:type="dxa"/>
            <w:gridSpan w:val="3"/>
            <w:tcBorders>
              <w:top w:val="nil"/>
              <w:left w:val="nil"/>
              <w:bottom w:val="nil"/>
              <w:right w:val="nil"/>
            </w:tcBorders>
            <w:noWrap/>
            <w:vAlign w:val="center"/>
            <w:hideMark/>
          </w:tcPr>
          <w:p w14:paraId="36CF24D2" w14:textId="77777777" w:rsidR="003A1FA1" w:rsidRPr="00D80FBD" w:rsidRDefault="003A1FA1" w:rsidP="003A1FA1">
            <w:pPr>
              <w:jc w:val="right"/>
              <w:rPr>
                <w:sz w:val="20"/>
                <w:szCs w:val="20"/>
              </w:rPr>
            </w:pPr>
          </w:p>
        </w:tc>
        <w:tc>
          <w:tcPr>
            <w:tcW w:w="1570" w:type="dxa"/>
            <w:gridSpan w:val="2"/>
            <w:tcBorders>
              <w:top w:val="nil"/>
              <w:left w:val="nil"/>
              <w:bottom w:val="nil"/>
              <w:right w:val="nil"/>
            </w:tcBorders>
            <w:noWrap/>
            <w:vAlign w:val="center"/>
            <w:hideMark/>
          </w:tcPr>
          <w:p w14:paraId="43C44CCD" w14:textId="77777777" w:rsidR="003A1FA1" w:rsidRPr="00D80FBD" w:rsidRDefault="003A1FA1" w:rsidP="003A1FA1">
            <w:pPr>
              <w:jc w:val="right"/>
              <w:rPr>
                <w:sz w:val="20"/>
                <w:szCs w:val="20"/>
              </w:rPr>
            </w:pPr>
          </w:p>
        </w:tc>
        <w:tc>
          <w:tcPr>
            <w:tcW w:w="1367" w:type="dxa"/>
            <w:tcBorders>
              <w:top w:val="nil"/>
              <w:left w:val="nil"/>
              <w:bottom w:val="nil"/>
              <w:right w:val="nil"/>
            </w:tcBorders>
            <w:noWrap/>
            <w:vAlign w:val="center"/>
            <w:hideMark/>
          </w:tcPr>
          <w:p w14:paraId="5CC33D5F" w14:textId="77777777" w:rsidR="003A1FA1" w:rsidRPr="00D80FBD" w:rsidRDefault="003A1FA1" w:rsidP="003A1FA1">
            <w:pPr>
              <w:jc w:val="right"/>
              <w:rPr>
                <w:sz w:val="20"/>
                <w:szCs w:val="20"/>
              </w:rPr>
            </w:pPr>
          </w:p>
        </w:tc>
        <w:tc>
          <w:tcPr>
            <w:tcW w:w="1315" w:type="dxa"/>
            <w:gridSpan w:val="3"/>
            <w:tcBorders>
              <w:top w:val="nil"/>
              <w:left w:val="nil"/>
              <w:bottom w:val="nil"/>
              <w:right w:val="nil"/>
            </w:tcBorders>
            <w:noWrap/>
            <w:vAlign w:val="center"/>
            <w:hideMark/>
          </w:tcPr>
          <w:p w14:paraId="49164ABD" w14:textId="77777777" w:rsidR="003A1FA1" w:rsidRPr="00D80FBD" w:rsidRDefault="003A1FA1" w:rsidP="003A1FA1">
            <w:pPr>
              <w:jc w:val="right"/>
              <w:rPr>
                <w:sz w:val="20"/>
                <w:szCs w:val="20"/>
              </w:rPr>
            </w:pPr>
          </w:p>
        </w:tc>
      </w:tr>
      <w:tr w:rsidR="00CA78ED" w:rsidRPr="007E659C" w14:paraId="79E23A9B" w14:textId="77777777" w:rsidTr="1079040B">
        <w:trPr>
          <w:trHeight w:val="230"/>
        </w:trPr>
        <w:tc>
          <w:tcPr>
            <w:tcW w:w="3544" w:type="dxa"/>
            <w:gridSpan w:val="2"/>
            <w:tcBorders>
              <w:top w:val="nil"/>
              <w:left w:val="nil"/>
              <w:bottom w:val="nil"/>
              <w:right w:val="nil"/>
            </w:tcBorders>
            <w:noWrap/>
            <w:vAlign w:val="center"/>
            <w:hideMark/>
          </w:tcPr>
          <w:p w14:paraId="09986742" w14:textId="77777777" w:rsidR="003A1FA1" w:rsidRPr="00D80FBD" w:rsidRDefault="003A1FA1" w:rsidP="003A1FA1">
            <w:pPr>
              <w:rPr>
                <w:rFonts w:ascii="Arial" w:hAnsi="Arial" w:cs="Arial"/>
                <w:color w:val="000000"/>
                <w:sz w:val="20"/>
                <w:szCs w:val="20"/>
              </w:rPr>
            </w:pPr>
            <w:r w:rsidRPr="00D80FBD">
              <w:rPr>
                <w:rFonts w:ascii="Arial" w:hAnsi="Arial" w:cs="Arial"/>
                <w:color w:val="000000" w:themeColor="text1"/>
                <w:sz w:val="20"/>
                <w:szCs w:val="20"/>
              </w:rPr>
              <w:t>Decent Homes</w:t>
            </w:r>
          </w:p>
        </w:tc>
        <w:tc>
          <w:tcPr>
            <w:tcW w:w="1538" w:type="dxa"/>
            <w:tcBorders>
              <w:top w:val="nil"/>
              <w:left w:val="nil"/>
              <w:bottom w:val="nil"/>
              <w:right w:val="nil"/>
            </w:tcBorders>
            <w:noWrap/>
            <w:vAlign w:val="center"/>
            <w:hideMark/>
          </w:tcPr>
          <w:p w14:paraId="36BDFD22" w14:textId="0C16B93E"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1</w:t>
            </w:r>
            <w:r w:rsidR="00514CD7" w:rsidRPr="00D80FBD">
              <w:rPr>
                <w:rFonts w:ascii="Arial" w:hAnsi="Arial" w:cs="Arial"/>
                <w:color w:val="000000" w:themeColor="text1"/>
                <w:sz w:val="20"/>
                <w:szCs w:val="20"/>
              </w:rPr>
              <w:t>5,046,975</w:t>
            </w:r>
          </w:p>
        </w:tc>
        <w:tc>
          <w:tcPr>
            <w:tcW w:w="1740" w:type="dxa"/>
            <w:gridSpan w:val="3"/>
            <w:tcBorders>
              <w:top w:val="nil"/>
              <w:left w:val="nil"/>
              <w:bottom w:val="nil"/>
              <w:right w:val="nil"/>
            </w:tcBorders>
            <w:noWrap/>
            <w:vAlign w:val="center"/>
            <w:hideMark/>
          </w:tcPr>
          <w:p w14:paraId="31A4D6FF" w14:textId="3A630531"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1</w:t>
            </w:r>
            <w:r w:rsidR="00480353" w:rsidRPr="00D80FBD">
              <w:rPr>
                <w:rFonts w:ascii="Arial" w:hAnsi="Arial" w:cs="Arial"/>
                <w:color w:val="000000" w:themeColor="text1"/>
                <w:sz w:val="20"/>
                <w:szCs w:val="20"/>
              </w:rPr>
              <w:t>0,861,137</w:t>
            </w:r>
          </w:p>
        </w:tc>
        <w:tc>
          <w:tcPr>
            <w:tcW w:w="1570" w:type="dxa"/>
            <w:gridSpan w:val="2"/>
            <w:tcBorders>
              <w:top w:val="nil"/>
              <w:left w:val="nil"/>
              <w:bottom w:val="nil"/>
              <w:right w:val="nil"/>
            </w:tcBorders>
            <w:noWrap/>
            <w:vAlign w:val="center"/>
            <w:hideMark/>
          </w:tcPr>
          <w:p w14:paraId="1BD8BFB8" w14:textId="137C2C0D" w:rsidR="003A1FA1" w:rsidRPr="00D80FBD" w:rsidRDefault="00F31568" w:rsidP="003A1FA1">
            <w:pPr>
              <w:jc w:val="right"/>
              <w:rPr>
                <w:rFonts w:ascii="Arial" w:hAnsi="Arial" w:cs="Arial"/>
                <w:color w:val="000000"/>
                <w:sz w:val="20"/>
                <w:szCs w:val="20"/>
              </w:rPr>
            </w:pPr>
            <w:r w:rsidRPr="00D80FBD">
              <w:rPr>
                <w:rFonts w:ascii="Arial" w:hAnsi="Arial" w:cs="Arial"/>
                <w:color w:val="000000" w:themeColor="text1"/>
                <w:sz w:val="20"/>
                <w:szCs w:val="20"/>
              </w:rPr>
              <w:t>9,</w:t>
            </w:r>
            <w:r w:rsidR="00514CD7" w:rsidRPr="00D80FBD">
              <w:rPr>
                <w:rFonts w:ascii="Arial" w:hAnsi="Arial" w:cs="Arial"/>
                <w:color w:val="000000" w:themeColor="text1"/>
                <w:sz w:val="20"/>
                <w:szCs w:val="20"/>
              </w:rPr>
              <w:t>854,289</w:t>
            </w:r>
          </w:p>
        </w:tc>
        <w:tc>
          <w:tcPr>
            <w:tcW w:w="1367" w:type="dxa"/>
            <w:tcBorders>
              <w:top w:val="nil"/>
              <w:left w:val="nil"/>
              <w:bottom w:val="nil"/>
              <w:right w:val="nil"/>
            </w:tcBorders>
            <w:noWrap/>
            <w:vAlign w:val="center"/>
            <w:hideMark/>
          </w:tcPr>
          <w:p w14:paraId="653FA978" w14:textId="3E63B496" w:rsidR="003A1FA1" w:rsidRPr="00D80FBD" w:rsidRDefault="00F31568" w:rsidP="003A1FA1">
            <w:pPr>
              <w:jc w:val="right"/>
              <w:rPr>
                <w:rFonts w:ascii="Arial" w:hAnsi="Arial" w:cs="Arial"/>
                <w:color w:val="000000"/>
                <w:sz w:val="20"/>
                <w:szCs w:val="20"/>
              </w:rPr>
            </w:pPr>
            <w:r w:rsidRPr="00D80FBD">
              <w:rPr>
                <w:rFonts w:ascii="Arial" w:hAnsi="Arial" w:cs="Arial"/>
                <w:color w:val="000000" w:themeColor="text1"/>
                <w:sz w:val="20"/>
                <w:szCs w:val="20"/>
              </w:rPr>
              <w:t>9</w:t>
            </w:r>
            <w:r w:rsidR="00514CD7" w:rsidRPr="00D80FBD">
              <w:rPr>
                <w:rFonts w:ascii="Arial" w:hAnsi="Arial" w:cs="Arial"/>
                <w:color w:val="000000" w:themeColor="text1"/>
                <w:sz w:val="20"/>
                <w:szCs w:val="20"/>
              </w:rPr>
              <w:t>,757,765</w:t>
            </w:r>
          </w:p>
        </w:tc>
        <w:tc>
          <w:tcPr>
            <w:tcW w:w="1315" w:type="dxa"/>
            <w:gridSpan w:val="3"/>
            <w:tcBorders>
              <w:top w:val="nil"/>
              <w:left w:val="nil"/>
              <w:bottom w:val="nil"/>
              <w:right w:val="nil"/>
            </w:tcBorders>
            <w:noWrap/>
            <w:vAlign w:val="center"/>
            <w:hideMark/>
          </w:tcPr>
          <w:p w14:paraId="56554034" w14:textId="6B191913"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9,</w:t>
            </w:r>
            <w:r w:rsidR="00F31568" w:rsidRPr="00D80FBD">
              <w:rPr>
                <w:rFonts w:ascii="Arial" w:hAnsi="Arial" w:cs="Arial"/>
                <w:color w:val="000000" w:themeColor="text1"/>
                <w:sz w:val="20"/>
                <w:szCs w:val="20"/>
              </w:rPr>
              <w:t>837,900</w:t>
            </w:r>
          </w:p>
        </w:tc>
      </w:tr>
      <w:tr w:rsidR="00CA78ED" w:rsidRPr="007E659C" w14:paraId="44E467E6" w14:textId="77777777" w:rsidTr="1079040B">
        <w:trPr>
          <w:trHeight w:val="230"/>
        </w:trPr>
        <w:tc>
          <w:tcPr>
            <w:tcW w:w="3544" w:type="dxa"/>
            <w:gridSpan w:val="2"/>
            <w:tcBorders>
              <w:top w:val="nil"/>
              <w:left w:val="nil"/>
              <w:bottom w:val="nil"/>
              <w:right w:val="nil"/>
            </w:tcBorders>
            <w:noWrap/>
            <w:vAlign w:val="center"/>
            <w:hideMark/>
          </w:tcPr>
          <w:p w14:paraId="76EF3761" w14:textId="77777777" w:rsidR="003A1FA1" w:rsidRPr="00D80FBD" w:rsidRDefault="003A1FA1" w:rsidP="003A1FA1">
            <w:pPr>
              <w:rPr>
                <w:rFonts w:ascii="Arial" w:hAnsi="Arial" w:cs="Arial"/>
                <w:color w:val="000000"/>
                <w:sz w:val="20"/>
                <w:szCs w:val="20"/>
              </w:rPr>
            </w:pPr>
            <w:r w:rsidRPr="00D80FBD">
              <w:rPr>
                <w:rFonts w:ascii="Arial" w:hAnsi="Arial" w:cs="Arial"/>
                <w:color w:val="000000" w:themeColor="text1"/>
                <w:sz w:val="20"/>
                <w:szCs w:val="20"/>
              </w:rPr>
              <w:t>Health and Safety</w:t>
            </w:r>
          </w:p>
        </w:tc>
        <w:tc>
          <w:tcPr>
            <w:tcW w:w="1538" w:type="dxa"/>
            <w:tcBorders>
              <w:top w:val="nil"/>
              <w:left w:val="nil"/>
              <w:bottom w:val="nil"/>
              <w:right w:val="nil"/>
            </w:tcBorders>
            <w:noWrap/>
            <w:vAlign w:val="center"/>
            <w:hideMark/>
          </w:tcPr>
          <w:p w14:paraId="522C73CE" w14:textId="18099845" w:rsidR="003A1FA1" w:rsidRPr="00D80FBD" w:rsidRDefault="003515AA" w:rsidP="003A1FA1">
            <w:pPr>
              <w:jc w:val="right"/>
              <w:rPr>
                <w:rFonts w:ascii="Arial" w:hAnsi="Arial" w:cs="Arial"/>
                <w:color w:val="000000"/>
                <w:sz w:val="20"/>
                <w:szCs w:val="20"/>
              </w:rPr>
            </w:pPr>
            <w:r w:rsidRPr="00D80FBD">
              <w:rPr>
                <w:rFonts w:ascii="Arial" w:hAnsi="Arial" w:cs="Arial"/>
                <w:color w:val="000000" w:themeColor="text1"/>
                <w:sz w:val="20"/>
                <w:szCs w:val="20"/>
              </w:rPr>
              <w:t>7</w:t>
            </w:r>
            <w:r w:rsidR="00514CD7" w:rsidRPr="00D80FBD">
              <w:rPr>
                <w:rFonts w:ascii="Arial" w:hAnsi="Arial" w:cs="Arial"/>
                <w:color w:val="000000" w:themeColor="text1"/>
                <w:sz w:val="20"/>
                <w:szCs w:val="20"/>
              </w:rPr>
              <w:t>4</w:t>
            </w:r>
            <w:r w:rsidRPr="00D80FBD">
              <w:rPr>
                <w:rFonts w:ascii="Arial" w:hAnsi="Arial" w:cs="Arial"/>
                <w:color w:val="000000" w:themeColor="text1"/>
                <w:sz w:val="20"/>
                <w:szCs w:val="20"/>
              </w:rPr>
              <w:t>1,543</w:t>
            </w:r>
          </w:p>
        </w:tc>
        <w:tc>
          <w:tcPr>
            <w:tcW w:w="1740" w:type="dxa"/>
            <w:gridSpan w:val="3"/>
            <w:tcBorders>
              <w:top w:val="nil"/>
              <w:left w:val="nil"/>
              <w:bottom w:val="nil"/>
              <w:right w:val="nil"/>
            </w:tcBorders>
            <w:noWrap/>
            <w:vAlign w:val="center"/>
            <w:hideMark/>
          </w:tcPr>
          <w:p w14:paraId="0E639183" w14:textId="3ECA517B"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6</w:t>
            </w:r>
            <w:r w:rsidR="00514CD7" w:rsidRPr="00D80FBD">
              <w:rPr>
                <w:rFonts w:ascii="Arial" w:hAnsi="Arial" w:cs="Arial"/>
                <w:color w:val="000000" w:themeColor="text1"/>
                <w:sz w:val="20"/>
                <w:szCs w:val="20"/>
              </w:rPr>
              <w:t>5</w:t>
            </w:r>
            <w:r w:rsidR="003515AA" w:rsidRPr="00D80FBD">
              <w:rPr>
                <w:rFonts w:ascii="Arial" w:hAnsi="Arial" w:cs="Arial"/>
                <w:color w:val="000000" w:themeColor="text1"/>
                <w:sz w:val="20"/>
                <w:szCs w:val="20"/>
              </w:rPr>
              <w:t>4,870</w:t>
            </w:r>
          </w:p>
        </w:tc>
        <w:tc>
          <w:tcPr>
            <w:tcW w:w="1570" w:type="dxa"/>
            <w:gridSpan w:val="2"/>
            <w:tcBorders>
              <w:top w:val="nil"/>
              <w:left w:val="nil"/>
              <w:bottom w:val="nil"/>
              <w:right w:val="nil"/>
            </w:tcBorders>
            <w:noWrap/>
            <w:vAlign w:val="center"/>
            <w:hideMark/>
          </w:tcPr>
          <w:p w14:paraId="1CD202BE" w14:textId="35083984"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6</w:t>
            </w:r>
            <w:r w:rsidR="00514CD7" w:rsidRPr="00D80FBD">
              <w:rPr>
                <w:rFonts w:ascii="Arial" w:hAnsi="Arial" w:cs="Arial"/>
                <w:color w:val="000000" w:themeColor="text1"/>
                <w:sz w:val="20"/>
                <w:szCs w:val="20"/>
              </w:rPr>
              <w:t>5</w:t>
            </w:r>
            <w:r w:rsidRPr="00D80FBD">
              <w:rPr>
                <w:rFonts w:ascii="Arial" w:hAnsi="Arial" w:cs="Arial"/>
                <w:color w:val="000000" w:themeColor="text1"/>
                <w:sz w:val="20"/>
                <w:szCs w:val="20"/>
              </w:rPr>
              <w:t>4,870</w:t>
            </w:r>
          </w:p>
        </w:tc>
        <w:tc>
          <w:tcPr>
            <w:tcW w:w="1367" w:type="dxa"/>
            <w:tcBorders>
              <w:top w:val="nil"/>
              <w:left w:val="nil"/>
              <w:bottom w:val="nil"/>
              <w:right w:val="nil"/>
            </w:tcBorders>
            <w:noWrap/>
            <w:vAlign w:val="center"/>
            <w:hideMark/>
          </w:tcPr>
          <w:p w14:paraId="3FBFF6AF" w14:textId="078FDCCA"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6</w:t>
            </w:r>
            <w:r w:rsidR="00514CD7" w:rsidRPr="00D80FBD">
              <w:rPr>
                <w:rFonts w:ascii="Arial" w:hAnsi="Arial" w:cs="Arial"/>
                <w:color w:val="000000" w:themeColor="text1"/>
                <w:sz w:val="20"/>
                <w:szCs w:val="20"/>
              </w:rPr>
              <w:t>5</w:t>
            </w:r>
            <w:r w:rsidRPr="00D80FBD">
              <w:rPr>
                <w:rFonts w:ascii="Arial" w:hAnsi="Arial" w:cs="Arial"/>
                <w:color w:val="000000" w:themeColor="text1"/>
                <w:sz w:val="20"/>
                <w:szCs w:val="20"/>
              </w:rPr>
              <w:t>4,870</w:t>
            </w:r>
          </w:p>
        </w:tc>
        <w:tc>
          <w:tcPr>
            <w:tcW w:w="1315" w:type="dxa"/>
            <w:gridSpan w:val="3"/>
            <w:tcBorders>
              <w:top w:val="nil"/>
              <w:left w:val="nil"/>
              <w:bottom w:val="nil"/>
              <w:right w:val="nil"/>
            </w:tcBorders>
            <w:noWrap/>
            <w:vAlign w:val="center"/>
            <w:hideMark/>
          </w:tcPr>
          <w:p w14:paraId="4267723D" w14:textId="766AF513"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6</w:t>
            </w:r>
            <w:r w:rsidR="00514CD7" w:rsidRPr="00D80FBD">
              <w:rPr>
                <w:rFonts w:ascii="Arial" w:hAnsi="Arial" w:cs="Arial"/>
                <w:color w:val="000000" w:themeColor="text1"/>
                <w:sz w:val="20"/>
                <w:szCs w:val="20"/>
              </w:rPr>
              <w:t>5</w:t>
            </w:r>
            <w:r w:rsidRPr="00D80FBD">
              <w:rPr>
                <w:rFonts w:ascii="Arial" w:hAnsi="Arial" w:cs="Arial"/>
                <w:color w:val="000000" w:themeColor="text1"/>
                <w:sz w:val="20"/>
                <w:szCs w:val="20"/>
              </w:rPr>
              <w:t>4,870</w:t>
            </w:r>
          </w:p>
        </w:tc>
      </w:tr>
      <w:tr w:rsidR="00CA78ED" w:rsidRPr="007E659C" w14:paraId="15DD4062" w14:textId="77777777" w:rsidTr="1079040B">
        <w:trPr>
          <w:trHeight w:val="230"/>
        </w:trPr>
        <w:tc>
          <w:tcPr>
            <w:tcW w:w="3544" w:type="dxa"/>
            <w:gridSpan w:val="2"/>
            <w:tcBorders>
              <w:top w:val="nil"/>
              <w:left w:val="nil"/>
              <w:bottom w:val="nil"/>
              <w:right w:val="nil"/>
            </w:tcBorders>
            <w:noWrap/>
            <w:vAlign w:val="center"/>
            <w:hideMark/>
          </w:tcPr>
          <w:p w14:paraId="0972B4E8" w14:textId="77777777" w:rsidR="003A1FA1" w:rsidRPr="00D80FBD" w:rsidRDefault="003A1FA1" w:rsidP="003A1FA1">
            <w:pPr>
              <w:rPr>
                <w:rFonts w:ascii="Arial" w:hAnsi="Arial" w:cs="Arial"/>
                <w:color w:val="000000"/>
                <w:sz w:val="20"/>
                <w:szCs w:val="20"/>
              </w:rPr>
            </w:pPr>
            <w:r w:rsidRPr="00D80FBD">
              <w:rPr>
                <w:rFonts w:ascii="Arial" w:hAnsi="Arial" w:cs="Arial"/>
                <w:color w:val="000000" w:themeColor="text1"/>
                <w:sz w:val="20"/>
                <w:szCs w:val="20"/>
              </w:rPr>
              <w:t>New build programme</w:t>
            </w:r>
          </w:p>
        </w:tc>
        <w:tc>
          <w:tcPr>
            <w:tcW w:w="1538" w:type="dxa"/>
            <w:tcBorders>
              <w:top w:val="nil"/>
              <w:left w:val="nil"/>
              <w:bottom w:val="nil"/>
              <w:right w:val="nil"/>
            </w:tcBorders>
            <w:noWrap/>
            <w:vAlign w:val="center"/>
            <w:hideMark/>
          </w:tcPr>
          <w:p w14:paraId="1092CD4D" w14:textId="78F6C06F" w:rsidR="003A1FA1" w:rsidRPr="00D80FBD" w:rsidRDefault="00B40107" w:rsidP="003A1FA1">
            <w:pPr>
              <w:jc w:val="right"/>
              <w:rPr>
                <w:rFonts w:ascii="Arial" w:hAnsi="Arial" w:cs="Arial"/>
                <w:color w:val="000000"/>
                <w:sz w:val="20"/>
                <w:szCs w:val="20"/>
              </w:rPr>
            </w:pPr>
            <w:r w:rsidRPr="00D80FBD">
              <w:rPr>
                <w:rFonts w:ascii="Arial" w:hAnsi="Arial" w:cs="Arial"/>
                <w:color w:val="000000" w:themeColor="text1"/>
                <w:sz w:val="20"/>
                <w:szCs w:val="20"/>
              </w:rPr>
              <w:t>8,816,246</w:t>
            </w:r>
          </w:p>
        </w:tc>
        <w:tc>
          <w:tcPr>
            <w:tcW w:w="1740" w:type="dxa"/>
            <w:gridSpan w:val="3"/>
            <w:tcBorders>
              <w:top w:val="nil"/>
              <w:left w:val="nil"/>
              <w:bottom w:val="nil"/>
              <w:right w:val="nil"/>
            </w:tcBorders>
            <w:noWrap/>
            <w:vAlign w:val="center"/>
            <w:hideMark/>
          </w:tcPr>
          <w:p w14:paraId="6ADAAC1B" w14:textId="29AEF185" w:rsidR="003A1FA1" w:rsidRPr="00D80FBD" w:rsidRDefault="00B40107" w:rsidP="003A1FA1">
            <w:pPr>
              <w:jc w:val="right"/>
              <w:rPr>
                <w:rFonts w:ascii="Arial" w:hAnsi="Arial" w:cs="Arial"/>
                <w:color w:val="000000"/>
                <w:sz w:val="20"/>
                <w:szCs w:val="20"/>
              </w:rPr>
            </w:pPr>
            <w:r w:rsidRPr="00D80FBD">
              <w:rPr>
                <w:rFonts w:ascii="Arial" w:hAnsi="Arial" w:cs="Arial"/>
                <w:color w:val="000000" w:themeColor="text1"/>
                <w:sz w:val="20"/>
                <w:szCs w:val="20"/>
              </w:rPr>
              <w:t>4,980,319</w:t>
            </w:r>
          </w:p>
        </w:tc>
        <w:tc>
          <w:tcPr>
            <w:tcW w:w="1570" w:type="dxa"/>
            <w:gridSpan w:val="2"/>
            <w:tcBorders>
              <w:top w:val="nil"/>
              <w:left w:val="nil"/>
              <w:bottom w:val="nil"/>
              <w:right w:val="nil"/>
            </w:tcBorders>
            <w:noWrap/>
            <w:vAlign w:val="center"/>
            <w:hideMark/>
          </w:tcPr>
          <w:p w14:paraId="62097D4B" w14:textId="78E151E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1,051,</w:t>
            </w:r>
            <w:r w:rsidR="007B40FA" w:rsidRPr="00D80FBD">
              <w:rPr>
                <w:rFonts w:ascii="Arial" w:hAnsi="Arial" w:cs="Arial"/>
                <w:color w:val="000000" w:themeColor="text1"/>
                <w:sz w:val="20"/>
                <w:szCs w:val="20"/>
              </w:rPr>
              <w:t>900</w:t>
            </w:r>
          </w:p>
        </w:tc>
        <w:tc>
          <w:tcPr>
            <w:tcW w:w="1367" w:type="dxa"/>
            <w:tcBorders>
              <w:top w:val="nil"/>
              <w:left w:val="nil"/>
              <w:bottom w:val="nil"/>
              <w:right w:val="nil"/>
            </w:tcBorders>
            <w:noWrap/>
            <w:vAlign w:val="center"/>
            <w:hideMark/>
          </w:tcPr>
          <w:p w14:paraId="21189F42" w14:textId="55F3808F"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1,052,</w:t>
            </w:r>
            <w:r w:rsidR="007B40FA" w:rsidRPr="00D80FBD">
              <w:rPr>
                <w:rFonts w:ascii="Arial" w:hAnsi="Arial" w:cs="Arial"/>
                <w:color w:val="000000" w:themeColor="text1"/>
                <w:sz w:val="20"/>
                <w:szCs w:val="20"/>
              </w:rPr>
              <w:t>940</w:t>
            </w:r>
          </w:p>
        </w:tc>
        <w:tc>
          <w:tcPr>
            <w:tcW w:w="1315" w:type="dxa"/>
            <w:gridSpan w:val="3"/>
            <w:tcBorders>
              <w:top w:val="nil"/>
              <w:left w:val="nil"/>
              <w:bottom w:val="nil"/>
              <w:right w:val="nil"/>
            </w:tcBorders>
            <w:noWrap/>
            <w:vAlign w:val="center"/>
            <w:hideMark/>
          </w:tcPr>
          <w:p w14:paraId="48A267DD" w14:textId="115ACF44"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1,053</w:t>
            </w:r>
            <w:r w:rsidR="007B40FA" w:rsidRPr="00D80FBD">
              <w:rPr>
                <w:rFonts w:ascii="Arial" w:hAnsi="Arial" w:cs="Arial"/>
                <w:color w:val="000000" w:themeColor="text1"/>
                <w:sz w:val="20"/>
                <w:szCs w:val="20"/>
              </w:rPr>
              <w:t>,980</w:t>
            </w:r>
          </w:p>
        </w:tc>
      </w:tr>
      <w:tr w:rsidR="00CA78ED" w:rsidRPr="007E659C" w14:paraId="4CDDBC83" w14:textId="77777777" w:rsidTr="1079040B">
        <w:trPr>
          <w:trHeight w:val="230"/>
        </w:trPr>
        <w:tc>
          <w:tcPr>
            <w:tcW w:w="3544" w:type="dxa"/>
            <w:gridSpan w:val="2"/>
            <w:tcBorders>
              <w:top w:val="nil"/>
              <w:left w:val="nil"/>
              <w:bottom w:val="nil"/>
              <w:right w:val="nil"/>
            </w:tcBorders>
            <w:noWrap/>
            <w:vAlign w:val="center"/>
            <w:hideMark/>
          </w:tcPr>
          <w:p w14:paraId="63FBB429" w14:textId="77777777" w:rsidR="003A1FA1" w:rsidRPr="00D80FBD" w:rsidRDefault="003A1FA1" w:rsidP="003A1FA1">
            <w:pPr>
              <w:rPr>
                <w:rFonts w:ascii="Arial" w:hAnsi="Arial" w:cs="Arial"/>
                <w:color w:val="000000"/>
                <w:sz w:val="20"/>
                <w:szCs w:val="20"/>
              </w:rPr>
            </w:pPr>
            <w:r w:rsidRPr="00D80FBD">
              <w:rPr>
                <w:rFonts w:ascii="Arial" w:hAnsi="Arial" w:cs="Arial"/>
                <w:color w:val="000000" w:themeColor="text1"/>
                <w:sz w:val="20"/>
                <w:szCs w:val="20"/>
              </w:rPr>
              <w:t>Lincoln Standard</w:t>
            </w:r>
          </w:p>
        </w:tc>
        <w:tc>
          <w:tcPr>
            <w:tcW w:w="1538" w:type="dxa"/>
            <w:tcBorders>
              <w:top w:val="nil"/>
              <w:left w:val="nil"/>
              <w:bottom w:val="nil"/>
              <w:right w:val="nil"/>
            </w:tcBorders>
            <w:noWrap/>
            <w:vAlign w:val="center"/>
            <w:hideMark/>
          </w:tcPr>
          <w:p w14:paraId="4A3B6A73" w14:textId="34E23FF7" w:rsidR="003A1FA1" w:rsidRPr="00D80FBD" w:rsidRDefault="00251124" w:rsidP="003A1FA1">
            <w:pPr>
              <w:jc w:val="right"/>
              <w:rPr>
                <w:rFonts w:ascii="Arial" w:hAnsi="Arial" w:cs="Arial"/>
                <w:color w:val="000000"/>
                <w:sz w:val="20"/>
                <w:szCs w:val="20"/>
              </w:rPr>
            </w:pPr>
            <w:r w:rsidRPr="00D80FBD">
              <w:rPr>
                <w:rFonts w:ascii="Arial" w:hAnsi="Arial" w:cs="Arial"/>
                <w:color w:val="000000" w:themeColor="text1"/>
                <w:sz w:val="20"/>
                <w:szCs w:val="20"/>
              </w:rPr>
              <w:t>50</w:t>
            </w:r>
            <w:r w:rsidR="003A1FA1" w:rsidRPr="00D80FBD">
              <w:rPr>
                <w:rFonts w:ascii="Arial" w:hAnsi="Arial" w:cs="Arial"/>
                <w:color w:val="000000" w:themeColor="text1"/>
                <w:sz w:val="20"/>
                <w:szCs w:val="20"/>
              </w:rPr>
              <w:t>,000</w:t>
            </w:r>
          </w:p>
        </w:tc>
        <w:tc>
          <w:tcPr>
            <w:tcW w:w="1740" w:type="dxa"/>
            <w:gridSpan w:val="3"/>
            <w:tcBorders>
              <w:top w:val="nil"/>
              <w:left w:val="nil"/>
              <w:bottom w:val="nil"/>
              <w:right w:val="nil"/>
            </w:tcBorders>
            <w:noWrap/>
            <w:vAlign w:val="center"/>
            <w:hideMark/>
          </w:tcPr>
          <w:p w14:paraId="646FAAA5" w14:textId="66BCACF0"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50,000</w:t>
            </w:r>
          </w:p>
        </w:tc>
        <w:tc>
          <w:tcPr>
            <w:tcW w:w="1570" w:type="dxa"/>
            <w:gridSpan w:val="2"/>
            <w:tcBorders>
              <w:top w:val="nil"/>
              <w:left w:val="nil"/>
              <w:bottom w:val="nil"/>
              <w:right w:val="nil"/>
            </w:tcBorders>
            <w:noWrap/>
            <w:vAlign w:val="center"/>
            <w:hideMark/>
          </w:tcPr>
          <w:p w14:paraId="2AF27939" w14:textId="6F43549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50,000</w:t>
            </w:r>
          </w:p>
        </w:tc>
        <w:tc>
          <w:tcPr>
            <w:tcW w:w="1367" w:type="dxa"/>
            <w:tcBorders>
              <w:top w:val="nil"/>
              <w:left w:val="nil"/>
              <w:bottom w:val="nil"/>
              <w:right w:val="nil"/>
            </w:tcBorders>
            <w:noWrap/>
            <w:vAlign w:val="center"/>
            <w:hideMark/>
          </w:tcPr>
          <w:p w14:paraId="33214E28" w14:textId="05112A28"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50,000</w:t>
            </w:r>
          </w:p>
        </w:tc>
        <w:tc>
          <w:tcPr>
            <w:tcW w:w="1315" w:type="dxa"/>
            <w:gridSpan w:val="3"/>
            <w:tcBorders>
              <w:top w:val="nil"/>
              <w:left w:val="nil"/>
              <w:bottom w:val="nil"/>
              <w:right w:val="nil"/>
            </w:tcBorders>
            <w:noWrap/>
            <w:vAlign w:val="center"/>
            <w:hideMark/>
          </w:tcPr>
          <w:p w14:paraId="1FC03531" w14:textId="7E8AF966"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50,000</w:t>
            </w:r>
          </w:p>
        </w:tc>
      </w:tr>
      <w:tr w:rsidR="00CA78ED" w:rsidRPr="007E659C" w14:paraId="2E361011" w14:textId="77777777" w:rsidTr="1079040B">
        <w:trPr>
          <w:trHeight w:val="230"/>
        </w:trPr>
        <w:tc>
          <w:tcPr>
            <w:tcW w:w="3544" w:type="dxa"/>
            <w:gridSpan w:val="2"/>
            <w:tcBorders>
              <w:top w:val="nil"/>
              <w:left w:val="nil"/>
              <w:bottom w:val="nil"/>
              <w:right w:val="nil"/>
            </w:tcBorders>
            <w:noWrap/>
            <w:vAlign w:val="center"/>
            <w:hideMark/>
          </w:tcPr>
          <w:p w14:paraId="7195DDE8" w14:textId="77777777" w:rsidR="003A1FA1" w:rsidRPr="00D80FBD" w:rsidRDefault="003A1FA1" w:rsidP="003A1FA1">
            <w:pPr>
              <w:rPr>
                <w:rFonts w:ascii="Arial" w:hAnsi="Arial" w:cs="Arial"/>
                <w:color w:val="000000"/>
                <w:sz w:val="20"/>
                <w:szCs w:val="20"/>
              </w:rPr>
            </w:pPr>
            <w:r w:rsidRPr="00D80FBD">
              <w:rPr>
                <w:rFonts w:ascii="Arial" w:hAnsi="Arial" w:cs="Arial"/>
                <w:color w:val="000000" w:themeColor="text1"/>
                <w:sz w:val="20"/>
                <w:szCs w:val="20"/>
              </w:rPr>
              <w:t>IT/Infrastructure</w:t>
            </w:r>
          </w:p>
        </w:tc>
        <w:tc>
          <w:tcPr>
            <w:tcW w:w="1538" w:type="dxa"/>
            <w:tcBorders>
              <w:top w:val="nil"/>
              <w:left w:val="nil"/>
              <w:bottom w:val="nil"/>
              <w:right w:val="nil"/>
            </w:tcBorders>
            <w:noWrap/>
            <w:vAlign w:val="center"/>
            <w:hideMark/>
          </w:tcPr>
          <w:p w14:paraId="1D6EF1D6" w14:textId="7091A94D"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1</w:t>
            </w:r>
            <w:r w:rsidR="0004499E" w:rsidRPr="00D80FBD">
              <w:rPr>
                <w:rFonts w:ascii="Arial" w:hAnsi="Arial" w:cs="Arial"/>
                <w:color w:val="000000" w:themeColor="text1"/>
                <w:sz w:val="20"/>
                <w:szCs w:val="20"/>
              </w:rPr>
              <w:t>66,920</w:t>
            </w:r>
          </w:p>
        </w:tc>
        <w:tc>
          <w:tcPr>
            <w:tcW w:w="1740" w:type="dxa"/>
            <w:gridSpan w:val="3"/>
            <w:tcBorders>
              <w:top w:val="nil"/>
              <w:left w:val="nil"/>
              <w:bottom w:val="nil"/>
              <w:right w:val="nil"/>
            </w:tcBorders>
            <w:noWrap/>
            <w:vAlign w:val="center"/>
            <w:hideMark/>
          </w:tcPr>
          <w:p w14:paraId="44406F97"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570" w:type="dxa"/>
            <w:gridSpan w:val="2"/>
            <w:tcBorders>
              <w:top w:val="nil"/>
              <w:left w:val="nil"/>
              <w:bottom w:val="nil"/>
              <w:right w:val="nil"/>
            </w:tcBorders>
            <w:noWrap/>
            <w:vAlign w:val="center"/>
            <w:hideMark/>
          </w:tcPr>
          <w:p w14:paraId="7705CD51"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367" w:type="dxa"/>
            <w:tcBorders>
              <w:top w:val="nil"/>
              <w:left w:val="nil"/>
              <w:bottom w:val="nil"/>
              <w:right w:val="nil"/>
            </w:tcBorders>
            <w:noWrap/>
            <w:vAlign w:val="center"/>
            <w:hideMark/>
          </w:tcPr>
          <w:p w14:paraId="34A297FC"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315" w:type="dxa"/>
            <w:gridSpan w:val="3"/>
            <w:tcBorders>
              <w:top w:val="nil"/>
              <w:left w:val="nil"/>
              <w:bottom w:val="nil"/>
              <w:right w:val="nil"/>
            </w:tcBorders>
            <w:noWrap/>
            <w:vAlign w:val="center"/>
            <w:hideMark/>
          </w:tcPr>
          <w:p w14:paraId="5CAD6640"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0</w:t>
            </w:r>
          </w:p>
        </w:tc>
      </w:tr>
      <w:tr w:rsidR="00CA78ED" w:rsidRPr="007E659C" w14:paraId="42765A44" w14:textId="77777777" w:rsidTr="1079040B">
        <w:trPr>
          <w:trHeight w:val="239"/>
        </w:trPr>
        <w:tc>
          <w:tcPr>
            <w:tcW w:w="3544" w:type="dxa"/>
            <w:gridSpan w:val="2"/>
            <w:tcBorders>
              <w:top w:val="nil"/>
              <w:left w:val="nil"/>
              <w:bottom w:val="nil"/>
              <w:right w:val="nil"/>
            </w:tcBorders>
            <w:noWrap/>
            <w:vAlign w:val="center"/>
            <w:hideMark/>
          </w:tcPr>
          <w:p w14:paraId="6B131C77" w14:textId="77777777" w:rsidR="003A1FA1" w:rsidRPr="00D80FBD" w:rsidRDefault="003A1FA1" w:rsidP="003A1FA1">
            <w:pPr>
              <w:rPr>
                <w:rFonts w:ascii="Arial" w:hAnsi="Arial" w:cs="Arial"/>
                <w:color w:val="000000"/>
                <w:sz w:val="20"/>
                <w:szCs w:val="20"/>
              </w:rPr>
            </w:pPr>
            <w:r w:rsidRPr="00D80FBD">
              <w:rPr>
                <w:rFonts w:ascii="Arial" w:hAnsi="Arial" w:cs="Arial"/>
                <w:color w:val="000000" w:themeColor="text1"/>
                <w:sz w:val="20"/>
                <w:szCs w:val="20"/>
              </w:rPr>
              <w:t>Other Current Developments</w:t>
            </w:r>
          </w:p>
        </w:tc>
        <w:tc>
          <w:tcPr>
            <w:tcW w:w="1538" w:type="dxa"/>
            <w:tcBorders>
              <w:top w:val="nil"/>
              <w:left w:val="nil"/>
              <w:bottom w:val="nil"/>
              <w:right w:val="nil"/>
            </w:tcBorders>
            <w:noWrap/>
            <w:vAlign w:val="center"/>
            <w:hideMark/>
          </w:tcPr>
          <w:p w14:paraId="5737EC3A" w14:textId="3966881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2,</w:t>
            </w:r>
            <w:r w:rsidR="00086865" w:rsidRPr="00D80FBD">
              <w:rPr>
                <w:rFonts w:ascii="Arial" w:hAnsi="Arial" w:cs="Arial"/>
                <w:color w:val="000000" w:themeColor="text1"/>
                <w:sz w:val="20"/>
                <w:szCs w:val="20"/>
              </w:rPr>
              <w:t>2</w:t>
            </w:r>
            <w:r w:rsidR="009A6DDB" w:rsidRPr="00D80FBD">
              <w:rPr>
                <w:rFonts w:ascii="Arial" w:hAnsi="Arial" w:cs="Arial"/>
                <w:color w:val="000000" w:themeColor="text1"/>
                <w:sz w:val="20"/>
                <w:szCs w:val="20"/>
              </w:rPr>
              <w:t>66,419</w:t>
            </w:r>
          </w:p>
        </w:tc>
        <w:tc>
          <w:tcPr>
            <w:tcW w:w="1740" w:type="dxa"/>
            <w:gridSpan w:val="3"/>
            <w:tcBorders>
              <w:top w:val="nil"/>
              <w:left w:val="nil"/>
              <w:bottom w:val="nil"/>
              <w:right w:val="nil"/>
            </w:tcBorders>
            <w:noWrap/>
            <w:vAlign w:val="center"/>
            <w:hideMark/>
          </w:tcPr>
          <w:p w14:paraId="176E5599" w14:textId="70152342" w:rsidR="003A1FA1" w:rsidRPr="00D80FBD" w:rsidRDefault="00514CD7" w:rsidP="003A1FA1">
            <w:pPr>
              <w:jc w:val="right"/>
              <w:rPr>
                <w:rFonts w:ascii="Arial" w:hAnsi="Arial" w:cs="Arial"/>
                <w:color w:val="000000"/>
                <w:sz w:val="20"/>
                <w:szCs w:val="20"/>
              </w:rPr>
            </w:pPr>
            <w:r w:rsidRPr="00D80FBD">
              <w:rPr>
                <w:rFonts w:ascii="Arial" w:hAnsi="Arial" w:cs="Arial"/>
                <w:color w:val="000000"/>
                <w:sz w:val="20"/>
                <w:szCs w:val="20"/>
              </w:rPr>
              <w:t>3,025,465</w:t>
            </w:r>
          </w:p>
        </w:tc>
        <w:tc>
          <w:tcPr>
            <w:tcW w:w="1570" w:type="dxa"/>
            <w:gridSpan w:val="2"/>
            <w:tcBorders>
              <w:top w:val="nil"/>
              <w:left w:val="nil"/>
              <w:bottom w:val="nil"/>
              <w:right w:val="nil"/>
            </w:tcBorders>
            <w:noWrap/>
            <w:vAlign w:val="center"/>
            <w:hideMark/>
          </w:tcPr>
          <w:p w14:paraId="7ED690F7" w14:textId="11B32976"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1,</w:t>
            </w:r>
            <w:r w:rsidR="00514CD7" w:rsidRPr="00D80FBD">
              <w:rPr>
                <w:rFonts w:ascii="Arial" w:hAnsi="Arial" w:cs="Arial"/>
                <w:color w:val="000000" w:themeColor="text1"/>
                <w:sz w:val="20"/>
                <w:szCs w:val="20"/>
              </w:rPr>
              <w:t>956,594</w:t>
            </w:r>
          </w:p>
        </w:tc>
        <w:tc>
          <w:tcPr>
            <w:tcW w:w="1367" w:type="dxa"/>
            <w:tcBorders>
              <w:top w:val="nil"/>
              <w:left w:val="nil"/>
              <w:bottom w:val="nil"/>
              <w:right w:val="nil"/>
            </w:tcBorders>
            <w:noWrap/>
            <w:vAlign w:val="center"/>
            <w:hideMark/>
          </w:tcPr>
          <w:p w14:paraId="08845164" w14:textId="7FD116E0" w:rsidR="003A1FA1" w:rsidRPr="00D80FBD" w:rsidRDefault="00B05D29" w:rsidP="003A1FA1">
            <w:pPr>
              <w:jc w:val="right"/>
              <w:rPr>
                <w:rFonts w:ascii="Arial" w:hAnsi="Arial" w:cs="Arial"/>
                <w:color w:val="000000"/>
                <w:sz w:val="20"/>
                <w:szCs w:val="20"/>
              </w:rPr>
            </w:pPr>
            <w:r w:rsidRPr="00D80FBD">
              <w:rPr>
                <w:rFonts w:ascii="Arial" w:hAnsi="Arial" w:cs="Arial"/>
                <w:color w:val="000000" w:themeColor="text1"/>
                <w:sz w:val="20"/>
                <w:szCs w:val="20"/>
              </w:rPr>
              <w:t>2,</w:t>
            </w:r>
            <w:r w:rsidR="00514CD7" w:rsidRPr="00D80FBD">
              <w:rPr>
                <w:rFonts w:ascii="Arial" w:hAnsi="Arial" w:cs="Arial"/>
                <w:color w:val="000000" w:themeColor="text1"/>
                <w:sz w:val="20"/>
                <w:szCs w:val="20"/>
              </w:rPr>
              <w:t>132,383</w:t>
            </w:r>
          </w:p>
        </w:tc>
        <w:tc>
          <w:tcPr>
            <w:tcW w:w="1315" w:type="dxa"/>
            <w:gridSpan w:val="3"/>
            <w:tcBorders>
              <w:top w:val="nil"/>
              <w:left w:val="nil"/>
              <w:bottom w:val="nil"/>
              <w:right w:val="nil"/>
            </w:tcBorders>
            <w:noWrap/>
            <w:vAlign w:val="center"/>
            <w:hideMark/>
          </w:tcPr>
          <w:p w14:paraId="57330DF8" w14:textId="4BFC127F"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1,</w:t>
            </w:r>
            <w:r w:rsidR="00215A87" w:rsidRPr="00D80FBD">
              <w:rPr>
                <w:rFonts w:ascii="Arial" w:hAnsi="Arial" w:cs="Arial"/>
                <w:color w:val="000000" w:themeColor="text1"/>
                <w:sz w:val="20"/>
                <w:szCs w:val="20"/>
              </w:rPr>
              <w:t>415,000</w:t>
            </w:r>
          </w:p>
        </w:tc>
      </w:tr>
      <w:tr w:rsidR="00CA78ED" w:rsidRPr="007E659C" w14:paraId="2F8ACE1E" w14:textId="77777777" w:rsidTr="1079040B">
        <w:trPr>
          <w:trHeight w:val="239"/>
        </w:trPr>
        <w:tc>
          <w:tcPr>
            <w:tcW w:w="3544" w:type="dxa"/>
            <w:gridSpan w:val="2"/>
            <w:tcBorders>
              <w:top w:val="nil"/>
              <w:left w:val="nil"/>
              <w:bottom w:val="nil"/>
              <w:right w:val="nil"/>
            </w:tcBorders>
            <w:noWrap/>
            <w:vAlign w:val="center"/>
            <w:hideMark/>
          </w:tcPr>
          <w:p w14:paraId="5171B37A" w14:textId="77777777" w:rsidR="00530FA8" w:rsidRPr="00D80FBD" w:rsidRDefault="00530FA8" w:rsidP="00530FA8">
            <w:pPr>
              <w:rPr>
                <w:rFonts w:ascii="Arial" w:hAnsi="Arial" w:cs="Arial"/>
                <w:b/>
                <w:color w:val="000000"/>
                <w:sz w:val="20"/>
                <w:szCs w:val="20"/>
              </w:rPr>
            </w:pPr>
            <w:r w:rsidRPr="00D80FBD">
              <w:rPr>
                <w:rFonts w:ascii="Arial" w:hAnsi="Arial" w:cs="Arial"/>
                <w:b/>
                <w:color w:val="000000" w:themeColor="text1"/>
                <w:sz w:val="20"/>
                <w:szCs w:val="20"/>
              </w:rPr>
              <w:t xml:space="preserve">Total Programme Expenditure </w:t>
            </w:r>
          </w:p>
        </w:tc>
        <w:tc>
          <w:tcPr>
            <w:tcW w:w="1538" w:type="dxa"/>
            <w:tcBorders>
              <w:top w:val="single" w:sz="8" w:space="0" w:color="auto"/>
              <w:left w:val="nil"/>
              <w:bottom w:val="single" w:sz="8" w:space="0" w:color="auto"/>
              <w:right w:val="nil"/>
            </w:tcBorders>
            <w:noWrap/>
            <w:vAlign w:val="bottom"/>
            <w:hideMark/>
          </w:tcPr>
          <w:p w14:paraId="11FF21D2" w14:textId="19CA88ED" w:rsidR="00530FA8" w:rsidRPr="00D80FBD" w:rsidRDefault="00530FA8" w:rsidP="00530FA8">
            <w:pPr>
              <w:jc w:val="right"/>
              <w:rPr>
                <w:rFonts w:ascii="Arial" w:hAnsi="Arial" w:cs="Arial"/>
                <w:color w:val="000000"/>
                <w:sz w:val="20"/>
                <w:szCs w:val="20"/>
              </w:rPr>
            </w:pPr>
            <w:r w:rsidRPr="00D80FBD">
              <w:rPr>
                <w:rFonts w:ascii="Arial" w:hAnsi="Arial" w:cs="Arial"/>
                <w:color w:val="000000" w:themeColor="text1"/>
                <w:sz w:val="20"/>
                <w:szCs w:val="20"/>
              </w:rPr>
              <w:t>2</w:t>
            </w:r>
            <w:r w:rsidR="00467BD2" w:rsidRPr="00D80FBD">
              <w:rPr>
                <w:rFonts w:ascii="Arial" w:hAnsi="Arial" w:cs="Arial"/>
                <w:color w:val="000000" w:themeColor="text1"/>
                <w:sz w:val="20"/>
                <w:szCs w:val="20"/>
              </w:rPr>
              <w:t>7,088,102</w:t>
            </w:r>
          </w:p>
        </w:tc>
        <w:tc>
          <w:tcPr>
            <w:tcW w:w="1740" w:type="dxa"/>
            <w:gridSpan w:val="3"/>
            <w:tcBorders>
              <w:top w:val="single" w:sz="8" w:space="0" w:color="auto"/>
              <w:left w:val="nil"/>
              <w:bottom w:val="single" w:sz="8" w:space="0" w:color="auto"/>
              <w:right w:val="nil"/>
            </w:tcBorders>
            <w:noWrap/>
            <w:vAlign w:val="bottom"/>
            <w:hideMark/>
          </w:tcPr>
          <w:p w14:paraId="03C1283F" w14:textId="6A3A7D0A" w:rsidR="00530FA8" w:rsidRPr="00D80FBD" w:rsidRDefault="00530FA8" w:rsidP="00530FA8">
            <w:pPr>
              <w:jc w:val="right"/>
              <w:rPr>
                <w:rFonts w:ascii="Arial" w:hAnsi="Arial" w:cs="Arial"/>
                <w:color w:val="000000"/>
                <w:sz w:val="20"/>
                <w:szCs w:val="20"/>
              </w:rPr>
            </w:pPr>
            <w:r w:rsidRPr="00D80FBD">
              <w:rPr>
                <w:rFonts w:ascii="Arial" w:hAnsi="Arial" w:cs="Arial"/>
                <w:color w:val="000000" w:themeColor="text1"/>
                <w:sz w:val="20"/>
                <w:szCs w:val="20"/>
              </w:rPr>
              <w:t>19,</w:t>
            </w:r>
            <w:r w:rsidR="00467BD2" w:rsidRPr="00D80FBD">
              <w:rPr>
                <w:rFonts w:ascii="Arial" w:hAnsi="Arial" w:cs="Arial"/>
                <w:color w:val="000000" w:themeColor="text1"/>
                <w:sz w:val="20"/>
                <w:szCs w:val="20"/>
              </w:rPr>
              <w:t>571,791</w:t>
            </w:r>
          </w:p>
        </w:tc>
        <w:tc>
          <w:tcPr>
            <w:tcW w:w="1570" w:type="dxa"/>
            <w:gridSpan w:val="2"/>
            <w:tcBorders>
              <w:top w:val="single" w:sz="8" w:space="0" w:color="auto"/>
              <w:left w:val="nil"/>
              <w:bottom w:val="single" w:sz="8" w:space="0" w:color="auto"/>
              <w:right w:val="nil"/>
            </w:tcBorders>
            <w:noWrap/>
            <w:vAlign w:val="bottom"/>
            <w:hideMark/>
          </w:tcPr>
          <w:p w14:paraId="243199C8" w14:textId="2781A911" w:rsidR="00530FA8" w:rsidRPr="00D80FBD" w:rsidRDefault="00530FA8" w:rsidP="00530FA8">
            <w:pPr>
              <w:jc w:val="right"/>
              <w:rPr>
                <w:rFonts w:ascii="Arial" w:hAnsi="Arial" w:cs="Arial"/>
                <w:color w:val="000000"/>
                <w:sz w:val="20"/>
                <w:szCs w:val="20"/>
              </w:rPr>
            </w:pPr>
            <w:r w:rsidRPr="00D80FBD">
              <w:rPr>
                <w:rFonts w:ascii="Arial" w:hAnsi="Arial" w:cs="Arial"/>
                <w:color w:val="000000" w:themeColor="text1"/>
                <w:sz w:val="20"/>
                <w:szCs w:val="20"/>
              </w:rPr>
              <w:t>13,</w:t>
            </w:r>
            <w:r w:rsidR="00467BD2" w:rsidRPr="00D80FBD">
              <w:rPr>
                <w:rFonts w:ascii="Arial" w:hAnsi="Arial" w:cs="Arial"/>
                <w:color w:val="000000" w:themeColor="text1"/>
                <w:sz w:val="20"/>
                <w:szCs w:val="20"/>
              </w:rPr>
              <w:t>567,</w:t>
            </w:r>
            <w:r w:rsidR="007D6B32" w:rsidRPr="00D80FBD">
              <w:rPr>
                <w:rFonts w:ascii="Arial" w:hAnsi="Arial" w:cs="Arial"/>
                <w:color w:val="000000" w:themeColor="text1"/>
                <w:sz w:val="20"/>
                <w:szCs w:val="20"/>
              </w:rPr>
              <w:t>653</w:t>
            </w:r>
          </w:p>
        </w:tc>
        <w:tc>
          <w:tcPr>
            <w:tcW w:w="1367" w:type="dxa"/>
            <w:tcBorders>
              <w:top w:val="single" w:sz="8" w:space="0" w:color="auto"/>
              <w:left w:val="nil"/>
              <w:bottom w:val="single" w:sz="8" w:space="0" w:color="auto"/>
              <w:right w:val="nil"/>
            </w:tcBorders>
            <w:noWrap/>
            <w:vAlign w:val="bottom"/>
            <w:hideMark/>
          </w:tcPr>
          <w:p w14:paraId="1DE55D88" w14:textId="13C3137E" w:rsidR="00530FA8" w:rsidRPr="00D80FBD" w:rsidRDefault="66B38E8F" w:rsidP="00530FA8">
            <w:pPr>
              <w:jc w:val="right"/>
              <w:rPr>
                <w:rFonts w:ascii="Arial" w:hAnsi="Arial" w:cs="Arial"/>
                <w:color w:val="000000"/>
                <w:sz w:val="20"/>
                <w:szCs w:val="20"/>
              </w:rPr>
            </w:pPr>
            <w:r w:rsidRPr="1C449EF2">
              <w:rPr>
                <w:rFonts w:ascii="Arial" w:hAnsi="Arial" w:cs="Arial"/>
                <w:color w:val="000000" w:themeColor="text1"/>
                <w:sz w:val="20"/>
                <w:szCs w:val="20"/>
              </w:rPr>
              <w:t>13,</w:t>
            </w:r>
            <w:r w:rsidR="1B198DFE" w:rsidRPr="1C449EF2">
              <w:rPr>
                <w:rFonts w:ascii="Arial" w:hAnsi="Arial" w:cs="Arial"/>
                <w:color w:val="000000" w:themeColor="text1"/>
                <w:sz w:val="20"/>
                <w:szCs w:val="20"/>
              </w:rPr>
              <w:t>647</w:t>
            </w:r>
            <w:r w:rsidR="73CD276F" w:rsidRPr="1C449EF2">
              <w:rPr>
                <w:rFonts w:ascii="Arial" w:hAnsi="Arial" w:cs="Arial"/>
                <w:color w:val="000000" w:themeColor="text1"/>
                <w:sz w:val="20"/>
                <w:szCs w:val="20"/>
              </w:rPr>
              <w:t>,</w:t>
            </w:r>
            <w:r w:rsidR="1B198DFE" w:rsidRPr="1C449EF2">
              <w:rPr>
                <w:rFonts w:ascii="Arial" w:hAnsi="Arial" w:cs="Arial"/>
                <w:color w:val="000000" w:themeColor="text1"/>
                <w:sz w:val="20"/>
                <w:szCs w:val="20"/>
              </w:rPr>
              <w:t>958</w:t>
            </w:r>
          </w:p>
        </w:tc>
        <w:tc>
          <w:tcPr>
            <w:tcW w:w="1315" w:type="dxa"/>
            <w:gridSpan w:val="3"/>
            <w:tcBorders>
              <w:top w:val="single" w:sz="8" w:space="0" w:color="auto"/>
              <w:left w:val="nil"/>
              <w:bottom w:val="single" w:sz="8" w:space="0" w:color="auto"/>
              <w:right w:val="nil"/>
            </w:tcBorders>
            <w:noWrap/>
            <w:vAlign w:val="bottom"/>
            <w:hideMark/>
          </w:tcPr>
          <w:p w14:paraId="0341F603" w14:textId="44EC0E4A" w:rsidR="00530FA8" w:rsidRPr="00D80FBD" w:rsidRDefault="00530FA8" w:rsidP="00530FA8">
            <w:pPr>
              <w:jc w:val="right"/>
              <w:rPr>
                <w:rFonts w:ascii="Arial" w:hAnsi="Arial" w:cs="Arial"/>
                <w:color w:val="000000"/>
                <w:sz w:val="20"/>
                <w:szCs w:val="20"/>
              </w:rPr>
            </w:pPr>
            <w:r w:rsidRPr="00D80FBD">
              <w:rPr>
                <w:rFonts w:ascii="Arial" w:hAnsi="Arial" w:cs="Arial"/>
                <w:color w:val="000000" w:themeColor="text1"/>
                <w:sz w:val="20"/>
                <w:szCs w:val="20"/>
              </w:rPr>
              <w:t>1</w:t>
            </w:r>
            <w:r w:rsidR="007D6B32" w:rsidRPr="00D80FBD">
              <w:rPr>
                <w:rFonts w:ascii="Arial" w:hAnsi="Arial" w:cs="Arial"/>
                <w:color w:val="000000" w:themeColor="text1"/>
                <w:sz w:val="20"/>
                <w:szCs w:val="20"/>
              </w:rPr>
              <w:t>3,011,750</w:t>
            </w:r>
          </w:p>
        </w:tc>
      </w:tr>
      <w:tr w:rsidR="00CA78ED" w:rsidRPr="007E659C" w14:paraId="50134CD5" w14:textId="77777777" w:rsidTr="1079040B">
        <w:trPr>
          <w:trHeight w:val="230"/>
        </w:trPr>
        <w:tc>
          <w:tcPr>
            <w:tcW w:w="3544" w:type="dxa"/>
            <w:gridSpan w:val="2"/>
            <w:tcBorders>
              <w:top w:val="nil"/>
              <w:left w:val="nil"/>
              <w:bottom w:val="nil"/>
              <w:right w:val="nil"/>
            </w:tcBorders>
            <w:noWrap/>
            <w:vAlign w:val="center"/>
            <w:hideMark/>
          </w:tcPr>
          <w:p w14:paraId="7B12194E" w14:textId="77777777" w:rsidR="003A1FA1" w:rsidRPr="00D80FBD" w:rsidRDefault="003A1FA1" w:rsidP="003A1FA1">
            <w:pPr>
              <w:jc w:val="right"/>
              <w:rPr>
                <w:rFonts w:ascii="Arial" w:hAnsi="Arial" w:cs="Arial"/>
                <w:color w:val="000000"/>
                <w:sz w:val="20"/>
                <w:szCs w:val="20"/>
              </w:rPr>
            </w:pPr>
          </w:p>
        </w:tc>
        <w:tc>
          <w:tcPr>
            <w:tcW w:w="1538" w:type="dxa"/>
            <w:tcBorders>
              <w:top w:val="nil"/>
              <w:left w:val="nil"/>
              <w:bottom w:val="nil"/>
              <w:right w:val="nil"/>
            </w:tcBorders>
            <w:noWrap/>
            <w:vAlign w:val="center"/>
            <w:hideMark/>
          </w:tcPr>
          <w:p w14:paraId="0061BF53" w14:textId="77777777" w:rsidR="003A1FA1" w:rsidRPr="00D80FBD" w:rsidRDefault="003A1FA1" w:rsidP="00530FA8">
            <w:pPr>
              <w:jc w:val="right"/>
              <w:rPr>
                <w:rFonts w:ascii="Arial" w:hAnsi="Arial" w:cs="Arial"/>
                <w:color w:val="000000"/>
                <w:sz w:val="20"/>
                <w:szCs w:val="20"/>
              </w:rPr>
            </w:pPr>
          </w:p>
        </w:tc>
        <w:tc>
          <w:tcPr>
            <w:tcW w:w="1740" w:type="dxa"/>
            <w:gridSpan w:val="3"/>
            <w:tcBorders>
              <w:top w:val="nil"/>
              <w:left w:val="nil"/>
              <w:bottom w:val="nil"/>
              <w:right w:val="nil"/>
            </w:tcBorders>
            <w:noWrap/>
            <w:vAlign w:val="center"/>
            <w:hideMark/>
          </w:tcPr>
          <w:p w14:paraId="40F57B8A" w14:textId="77777777" w:rsidR="003A1FA1" w:rsidRPr="00D80FBD" w:rsidRDefault="003A1FA1" w:rsidP="00530FA8">
            <w:pPr>
              <w:jc w:val="right"/>
              <w:rPr>
                <w:rFonts w:ascii="Arial" w:hAnsi="Arial" w:cs="Arial"/>
                <w:color w:val="000000"/>
                <w:sz w:val="20"/>
                <w:szCs w:val="20"/>
              </w:rPr>
            </w:pPr>
          </w:p>
        </w:tc>
        <w:tc>
          <w:tcPr>
            <w:tcW w:w="1570" w:type="dxa"/>
            <w:gridSpan w:val="2"/>
            <w:tcBorders>
              <w:top w:val="nil"/>
              <w:left w:val="nil"/>
              <w:bottom w:val="nil"/>
              <w:right w:val="nil"/>
            </w:tcBorders>
            <w:noWrap/>
            <w:vAlign w:val="center"/>
            <w:hideMark/>
          </w:tcPr>
          <w:p w14:paraId="2491334E" w14:textId="77777777" w:rsidR="003A1FA1" w:rsidRPr="00D80FBD" w:rsidRDefault="003A1FA1" w:rsidP="00530FA8">
            <w:pPr>
              <w:jc w:val="right"/>
              <w:rPr>
                <w:rFonts w:ascii="Arial" w:hAnsi="Arial" w:cs="Arial"/>
                <w:color w:val="000000"/>
                <w:sz w:val="20"/>
                <w:szCs w:val="20"/>
              </w:rPr>
            </w:pPr>
          </w:p>
        </w:tc>
        <w:tc>
          <w:tcPr>
            <w:tcW w:w="1367" w:type="dxa"/>
            <w:tcBorders>
              <w:top w:val="nil"/>
              <w:left w:val="nil"/>
              <w:bottom w:val="nil"/>
              <w:right w:val="nil"/>
            </w:tcBorders>
            <w:noWrap/>
            <w:vAlign w:val="center"/>
            <w:hideMark/>
          </w:tcPr>
          <w:p w14:paraId="7169F4D9" w14:textId="77777777" w:rsidR="003A1FA1" w:rsidRPr="00D80FBD" w:rsidRDefault="003A1FA1" w:rsidP="00530FA8">
            <w:pPr>
              <w:jc w:val="right"/>
              <w:rPr>
                <w:rFonts w:ascii="Arial" w:hAnsi="Arial" w:cs="Arial"/>
                <w:color w:val="000000"/>
                <w:sz w:val="20"/>
                <w:szCs w:val="20"/>
              </w:rPr>
            </w:pPr>
          </w:p>
        </w:tc>
        <w:tc>
          <w:tcPr>
            <w:tcW w:w="1315" w:type="dxa"/>
            <w:gridSpan w:val="3"/>
            <w:tcBorders>
              <w:top w:val="nil"/>
              <w:left w:val="nil"/>
              <w:bottom w:val="nil"/>
              <w:right w:val="nil"/>
            </w:tcBorders>
            <w:noWrap/>
            <w:vAlign w:val="center"/>
            <w:hideMark/>
          </w:tcPr>
          <w:p w14:paraId="08E32DE9" w14:textId="77777777" w:rsidR="003A1FA1" w:rsidRPr="00D80FBD" w:rsidRDefault="003A1FA1" w:rsidP="00530FA8">
            <w:pPr>
              <w:jc w:val="right"/>
              <w:rPr>
                <w:rFonts w:ascii="Arial" w:hAnsi="Arial" w:cs="Arial"/>
                <w:color w:val="000000"/>
                <w:sz w:val="20"/>
                <w:szCs w:val="20"/>
              </w:rPr>
            </w:pPr>
          </w:p>
        </w:tc>
      </w:tr>
      <w:tr w:rsidR="00CA78ED" w:rsidRPr="007E659C" w14:paraId="6C116B7F" w14:textId="77777777" w:rsidTr="1079040B">
        <w:trPr>
          <w:trHeight w:val="230"/>
        </w:trPr>
        <w:tc>
          <w:tcPr>
            <w:tcW w:w="3544" w:type="dxa"/>
            <w:gridSpan w:val="2"/>
            <w:tcBorders>
              <w:top w:val="nil"/>
              <w:left w:val="nil"/>
              <w:bottom w:val="nil"/>
              <w:right w:val="nil"/>
            </w:tcBorders>
            <w:noWrap/>
            <w:vAlign w:val="center"/>
            <w:hideMark/>
          </w:tcPr>
          <w:p w14:paraId="0F776DF6" w14:textId="77777777" w:rsidR="003A1FA1" w:rsidRPr="00D80FBD" w:rsidRDefault="003A1FA1" w:rsidP="003A1FA1">
            <w:pPr>
              <w:rPr>
                <w:rFonts w:ascii="Arial" w:hAnsi="Arial" w:cs="Arial"/>
                <w:b/>
                <w:color w:val="000000"/>
                <w:sz w:val="20"/>
                <w:szCs w:val="20"/>
              </w:rPr>
            </w:pPr>
            <w:r w:rsidRPr="00D80FBD">
              <w:rPr>
                <w:rFonts w:ascii="Arial" w:hAnsi="Arial" w:cs="Arial"/>
                <w:b/>
                <w:color w:val="000000" w:themeColor="text1"/>
                <w:sz w:val="20"/>
                <w:szCs w:val="20"/>
              </w:rPr>
              <w:t>Capital funding</w:t>
            </w:r>
          </w:p>
        </w:tc>
        <w:tc>
          <w:tcPr>
            <w:tcW w:w="1538" w:type="dxa"/>
            <w:tcBorders>
              <w:top w:val="nil"/>
              <w:left w:val="nil"/>
              <w:bottom w:val="nil"/>
              <w:right w:val="nil"/>
            </w:tcBorders>
            <w:noWrap/>
            <w:vAlign w:val="center"/>
            <w:hideMark/>
          </w:tcPr>
          <w:p w14:paraId="73C21D07" w14:textId="77777777" w:rsidR="003A1FA1" w:rsidRPr="00D80FBD" w:rsidRDefault="003A1FA1" w:rsidP="00423E03">
            <w:pPr>
              <w:jc w:val="right"/>
              <w:rPr>
                <w:rFonts w:ascii="Arial" w:hAnsi="Arial" w:cs="Arial"/>
                <w:b/>
                <w:color w:val="000000"/>
                <w:sz w:val="20"/>
                <w:szCs w:val="20"/>
              </w:rPr>
            </w:pPr>
          </w:p>
        </w:tc>
        <w:tc>
          <w:tcPr>
            <w:tcW w:w="1740" w:type="dxa"/>
            <w:gridSpan w:val="3"/>
            <w:tcBorders>
              <w:top w:val="nil"/>
              <w:left w:val="nil"/>
              <w:bottom w:val="nil"/>
              <w:right w:val="nil"/>
            </w:tcBorders>
            <w:noWrap/>
            <w:vAlign w:val="center"/>
            <w:hideMark/>
          </w:tcPr>
          <w:p w14:paraId="78E08B41" w14:textId="77777777" w:rsidR="003A1FA1" w:rsidRPr="00D80FBD" w:rsidRDefault="003A1FA1" w:rsidP="003A1FA1">
            <w:pPr>
              <w:jc w:val="right"/>
              <w:rPr>
                <w:sz w:val="20"/>
                <w:szCs w:val="20"/>
              </w:rPr>
            </w:pPr>
          </w:p>
        </w:tc>
        <w:tc>
          <w:tcPr>
            <w:tcW w:w="1570" w:type="dxa"/>
            <w:gridSpan w:val="2"/>
            <w:tcBorders>
              <w:top w:val="nil"/>
              <w:left w:val="nil"/>
              <w:bottom w:val="nil"/>
              <w:right w:val="nil"/>
            </w:tcBorders>
            <w:noWrap/>
            <w:vAlign w:val="center"/>
            <w:hideMark/>
          </w:tcPr>
          <w:p w14:paraId="594B243D" w14:textId="77777777" w:rsidR="003A1FA1" w:rsidRPr="00D80FBD" w:rsidRDefault="003A1FA1" w:rsidP="003A1FA1">
            <w:pPr>
              <w:jc w:val="right"/>
              <w:rPr>
                <w:sz w:val="20"/>
                <w:szCs w:val="20"/>
              </w:rPr>
            </w:pPr>
          </w:p>
        </w:tc>
        <w:tc>
          <w:tcPr>
            <w:tcW w:w="1367" w:type="dxa"/>
            <w:tcBorders>
              <w:top w:val="nil"/>
              <w:left w:val="nil"/>
              <w:bottom w:val="nil"/>
              <w:right w:val="nil"/>
            </w:tcBorders>
            <w:noWrap/>
            <w:vAlign w:val="center"/>
            <w:hideMark/>
          </w:tcPr>
          <w:p w14:paraId="32BA1A18" w14:textId="77777777" w:rsidR="003A1FA1" w:rsidRPr="00D80FBD" w:rsidRDefault="003A1FA1" w:rsidP="003A1FA1">
            <w:pPr>
              <w:jc w:val="right"/>
              <w:rPr>
                <w:sz w:val="20"/>
                <w:szCs w:val="20"/>
              </w:rPr>
            </w:pPr>
          </w:p>
        </w:tc>
        <w:tc>
          <w:tcPr>
            <w:tcW w:w="1315" w:type="dxa"/>
            <w:gridSpan w:val="3"/>
            <w:tcBorders>
              <w:top w:val="nil"/>
              <w:left w:val="nil"/>
              <w:bottom w:val="nil"/>
              <w:right w:val="nil"/>
            </w:tcBorders>
            <w:noWrap/>
            <w:vAlign w:val="center"/>
            <w:hideMark/>
          </w:tcPr>
          <w:p w14:paraId="2887CDB5" w14:textId="77777777" w:rsidR="003A1FA1" w:rsidRPr="00D80FBD" w:rsidRDefault="003A1FA1" w:rsidP="003A1FA1">
            <w:pPr>
              <w:jc w:val="right"/>
              <w:rPr>
                <w:sz w:val="20"/>
                <w:szCs w:val="20"/>
              </w:rPr>
            </w:pPr>
          </w:p>
        </w:tc>
      </w:tr>
      <w:tr w:rsidR="00CA78ED" w:rsidRPr="007E659C" w14:paraId="7789BEAC" w14:textId="77777777" w:rsidTr="1079040B">
        <w:trPr>
          <w:trHeight w:val="230"/>
        </w:trPr>
        <w:tc>
          <w:tcPr>
            <w:tcW w:w="3544" w:type="dxa"/>
            <w:gridSpan w:val="2"/>
            <w:tcBorders>
              <w:top w:val="nil"/>
              <w:left w:val="nil"/>
              <w:bottom w:val="nil"/>
              <w:right w:val="nil"/>
            </w:tcBorders>
            <w:noWrap/>
            <w:vAlign w:val="center"/>
            <w:hideMark/>
          </w:tcPr>
          <w:p w14:paraId="7355DC8C" w14:textId="77777777" w:rsidR="003A1FA1" w:rsidRPr="00D80FBD" w:rsidRDefault="003A1FA1" w:rsidP="003A1FA1">
            <w:pPr>
              <w:rPr>
                <w:rFonts w:ascii="Arial" w:hAnsi="Arial" w:cs="Arial"/>
                <w:b/>
                <w:i/>
                <w:color w:val="000000"/>
                <w:sz w:val="20"/>
                <w:szCs w:val="20"/>
              </w:rPr>
            </w:pPr>
            <w:r w:rsidRPr="00D80FBD">
              <w:rPr>
                <w:rFonts w:ascii="Arial" w:hAnsi="Arial" w:cs="Arial"/>
                <w:b/>
                <w:i/>
                <w:color w:val="000000" w:themeColor="text1"/>
                <w:sz w:val="20"/>
                <w:szCs w:val="20"/>
              </w:rPr>
              <w:t>Major Repairs Reserve</w:t>
            </w:r>
          </w:p>
        </w:tc>
        <w:tc>
          <w:tcPr>
            <w:tcW w:w="1538" w:type="dxa"/>
            <w:tcBorders>
              <w:top w:val="nil"/>
              <w:left w:val="nil"/>
              <w:bottom w:val="nil"/>
              <w:right w:val="nil"/>
            </w:tcBorders>
            <w:noWrap/>
            <w:vAlign w:val="center"/>
            <w:hideMark/>
          </w:tcPr>
          <w:p w14:paraId="3FFAD8FA" w14:textId="77777777" w:rsidR="003A1FA1" w:rsidRPr="00D80FBD" w:rsidRDefault="003A1FA1" w:rsidP="00423E03">
            <w:pPr>
              <w:jc w:val="right"/>
              <w:rPr>
                <w:rFonts w:ascii="Arial" w:hAnsi="Arial" w:cs="Arial"/>
                <w:b/>
                <w:i/>
                <w:color w:val="000000"/>
                <w:sz w:val="20"/>
                <w:szCs w:val="20"/>
              </w:rPr>
            </w:pPr>
          </w:p>
        </w:tc>
        <w:tc>
          <w:tcPr>
            <w:tcW w:w="1740" w:type="dxa"/>
            <w:gridSpan w:val="3"/>
            <w:tcBorders>
              <w:top w:val="nil"/>
              <w:left w:val="nil"/>
              <w:bottom w:val="nil"/>
              <w:right w:val="nil"/>
            </w:tcBorders>
            <w:noWrap/>
            <w:vAlign w:val="center"/>
            <w:hideMark/>
          </w:tcPr>
          <w:p w14:paraId="1562BAE0" w14:textId="77777777" w:rsidR="003A1FA1" w:rsidRPr="00D80FBD" w:rsidRDefault="003A1FA1" w:rsidP="003A1FA1">
            <w:pPr>
              <w:jc w:val="right"/>
              <w:rPr>
                <w:sz w:val="20"/>
                <w:szCs w:val="20"/>
              </w:rPr>
            </w:pPr>
          </w:p>
        </w:tc>
        <w:tc>
          <w:tcPr>
            <w:tcW w:w="1570" w:type="dxa"/>
            <w:gridSpan w:val="2"/>
            <w:tcBorders>
              <w:top w:val="nil"/>
              <w:left w:val="nil"/>
              <w:bottom w:val="nil"/>
              <w:right w:val="nil"/>
            </w:tcBorders>
            <w:noWrap/>
            <w:vAlign w:val="center"/>
            <w:hideMark/>
          </w:tcPr>
          <w:p w14:paraId="07A7E4DE" w14:textId="77777777" w:rsidR="003A1FA1" w:rsidRPr="00D80FBD" w:rsidRDefault="003A1FA1" w:rsidP="003A1FA1">
            <w:pPr>
              <w:jc w:val="right"/>
              <w:rPr>
                <w:sz w:val="20"/>
                <w:szCs w:val="20"/>
              </w:rPr>
            </w:pPr>
          </w:p>
        </w:tc>
        <w:tc>
          <w:tcPr>
            <w:tcW w:w="1367" w:type="dxa"/>
            <w:tcBorders>
              <w:top w:val="nil"/>
              <w:left w:val="nil"/>
              <w:bottom w:val="nil"/>
              <w:right w:val="nil"/>
            </w:tcBorders>
            <w:noWrap/>
            <w:vAlign w:val="center"/>
            <w:hideMark/>
          </w:tcPr>
          <w:p w14:paraId="4F03C2AF" w14:textId="77777777" w:rsidR="003A1FA1" w:rsidRPr="00D80FBD" w:rsidRDefault="003A1FA1" w:rsidP="003A1FA1">
            <w:pPr>
              <w:jc w:val="right"/>
              <w:rPr>
                <w:sz w:val="20"/>
                <w:szCs w:val="20"/>
              </w:rPr>
            </w:pPr>
          </w:p>
        </w:tc>
        <w:tc>
          <w:tcPr>
            <w:tcW w:w="1315" w:type="dxa"/>
            <w:gridSpan w:val="3"/>
            <w:tcBorders>
              <w:top w:val="nil"/>
              <w:left w:val="nil"/>
              <w:bottom w:val="nil"/>
              <w:right w:val="nil"/>
            </w:tcBorders>
            <w:noWrap/>
            <w:vAlign w:val="center"/>
            <w:hideMark/>
          </w:tcPr>
          <w:p w14:paraId="5E508997" w14:textId="77777777" w:rsidR="003A1FA1" w:rsidRPr="00D80FBD" w:rsidRDefault="003A1FA1" w:rsidP="003A1FA1">
            <w:pPr>
              <w:jc w:val="right"/>
              <w:rPr>
                <w:sz w:val="20"/>
                <w:szCs w:val="20"/>
              </w:rPr>
            </w:pPr>
          </w:p>
        </w:tc>
      </w:tr>
      <w:tr w:rsidR="00CA78ED" w:rsidRPr="007E659C" w14:paraId="33193110" w14:textId="77777777" w:rsidTr="1079040B">
        <w:trPr>
          <w:trHeight w:val="230"/>
        </w:trPr>
        <w:tc>
          <w:tcPr>
            <w:tcW w:w="3544" w:type="dxa"/>
            <w:gridSpan w:val="2"/>
            <w:tcBorders>
              <w:top w:val="nil"/>
              <w:left w:val="nil"/>
              <w:bottom w:val="nil"/>
              <w:right w:val="nil"/>
            </w:tcBorders>
            <w:noWrap/>
            <w:vAlign w:val="center"/>
            <w:hideMark/>
          </w:tcPr>
          <w:p w14:paraId="7A64D453" w14:textId="77777777" w:rsidR="00C81D1E" w:rsidRPr="00D80FBD" w:rsidRDefault="00C81D1E" w:rsidP="00C81D1E">
            <w:pPr>
              <w:rPr>
                <w:rFonts w:ascii="Arial" w:hAnsi="Arial" w:cs="Arial"/>
                <w:color w:val="000000"/>
                <w:sz w:val="20"/>
                <w:szCs w:val="20"/>
              </w:rPr>
            </w:pPr>
            <w:r w:rsidRPr="00D80FBD">
              <w:rPr>
                <w:rFonts w:ascii="Arial" w:hAnsi="Arial" w:cs="Arial"/>
                <w:color w:val="000000" w:themeColor="text1"/>
                <w:sz w:val="20"/>
                <w:szCs w:val="20"/>
              </w:rPr>
              <w:t>Opening balance</w:t>
            </w:r>
          </w:p>
        </w:tc>
        <w:tc>
          <w:tcPr>
            <w:tcW w:w="1538" w:type="dxa"/>
            <w:tcBorders>
              <w:top w:val="nil"/>
              <w:left w:val="nil"/>
              <w:bottom w:val="nil"/>
              <w:right w:val="nil"/>
            </w:tcBorders>
            <w:noWrap/>
            <w:vAlign w:val="bottom"/>
            <w:hideMark/>
          </w:tcPr>
          <w:p w14:paraId="0932807F" w14:textId="6C96FF70" w:rsidR="00C81D1E" w:rsidRPr="00CF10F0" w:rsidRDefault="00C81D1E" w:rsidP="00C81D1E">
            <w:pPr>
              <w:jc w:val="right"/>
              <w:rPr>
                <w:rFonts w:ascii="Arial" w:hAnsi="Arial" w:cs="Arial"/>
                <w:color w:val="000000" w:themeColor="text1"/>
                <w:sz w:val="20"/>
                <w:szCs w:val="20"/>
              </w:rPr>
            </w:pPr>
            <w:r w:rsidRPr="00CF10F0">
              <w:rPr>
                <w:rFonts w:ascii="Arial" w:hAnsi="Arial" w:cs="Arial"/>
                <w:color w:val="000000" w:themeColor="text1"/>
                <w:sz w:val="20"/>
                <w:szCs w:val="20"/>
              </w:rPr>
              <w:t xml:space="preserve">17,611,129 </w:t>
            </w:r>
          </w:p>
        </w:tc>
        <w:tc>
          <w:tcPr>
            <w:tcW w:w="1740" w:type="dxa"/>
            <w:gridSpan w:val="3"/>
            <w:tcBorders>
              <w:top w:val="nil"/>
              <w:left w:val="nil"/>
              <w:bottom w:val="nil"/>
              <w:right w:val="nil"/>
            </w:tcBorders>
            <w:noWrap/>
            <w:vAlign w:val="bottom"/>
            <w:hideMark/>
          </w:tcPr>
          <w:p w14:paraId="717843DA" w14:textId="5BCA4669" w:rsidR="00C81D1E" w:rsidRPr="00CF10F0" w:rsidRDefault="00C81D1E" w:rsidP="00C81D1E">
            <w:pPr>
              <w:jc w:val="right"/>
              <w:rPr>
                <w:rFonts w:ascii="Arial" w:hAnsi="Arial" w:cs="Arial"/>
                <w:color w:val="000000" w:themeColor="text1"/>
                <w:sz w:val="20"/>
                <w:szCs w:val="20"/>
              </w:rPr>
            </w:pPr>
            <w:r w:rsidRPr="00CF10F0">
              <w:rPr>
                <w:rFonts w:ascii="Arial" w:hAnsi="Arial" w:cs="Arial"/>
                <w:color w:val="000000" w:themeColor="text1"/>
                <w:sz w:val="20"/>
                <w:szCs w:val="20"/>
              </w:rPr>
              <w:t xml:space="preserve">11,300,076 </w:t>
            </w:r>
          </w:p>
        </w:tc>
        <w:tc>
          <w:tcPr>
            <w:tcW w:w="1570" w:type="dxa"/>
            <w:gridSpan w:val="2"/>
            <w:tcBorders>
              <w:top w:val="nil"/>
              <w:left w:val="nil"/>
              <w:bottom w:val="nil"/>
              <w:right w:val="nil"/>
            </w:tcBorders>
            <w:noWrap/>
            <w:vAlign w:val="bottom"/>
            <w:hideMark/>
          </w:tcPr>
          <w:p w14:paraId="2DCFF97C" w14:textId="5500A2E8" w:rsidR="00C81D1E" w:rsidRPr="00CF10F0" w:rsidRDefault="00C81D1E" w:rsidP="00C81D1E">
            <w:pPr>
              <w:jc w:val="right"/>
              <w:rPr>
                <w:rFonts w:ascii="Arial" w:hAnsi="Arial" w:cs="Arial"/>
                <w:color w:val="000000" w:themeColor="text1"/>
                <w:sz w:val="20"/>
                <w:szCs w:val="20"/>
              </w:rPr>
            </w:pPr>
            <w:r w:rsidRPr="00CF10F0">
              <w:rPr>
                <w:rFonts w:ascii="Arial" w:hAnsi="Arial" w:cs="Arial"/>
                <w:color w:val="000000" w:themeColor="text1"/>
                <w:sz w:val="20"/>
                <w:szCs w:val="20"/>
              </w:rPr>
              <w:t xml:space="preserve">11,581,791 </w:t>
            </w:r>
          </w:p>
        </w:tc>
        <w:tc>
          <w:tcPr>
            <w:tcW w:w="1367" w:type="dxa"/>
            <w:tcBorders>
              <w:top w:val="nil"/>
              <w:left w:val="nil"/>
              <w:bottom w:val="nil"/>
              <w:right w:val="nil"/>
            </w:tcBorders>
            <w:noWrap/>
            <w:vAlign w:val="bottom"/>
            <w:hideMark/>
          </w:tcPr>
          <w:p w14:paraId="1EA2C41E" w14:textId="21667DDD" w:rsidR="00C81D1E" w:rsidRPr="00CF10F0" w:rsidRDefault="00C81D1E" w:rsidP="00C81D1E">
            <w:pPr>
              <w:jc w:val="right"/>
              <w:rPr>
                <w:rFonts w:ascii="Arial" w:hAnsi="Arial" w:cs="Arial"/>
                <w:color w:val="000000" w:themeColor="text1"/>
                <w:sz w:val="20"/>
                <w:szCs w:val="20"/>
              </w:rPr>
            </w:pPr>
            <w:r w:rsidRPr="00CF10F0">
              <w:rPr>
                <w:rFonts w:ascii="Arial" w:hAnsi="Arial" w:cs="Arial"/>
                <w:color w:val="000000" w:themeColor="text1"/>
                <w:sz w:val="20"/>
                <w:szCs w:val="20"/>
              </w:rPr>
              <w:t xml:space="preserve">13,661,162 </w:t>
            </w:r>
          </w:p>
        </w:tc>
        <w:tc>
          <w:tcPr>
            <w:tcW w:w="1315" w:type="dxa"/>
            <w:gridSpan w:val="3"/>
            <w:tcBorders>
              <w:top w:val="nil"/>
              <w:left w:val="nil"/>
              <w:bottom w:val="nil"/>
              <w:right w:val="nil"/>
            </w:tcBorders>
            <w:noWrap/>
            <w:vAlign w:val="bottom"/>
            <w:hideMark/>
          </w:tcPr>
          <w:p w14:paraId="654A83F8" w14:textId="733C26F8" w:rsidR="00C81D1E" w:rsidRPr="00CF10F0" w:rsidRDefault="00C81D1E" w:rsidP="00C81D1E">
            <w:pPr>
              <w:jc w:val="right"/>
              <w:rPr>
                <w:rFonts w:ascii="Arial" w:hAnsi="Arial" w:cs="Arial"/>
                <w:color w:val="000000" w:themeColor="text1"/>
                <w:sz w:val="20"/>
                <w:szCs w:val="20"/>
              </w:rPr>
            </w:pPr>
            <w:r w:rsidRPr="00CF10F0">
              <w:rPr>
                <w:rFonts w:ascii="Arial" w:hAnsi="Arial" w:cs="Arial"/>
                <w:color w:val="000000" w:themeColor="text1"/>
                <w:sz w:val="20"/>
                <w:szCs w:val="20"/>
              </w:rPr>
              <w:t xml:space="preserve">16,060,308 </w:t>
            </w:r>
          </w:p>
        </w:tc>
      </w:tr>
      <w:tr w:rsidR="00CA78ED" w:rsidRPr="007E659C" w14:paraId="767BE535" w14:textId="77777777" w:rsidTr="1079040B">
        <w:trPr>
          <w:trHeight w:val="230"/>
        </w:trPr>
        <w:tc>
          <w:tcPr>
            <w:tcW w:w="3544" w:type="dxa"/>
            <w:gridSpan w:val="2"/>
            <w:tcBorders>
              <w:top w:val="nil"/>
              <w:left w:val="nil"/>
              <w:bottom w:val="nil"/>
              <w:right w:val="nil"/>
            </w:tcBorders>
            <w:noWrap/>
            <w:vAlign w:val="center"/>
            <w:hideMark/>
          </w:tcPr>
          <w:p w14:paraId="687BFB91" w14:textId="77777777" w:rsidR="00FE7EE3" w:rsidRPr="00D80FBD" w:rsidRDefault="00FE7EE3" w:rsidP="00FE7EE3">
            <w:pPr>
              <w:rPr>
                <w:rFonts w:ascii="Arial" w:hAnsi="Arial" w:cs="Arial"/>
                <w:color w:val="000000"/>
                <w:sz w:val="20"/>
                <w:szCs w:val="20"/>
              </w:rPr>
            </w:pPr>
            <w:r w:rsidRPr="00D80FBD">
              <w:rPr>
                <w:rFonts w:ascii="Arial" w:hAnsi="Arial" w:cs="Arial"/>
                <w:color w:val="000000" w:themeColor="text1"/>
                <w:sz w:val="20"/>
                <w:szCs w:val="20"/>
              </w:rPr>
              <w:t>Depreciation received in year</w:t>
            </w:r>
          </w:p>
        </w:tc>
        <w:tc>
          <w:tcPr>
            <w:tcW w:w="1538" w:type="dxa"/>
            <w:tcBorders>
              <w:top w:val="nil"/>
              <w:left w:val="nil"/>
              <w:bottom w:val="nil"/>
              <w:right w:val="nil"/>
            </w:tcBorders>
            <w:noWrap/>
            <w:vAlign w:val="bottom"/>
            <w:hideMark/>
          </w:tcPr>
          <w:p w14:paraId="776ED1D3" w14:textId="3590633C" w:rsidR="00FE7EE3" w:rsidRPr="005B3DB9" w:rsidRDefault="00FE7EE3" w:rsidP="00FE7EE3">
            <w:pPr>
              <w:jc w:val="right"/>
              <w:rPr>
                <w:rFonts w:ascii="Arial" w:hAnsi="Arial" w:cs="Arial"/>
                <w:color w:val="000000"/>
                <w:sz w:val="20"/>
                <w:szCs w:val="20"/>
              </w:rPr>
            </w:pPr>
            <w:r w:rsidRPr="005B3DB9">
              <w:rPr>
                <w:rFonts w:ascii="Arial" w:hAnsi="Arial" w:cs="Arial"/>
                <w:color w:val="000000" w:themeColor="text1"/>
                <w:sz w:val="20"/>
                <w:szCs w:val="20"/>
              </w:rPr>
              <w:t xml:space="preserve">9,116,230 </w:t>
            </w:r>
          </w:p>
        </w:tc>
        <w:tc>
          <w:tcPr>
            <w:tcW w:w="1740" w:type="dxa"/>
            <w:gridSpan w:val="3"/>
            <w:tcBorders>
              <w:top w:val="nil"/>
              <w:left w:val="nil"/>
              <w:bottom w:val="nil"/>
              <w:right w:val="nil"/>
            </w:tcBorders>
            <w:noWrap/>
            <w:vAlign w:val="bottom"/>
            <w:hideMark/>
          </w:tcPr>
          <w:p w14:paraId="717477EC" w14:textId="42100251" w:rsidR="00FE7EE3" w:rsidRPr="005B3DB9" w:rsidRDefault="00FE7EE3" w:rsidP="00FE7EE3">
            <w:pPr>
              <w:jc w:val="right"/>
              <w:rPr>
                <w:rFonts w:ascii="Arial" w:hAnsi="Arial" w:cs="Arial"/>
                <w:sz w:val="20"/>
                <w:szCs w:val="20"/>
              </w:rPr>
            </w:pPr>
            <w:r w:rsidRPr="005B3DB9">
              <w:rPr>
                <w:rFonts w:ascii="Arial" w:hAnsi="Arial" w:cs="Arial"/>
                <w:sz w:val="20"/>
                <w:szCs w:val="20"/>
              </w:rPr>
              <w:t xml:space="preserve">9,355,670 </w:t>
            </w:r>
          </w:p>
        </w:tc>
        <w:tc>
          <w:tcPr>
            <w:tcW w:w="1570" w:type="dxa"/>
            <w:gridSpan w:val="2"/>
            <w:tcBorders>
              <w:top w:val="nil"/>
              <w:left w:val="nil"/>
              <w:bottom w:val="nil"/>
              <w:right w:val="nil"/>
            </w:tcBorders>
            <w:noWrap/>
            <w:vAlign w:val="bottom"/>
            <w:hideMark/>
          </w:tcPr>
          <w:p w14:paraId="1C2984B5" w14:textId="2A0434BC" w:rsidR="00FE7EE3" w:rsidRPr="005B3DB9" w:rsidRDefault="00FE7EE3" w:rsidP="00FE7EE3">
            <w:pPr>
              <w:jc w:val="right"/>
              <w:rPr>
                <w:rFonts w:ascii="Arial" w:hAnsi="Arial" w:cs="Arial"/>
                <w:sz w:val="20"/>
                <w:szCs w:val="20"/>
              </w:rPr>
            </w:pPr>
            <w:r w:rsidRPr="005B3DB9">
              <w:rPr>
                <w:rFonts w:ascii="Arial" w:hAnsi="Arial" w:cs="Arial"/>
                <w:sz w:val="20"/>
                <w:szCs w:val="20"/>
              </w:rPr>
              <w:t xml:space="preserve">9,499,140 </w:t>
            </w:r>
          </w:p>
        </w:tc>
        <w:tc>
          <w:tcPr>
            <w:tcW w:w="1367" w:type="dxa"/>
            <w:tcBorders>
              <w:top w:val="nil"/>
              <w:left w:val="nil"/>
              <w:bottom w:val="nil"/>
              <w:right w:val="nil"/>
            </w:tcBorders>
            <w:noWrap/>
            <w:vAlign w:val="bottom"/>
            <w:hideMark/>
          </w:tcPr>
          <w:p w14:paraId="7FD4E3D9" w14:textId="69C923F5" w:rsidR="00FE7EE3" w:rsidRPr="005B3DB9" w:rsidRDefault="00FE7EE3" w:rsidP="00FE7EE3">
            <w:pPr>
              <w:jc w:val="right"/>
              <w:rPr>
                <w:rFonts w:ascii="Arial" w:hAnsi="Arial" w:cs="Arial"/>
                <w:sz w:val="20"/>
                <w:szCs w:val="20"/>
              </w:rPr>
            </w:pPr>
            <w:r w:rsidRPr="005B3DB9">
              <w:rPr>
                <w:rFonts w:ascii="Arial" w:hAnsi="Arial" w:cs="Arial"/>
                <w:sz w:val="20"/>
                <w:szCs w:val="20"/>
              </w:rPr>
              <w:t xml:space="preserve">9,671,780 </w:t>
            </w:r>
          </w:p>
        </w:tc>
        <w:tc>
          <w:tcPr>
            <w:tcW w:w="1315" w:type="dxa"/>
            <w:gridSpan w:val="3"/>
            <w:tcBorders>
              <w:top w:val="nil"/>
              <w:left w:val="nil"/>
              <w:bottom w:val="nil"/>
              <w:right w:val="nil"/>
            </w:tcBorders>
            <w:noWrap/>
            <w:vAlign w:val="bottom"/>
            <w:hideMark/>
          </w:tcPr>
          <w:p w14:paraId="253602B4" w14:textId="60E27A7B" w:rsidR="00FE7EE3" w:rsidRPr="005B3DB9" w:rsidRDefault="00FE7EE3" w:rsidP="00FE7EE3">
            <w:pPr>
              <w:jc w:val="right"/>
              <w:rPr>
                <w:rFonts w:ascii="Arial" w:hAnsi="Arial" w:cs="Arial"/>
                <w:sz w:val="20"/>
                <w:szCs w:val="20"/>
              </w:rPr>
            </w:pPr>
            <w:r w:rsidRPr="005B3DB9">
              <w:rPr>
                <w:rFonts w:ascii="Arial" w:hAnsi="Arial" w:cs="Arial"/>
                <w:sz w:val="20"/>
                <w:szCs w:val="20"/>
              </w:rPr>
              <w:t xml:space="preserve">9,829,670 </w:t>
            </w:r>
          </w:p>
        </w:tc>
      </w:tr>
      <w:tr w:rsidR="00CA78ED" w:rsidRPr="007E659C" w14:paraId="10560FB2" w14:textId="77777777" w:rsidTr="1079040B">
        <w:trPr>
          <w:trHeight w:val="230"/>
        </w:trPr>
        <w:tc>
          <w:tcPr>
            <w:tcW w:w="3544" w:type="dxa"/>
            <w:gridSpan w:val="2"/>
            <w:tcBorders>
              <w:top w:val="nil"/>
              <w:left w:val="nil"/>
              <w:bottom w:val="nil"/>
              <w:right w:val="nil"/>
            </w:tcBorders>
            <w:noWrap/>
            <w:vAlign w:val="center"/>
            <w:hideMark/>
          </w:tcPr>
          <w:p w14:paraId="0A1511D3" w14:textId="77777777" w:rsidR="00FE7EE3" w:rsidRPr="00D80FBD" w:rsidRDefault="00FE7EE3" w:rsidP="00FE7EE3">
            <w:pPr>
              <w:rPr>
                <w:rFonts w:ascii="Arial" w:hAnsi="Arial" w:cs="Arial"/>
                <w:color w:val="000000"/>
                <w:sz w:val="20"/>
                <w:szCs w:val="20"/>
              </w:rPr>
            </w:pPr>
            <w:r w:rsidRPr="00D80FBD">
              <w:rPr>
                <w:rFonts w:ascii="Arial" w:hAnsi="Arial" w:cs="Arial"/>
                <w:color w:val="000000" w:themeColor="text1"/>
                <w:sz w:val="20"/>
                <w:szCs w:val="20"/>
              </w:rPr>
              <w:t>Depreciation used in financing</w:t>
            </w:r>
          </w:p>
        </w:tc>
        <w:tc>
          <w:tcPr>
            <w:tcW w:w="1538" w:type="dxa"/>
            <w:tcBorders>
              <w:top w:val="nil"/>
              <w:left w:val="nil"/>
              <w:bottom w:val="nil"/>
              <w:right w:val="nil"/>
            </w:tcBorders>
            <w:noWrap/>
            <w:vAlign w:val="bottom"/>
            <w:hideMark/>
          </w:tcPr>
          <w:p w14:paraId="655990F6" w14:textId="4F03FEFC" w:rsidR="00FE7EE3" w:rsidRPr="00D80FBD" w:rsidRDefault="00FE7EE3" w:rsidP="00FE7EE3">
            <w:pPr>
              <w:jc w:val="right"/>
              <w:rPr>
                <w:rFonts w:ascii="Arial" w:hAnsi="Arial" w:cs="Arial"/>
                <w:color w:val="000000"/>
                <w:sz w:val="20"/>
                <w:szCs w:val="20"/>
              </w:rPr>
            </w:pPr>
            <w:r w:rsidRPr="00D80FBD">
              <w:rPr>
                <w:rFonts w:ascii="Arial" w:hAnsi="Arial" w:cs="Arial"/>
                <w:color w:val="000000" w:themeColor="text1"/>
                <w:sz w:val="20"/>
                <w:szCs w:val="20"/>
              </w:rPr>
              <w:t>(13,308,536)</w:t>
            </w:r>
          </w:p>
        </w:tc>
        <w:tc>
          <w:tcPr>
            <w:tcW w:w="1740" w:type="dxa"/>
            <w:gridSpan w:val="3"/>
            <w:tcBorders>
              <w:top w:val="nil"/>
              <w:left w:val="nil"/>
              <w:bottom w:val="nil"/>
              <w:right w:val="nil"/>
            </w:tcBorders>
            <w:noWrap/>
            <w:vAlign w:val="bottom"/>
            <w:hideMark/>
          </w:tcPr>
          <w:p w14:paraId="381B07E2" w14:textId="5620A4BF" w:rsidR="00FE7EE3" w:rsidRPr="00D80FBD" w:rsidRDefault="00FE7EE3" w:rsidP="00FE7EE3">
            <w:pPr>
              <w:jc w:val="right"/>
              <w:rPr>
                <w:rFonts w:ascii="Arial" w:hAnsi="Arial" w:cs="Arial"/>
                <w:sz w:val="20"/>
                <w:szCs w:val="20"/>
              </w:rPr>
            </w:pPr>
            <w:r w:rsidRPr="00D80FBD">
              <w:rPr>
                <w:rFonts w:ascii="Arial" w:hAnsi="Arial" w:cs="Arial"/>
                <w:sz w:val="20"/>
                <w:szCs w:val="20"/>
              </w:rPr>
              <w:t>(8,823,194)</w:t>
            </w:r>
          </w:p>
        </w:tc>
        <w:tc>
          <w:tcPr>
            <w:tcW w:w="1570" w:type="dxa"/>
            <w:gridSpan w:val="2"/>
            <w:tcBorders>
              <w:top w:val="nil"/>
              <w:left w:val="nil"/>
              <w:bottom w:val="nil"/>
              <w:right w:val="nil"/>
            </w:tcBorders>
            <w:noWrap/>
            <w:vAlign w:val="bottom"/>
            <w:hideMark/>
          </w:tcPr>
          <w:p w14:paraId="000A2CC4" w14:textId="70BF72B7" w:rsidR="00FE7EE3" w:rsidRPr="00D80FBD" w:rsidRDefault="00FE7EE3" w:rsidP="00FE7EE3">
            <w:pPr>
              <w:jc w:val="right"/>
              <w:rPr>
                <w:rFonts w:ascii="Arial" w:hAnsi="Arial" w:cs="Arial"/>
                <w:sz w:val="20"/>
                <w:szCs w:val="20"/>
              </w:rPr>
            </w:pPr>
            <w:r w:rsidRPr="00D80FBD">
              <w:rPr>
                <w:rFonts w:ascii="Arial" w:hAnsi="Arial" w:cs="Arial"/>
                <w:sz w:val="20"/>
                <w:szCs w:val="20"/>
              </w:rPr>
              <w:t>(8,517,833)</w:t>
            </w:r>
          </w:p>
        </w:tc>
        <w:tc>
          <w:tcPr>
            <w:tcW w:w="1367" w:type="dxa"/>
            <w:tcBorders>
              <w:top w:val="nil"/>
              <w:left w:val="nil"/>
              <w:bottom w:val="nil"/>
              <w:right w:val="nil"/>
            </w:tcBorders>
            <w:noWrap/>
            <w:vAlign w:val="bottom"/>
            <w:hideMark/>
          </w:tcPr>
          <w:p w14:paraId="21640F81" w14:textId="05E13226" w:rsidR="00FE7EE3" w:rsidRPr="00D80FBD" w:rsidRDefault="00FE7EE3" w:rsidP="00FE7EE3">
            <w:pPr>
              <w:jc w:val="right"/>
              <w:rPr>
                <w:rFonts w:ascii="Arial" w:hAnsi="Arial" w:cs="Arial"/>
                <w:sz w:val="20"/>
                <w:szCs w:val="20"/>
              </w:rPr>
            </w:pPr>
            <w:r w:rsidRPr="00D80FBD">
              <w:rPr>
                <w:rFonts w:ascii="Arial" w:hAnsi="Arial" w:cs="Arial"/>
                <w:sz w:val="20"/>
                <w:szCs w:val="20"/>
              </w:rPr>
              <w:t>(8,321,309)</w:t>
            </w:r>
          </w:p>
        </w:tc>
        <w:tc>
          <w:tcPr>
            <w:tcW w:w="1315" w:type="dxa"/>
            <w:gridSpan w:val="3"/>
            <w:tcBorders>
              <w:top w:val="nil"/>
              <w:left w:val="nil"/>
              <w:bottom w:val="nil"/>
              <w:right w:val="nil"/>
            </w:tcBorders>
            <w:noWrap/>
            <w:vAlign w:val="bottom"/>
            <w:hideMark/>
          </w:tcPr>
          <w:p w14:paraId="16B39977" w14:textId="691CD54D" w:rsidR="00FE7EE3" w:rsidRPr="00D80FBD" w:rsidRDefault="00FE7EE3" w:rsidP="00FE7EE3">
            <w:pPr>
              <w:jc w:val="right"/>
              <w:rPr>
                <w:rFonts w:ascii="Arial" w:hAnsi="Arial" w:cs="Arial"/>
                <w:sz w:val="20"/>
                <w:szCs w:val="20"/>
              </w:rPr>
            </w:pPr>
            <w:r w:rsidRPr="00D80FBD">
              <w:rPr>
                <w:rFonts w:ascii="Arial" w:hAnsi="Arial" w:cs="Arial"/>
                <w:sz w:val="20"/>
                <w:szCs w:val="20"/>
              </w:rPr>
              <w:t>(8,401,444)</w:t>
            </w:r>
          </w:p>
        </w:tc>
      </w:tr>
      <w:tr w:rsidR="00CA78ED" w:rsidRPr="007E659C" w14:paraId="1DC408EF" w14:textId="77777777" w:rsidTr="1079040B">
        <w:trPr>
          <w:trHeight w:val="230"/>
        </w:trPr>
        <w:tc>
          <w:tcPr>
            <w:tcW w:w="3544" w:type="dxa"/>
            <w:gridSpan w:val="2"/>
            <w:tcBorders>
              <w:top w:val="nil"/>
              <w:left w:val="nil"/>
              <w:bottom w:val="nil"/>
              <w:right w:val="nil"/>
            </w:tcBorders>
            <w:noWrap/>
            <w:vAlign w:val="center"/>
            <w:hideMark/>
          </w:tcPr>
          <w:p w14:paraId="50A4D5EA" w14:textId="77777777" w:rsidR="00FE7EE3" w:rsidRPr="00D80FBD" w:rsidRDefault="00FE7EE3" w:rsidP="00FE7EE3">
            <w:pPr>
              <w:rPr>
                <w:rFonts w:ascii="Arial" w:hAnsi="Arial" w:cs="Arial"/>
                <w:color w:val="000000"/>
                <w:sz w:val="20"/>
                <w:szCs w:val="20"/>
              </w:rPr>
            </w:pPr>
            <w:r w:rsidRPr="00D80FBD">
              <w:rPr>
                <w:rFonts w:ascii="Arial" w:hAnsi="Arial" w:cs="Arial"/>
                <w:color w:val="000000" w:themeColor="text1"/>
                <w:sz w:val="20"/>
                <w:szCs w:val="20"/>
              </w:rPr>
              <w:t>DRF received in year</w:t>
            </w:r>
          </w:p>
        </w:tc>
        <w:tc>
          <w:tcPr>
            <w:tcW w:w="1538" w:type="dxa"/>
            <w:tcBorders>
              <w:top w:val="nil"/>
              <w:left w:val="nil"/>
              <w:bottom w:val="nil"/>
              <w:right w:val="nil"/>
            </w:tcBorders>
            <w:noWrap/>
            <w:vAlign w:val="bottom"/>
            <w:hideMark/>
          </w:tcPr>
          <w:p w14:paraId="5EAF4FF7" w14:textId="791F094D" w:rsidR="00FE7EE3" w:rsidRPr="00D80FBD" w:rsidRDefault="00FE7EE3" w:rsidP="00FE7EE3">
            <w:pPr>
              <w:jc w:val="right"/>
              <w:rPr>
                <w:rFonts w:ascii="Arial" w:hAnsi="Arial" w:cs="Arial"/>
                <w:color w:val="000000"/>
                <w:sz w:val="20"/>
                <w:szCs w:val="20"/>
              </w:rPr>
            </w:pPr>
            <w:r w:rsidRPr="00D80FBD">
              <w:rPr>
                <w:rFonts w:ascii="Arial" w:hAnsi="Arial" w:cs="Arial"/>
                <w:color w:val="000000" w:themeColor="text1"/>
                <w:sz w:val="20"/>
                <w:szCs w:val="20"/>
              </w:rPr>
              <w:t>4,200,000</w:t>
            </w:r>
          </w:p>
        </w:tc>
        <w:tc>
          <w:tcPr>
            <w:tcW w:w="1740" w:type="dxa"/>
            <w:gridSpan w:val="3"/>
            <w:tcBorders>
              <w:top w:val="nil"/>
              <w:left w:val="nil"/>
              <w:bottom w:val="nil"/>
              <w:right w:val="nil"/>
            </w:tcBorders>
            <w:noWrap/>
            <w:vAlign w:val="bottom"/>
            <w:hideMark/>
          </w:tcPr>
          <w:p w14:paraId="069BAE65" w14:textId="3677F43E" w:rsidR="00FE7EE3" w:rsidRPr="00D80FBD" w:rsidRDefault="00FE7EE3" w:rsidP="00FE7EE3">
            <w:pPr>
              <w:jc w:val="right"/>
              <w:rPr>
                <w:rFonts w:ascii="Arial" w:hAnsi="Arial" w:cs="Arial"/>
                <w:sz w:val="20"/>
                <w:szCs w:val="20"/>
              </w:rPr>
            </w:pPr>
            <w:r w:rsidRPr="00D80FBD">
              <w:rPr>
                <w:rFonts w:ascii="Arial" w:hAnsi="Arial" w:cs="Arial"/>
                <w:sz w:val="20"/>
                <w:szCs w:val="20"/>
              </w:rPr>
              <w:t xml:space="preserve">4,700,000 </w:t>
            </w:r>
          </w:p>
        </w:tc>
        <w:tc>
          <w:tcPr>
            <w:tcW w:w="1570" w:type="dxa"/>
            <w:gridSpan w:val="2"/>
            <w:tcBorders>
              <w:top w:val="nil"/>
              <w:left w:val="nil"/>
              <w:bottom w:val="nil"/>
              <w:right w:val="nil"/>
            </w:tcBorders>
            <w:noWrap/>
            <w:vAlign w:val="bottom"/>
            <w:hideMark/>
          </w:tcPr>
          <w:p w14:paraId="1D7E0F3E" w14:textId="6372D3AA" w:rsidR="00FE7EE3" w:rsidRPr="00D80FBD" w:rsidRDefault="00FE7EE3" w:rsidP="00FE7EE3">
            <w:pPr>
              <w:jc w:val="right"/>
              <w:rPr>
                <w:rFonts w:ascii="Arial" w:hAnsi="Arial" w:cs="Arial"/>
                <w:sz w:val="20"/>
                <w:szCs w:val="20"/>
              </w:rPr>
            </w:pPr>
            <w:r w:rsidRPr="00D80FBD">
              <w:rPr>
                <w:rFonts w:ascii="Arial" w:hAnsi="Arial" w:cs="Arial"/>
                <w:sz w:val="20"/>
                <w:szCs w:val="20"/>
              </w:rPr>
              <w:t xml:space="preserve">4,700,000 </w:t>
            </w:r>
          </w:p>
        </w:tc>
        <w:tc>
          <w:tcPr>
            <w:tcW w:w="1367" w:type="dxa"/>
            <w:tcBorders>
              <w:top w:val="nil"/>
              <w:left w:val="nil"/>
              <w:bottom w:val="nil"/>
              <w:right w:val="nil"/>
            </w:tcBorders>
            <w:noWrap/>
            <w:vAlign w:val="bottom"/>
            <w:hideMark/>
          </w:tcPr>
          <w:p w14:paraId="081B79FF" w14:textId="591FB318" w:rsidR="00FE7EE3" w:rsidRPr="00D80FBD" w:rsidRDefault="00FE7EE3" w:rsidP="00FE7EE3">
            <w:pPr>
              <w:jc w:val="right"/>
              <w:rPr>
                <w:rFonts w:ascii="Arial" w:hAnsi="Arial" w:cs="Arial"/>
                <w:sz w:val="20"/>
                <w:szCs w:val="20"/>
              </w:rPr>
            </w:pPr>
            <w:r w:rsidRPr="00D80FBD">
              <w:rPr>
                <w:rFonts w:ascii="Arial" w:hAnsi="Arial" w:cs="Arial"/>
                <w:sz w:val="20"/>
                <w:szCs w:val="20"/>
              </w:rPr>
              <w:t xml:space="preserve">4,700,000 </w:t>
            </w:r>
          </w:p>
        </w:tc>
        <w:tc>
          <w:tcPr>
            <w:tcW w:w="1315" w:type="dxa"/>
            <w:gridSpan w:val="3"/>
            <w:tcBorders>
              <w:top w:val="nil"/>
              <w:left w:val="nil"/>
              <w:bottom w:val="nil"/>
              <w:right w:val="nil"/>
            </w:tcBorders>
            <w:noWrap/>
            <w:vAlign w:val="bottom"/>
            <w:hideMark/>
          </w:tcPr>
          <w:p w14:paraId="2123CF28" w14:textId="52ABB709" w:rsidR="00FE7EE3" w:rsidRPr="00D80FBD" w:rsidRDefault="00FE7EE3" w:rsidP="00FE7EE3">
            <w:pPr>
              <w:jc w:val="right"/>
              <w:rPr>
                <w:rFonts w:ascii="Arial" w:hAnsi="Arial" w:cs="Arial"/>
                <w:sz w:val="20"/>
                <w:szCs w:val="20"/>
              </w:rPr>
            </w:pPr>
            <w:r w:rsidRPr="00D80FBD">
              <w:rPr>
                <w:rFonts w:ascii="Arial" w:hAnsi="Arial" w:cs="Arial"/>
                <w:sz w:val="20"/>
                <w:szCs w:val="20"/>
              </w:rPr>
              <w:t xml:space="preserve">4,700,000 </w:t>
            </w:r>
          </w:p>
        </w:tc>
      </w:tr>
      <w:tr w:rsidR="00CA78ED" w:rsidRPr="007E659C" w14:paraId="17A1466D" w14:textId="77777777" w:rsidTr="1079040B">
        <w:trPr>
          <w:trHeight w:val="239"/>
        </w:trPr>
        <w:tc>
          <w:tcPr>
            <w:tcW w:w="3544" w:type="dxa"/>
            <w:gridSpan w:val="2"/>
            <w:tcBorders>
              <w:top w:val="nil"/>
              <w:left w:val="nil"/>
              <w:bottom w:val="nil"/>
              <w:right w:val="nil"/>
            </w:tcBorders>
            <w:noWrap/>
            <w:vAlign w:val="center"/>
            <w:hideMark/>
          </w:tcPr>
          <w:p w14:paraId="049783FB" w14:textId="77777777" w:rsidR="00FE7EE3" w:rsidRPr="00D80FBD" w:rsidRDefault="00FE7EE3" w:rsidP="00FE7EE3">
            <w:pPr>
              <w:rPr>
                <w:rFonts w:ascii="Arial" w:hAnsi="Arial" w:cs="Arial"/>
                <w:color w:val="000000"/>
                <w:sz w:val="20"/>
                <w:szCs w:val="20"/>
              </w:rPr>
            </w:pPr>
            <w:r w:rsidRPr="00D80FBD">
              <w:rPr>
                <w:rFonts w:ascii="Arial" w:hAnsi="Arial" w:cs="Arial"/>
                <w:color w:val="000000" w:themeColor="text1"/>
                <w:sz w:val="20"/>
                <w:szCs w:val="20"/>
              </w:rPr>
              <w:t>DRF used in financing</w:t>
            </w:r>
          </w:p>
        </w:tc>
        <w:tc>
          <w:tcPr>
            <w:tcW w:w="1538" w:type="dxa"/>
            <w:tcBorders>
              <w:top w:val="nil"/>
              <w:left w:val="nil"/>
              <w:bottom w:val="nil"/>
              <w:right w:val="nil"/>
            </w:tcBorders>
            <w:noWrap/>
            <w:vAlign w:val="bottom"/>
            <w:hideMark/>
          </w:tcPr>
          <w:p w14:paraId="43AEEEC7" w14:textId="75ED3D34" w:rsidR="00FE7EE3" w:rsidRPr="00D80FBD" w:rsidRDefault="00FE7EE3" w:rsidP="00FE7EE3">
            <w:pPr>
              <w:jc w:val="right"/>
              <w:rPr>
                <w:rFonts w:ascii="Arial" w:hAnsi="Arial" w:cs="Arial"/>
                <w:color w:val="000000"/>
                <w:sz w:val="20"/>
                <w:szCs w:val="20"/>
              </w:rPr>
            </w:pPr>
            <w:r w:rsidRPr="00D80FBD">
              <w:rPr>
                <w:rFonts w:ascii="Arial" w:hAnsi="Arial" w:cs="Arial"/>
                <w:color w:val="000000" w:themeColor="text1"/>
                <w:sz w:val="20"/>
                <w:szCs w:val="20"/>
              </w:rPr>
              <w:t>(6,318,746)</w:t>
            </w:r>
          </w:p>
        </w:tc>
        <w:tc>
          <w:tcPr>
            <w:tcW w:w="1740" w:type="dxa"/>
            <w:gridSpan w:val="3"/>
            <w:tcBorders>
              <w:top w:val="nil"/>
              <w:left w:val="nil"/>
              <w:bottom w:val="nil"/>
              <w:right w:val="nil"/>
            </w:tcBorders>
            <w:noWrap/>
            <w:vAlign w:val="bottom"/>
            <w:hideMark/>
          </w:tcPr>
          <w:p w14:paraId="290B23C8" w14:textId="196BF97F" w:rsidR="00FE7EE3" w:rsidRPr="00D80FBD" w:rsidRDefault="00FE7EE3" w:rsidP="00FE7EE3">
            <w:pPr>
              <w:jc w:val="right"/>
              <w:rPr>
                <w:rFonts w:ascii="Arial" w:hAnsi="Arial" w:cs="Arial"/>
                <w:sz w:val="20"/>
                <w:szCs w:val="20"/>
              </w:rPr>
            </w:pPr>
            <w:r w:rsidRPr="00D80FBD">
              <w:rPr>
                <w:rFonts w:ascii="Arial" w:hAnsi="Arial" w:cs="Arial"/>
                <w:sz w:val="20"/>
                <w:szCs w:val="20"/>
              </w:rPr>
              <w:t>(4,950,762)</w:t>
            </w:r>
          </w:p>
        </w:tc>
        <w:tc>
          <w:tcPr>
            <w:tcW w:w="1570" w:type="dxa"/>
            <w:gridSpan w:val="2"/>
            <w:tcBorders>
              <w:top w:val="nil"/>
              <w:left w:val="nil"/>
              <w:bottom w:val="nil"/>
              <w:right w:val="nil"/>
            </w:tcBorders>
            <w:noWrap/>
            <w:vAlign w:val="bottom"/>
            <w:hideMark/>
          </w:tcPr>
          <w:p w14:paraId="2B68812E" w14:textId="74B75E8E" w:rsidR="00FE7EE3" w:rsidRPr="00D80FBD" w:rsidRDefault="00FE7EE3" w:rsidP="00FE7EE3">
            <w:pPr>
              <w:jc w:val="right"/>
              <w:rPr>
                <w:rFonts w:ascii="Arial" w:hAnsi="Arial" w:cs="Arial"/>
                <w:sz w:val="20"/>
                <w:szCs w:val="20"/>
              </w:rPr>
            </w:pPr>
            <w:r w:rsidRPr="00D80FBD">
              <w:rPr>
                <w:rFonts w:ascii="Arial" w:hAnsi="Arial" w:cs="Arial"/>
                <w:sz w:val="20"/>
                <w:szCs w:val="20"/>
              </w:rPr>
              <w:t>(3,601,935)</w:t>
            </w:r>
          </w:p>
        </w:tc>
        <w:tc>
          <w:tcPr>
            <w:tcW w:w="1367" w:type="dxa"/>
            <w:tcBorders>
              <w:top w:val="nil"/>
              <w:left w:val="nil"/>
              <w:bottom w:val="nil"/>
              <w:right w:val="nil"/>
            </w:tcBorders>
            <w:noWrap/>
            <w:vAlign w:val="bottom"/>
            <w:hideMark/>
          </w:tcPr>
          <w:p w14:paraId="63308D29" w14:textId="5222F150" w:rsidR="00FE7EE3" w:rsidRPr="00D80FBD" w:rsidRDefault="00FE7EE3" w:rsidP="00FE7EE3">
            <w:pPr>
              <w:jc w:val="right"/>
              <w:rPr>
                <w:rFonts w:ascii="Arial" w:hAnsi="Arial" w:cs="Arial"/>
                <w:sz w:val="20"/>
                <w:szCs w:val="20"/>
              </w:rPr>
            </w:pPr>
            <w:r w:rsidRPr="00D80FBD">
              <w:rPr>
                <w:rFonts w:ascii="Arial" w:hAnsi="Arial" w:cs="Arial"/>
                <w:sz w:val="20"/>
                <w:szCs w:val="20"/>
              </w:rPr>
              <w:t>(3,651,326)</w:t>
            </w:r>
          </w:p>
        </w:tc>
        <w:tc>
          <w:tcPr>
            <w:tcW w:w="1315" w:type="dxa"/>
            <w:gridSpan w:val="3"/>
            <w:tcBorders>
              <w:top w:val="nil"/>
              <w:left w:val="nil"/>
              <w:bottom w:val="nil"/>
              <w:right w:val="nil"/>
            </w:tcBorders>
            <w:noWrap/>
            <w:vAlign w:val="bottom"/>
            <w:hideMark/>
          </w:tcPr>
          <w:p w14:paraId="58A45AB9" w14:textId="46738EE8" w:rsidR="00FE7EE3" w:rsidRPr="00D80FBD" w:rsidRDefault="00FE7EE3" w:rsidP="00FE7EE3">
            <w:pPr>
              <w:jc w:val="right"/>
              <w:rPr>
                <w:rFonts w:ascii="Arial" w:hAnsi="Arial" w:cs="Arial"/>
                <w:sz w:val="20"/>
                <w:szCs w:val="20"/>
              </w:rPr>
            </w:pPr>
            <w:r w:rsidRPr="00D80FBD">
              <w:rPr>
                <w:rFonts w:ascii="Arial" w:hAnsi="Arial" w:cs="Arial"/>
                <w:sz w:val="20"/>
                <w:szCs w:val="20"/>
              </w:rPr>
              <w:t>(3,556,326)</w:t>
            </w:r>
          </w:p>
        </w:tc>
      </w:tr>
      <w:tr w:rsidR="00CA78ED" w:rsidRPr="00CF10F0" w14:paraId="1730F8D1" w14:textId="77777777" w:rsidTr="1079040B">
        <w:trPr>
          <w:trHeight w:val="239"/>
        </w:trPr>
        <w:tc>
          <w:tcPr>
            <w:tcW w:w="3544" w:type="dxa"/>
            <w:gridSpan w:val="2"/>
            <w:tcBorders>
              <w:top w:val="nil"/>
              <w:left w:val="nil"/>
              <w:bottom w:val="nil"/>
              <w:right w:val="nil"/>
            </w:tcBorders>
            <w:noWrap/>
            <w:vAlign w:val="center"/>
            <w:hideMark/>
          </w:tcPr>
          <w:p w14:paraId="211780F7" w14:textId="77777777" w:rsidR="00CF10F0" w:rsidRPr="00D80FBD" w:rsidRDefault="00CF10F0" w:rsidP="00CF10F0">
            <w:pPr>
              <w:rPr>
                <w:rFonts w:ascii="Arial" w:hAnsi="Arial" w:cs="Arial"/>
                <w:color w:val="000000"/>
                <w:sz w:val="20"/>
                <w:szCs w:val="20"/>
              </w:rPr>
            </w:pPr>
            <w:r w:rsidRPr="00D80FBD">
              <w:rPr>
                <w:rFonts w:ascii="Arial" w:hAnsi="Arial" w:cs="Arial"/>
                <w:color w:val="000000" w:themeColor="text1"/>
                <w:sz w:val="20"/>
                <w:szCs w:val="20"/>
              </w:rPr>
              <w:t>Closing balance</w:t>
            </w:r>
          </w:p>
        </w:tc>
        <w:tc>
          <w:tcPr>
            <w:tcW w:w="1538" w:type="dxa"/>
            <w:tcBorders>
              <w:top w:val="single" w:sz="8" w:space="0" w:color="auto"/>
              <w:left w:val="nil"/>
              <w:bottom w:val="single" w:sz="8" w:space="0" w:color="auto"/>
              <w:right w:val="nil"/>
            </w:tcBorders>
            <w:noWrap/>
            <w:vAlign w:val="bottom"/>
            <w:hideMark/>
          </w:tcPr>
          <w:p w14:paraId="1DBB5481" w14:textId="02E20866" w:rsidR="00CF10F0" w:rsidRPr="00CF10F0" w:rsidRDefault="00CF10F0" w:rsidP="00CF10F0">
            <w:pPr>
              <w:jc w:val="right"/>
              <w:rPr>
                <w:rFonts w:ascii="Arial" w:hAnsi="Arial" w:cs="Arial"/>
                <w:color w:val="000000" w:themeColor="text1"/>
                <w:sz w:val="20"/>
                <w:szCs w:val="20"/>
              </w:rPr>
            </w:pPr>
            <w:r w:rsidRPr="00CF10F0">
              <w:rPr>
                <w:rFonts w:ascii="Arial" w:hAnsi="Arial" w:cs="Arial"/>
                <w:color w:val="000000" w:themeColor="text1"/>
                <w:sz w:val="20"/>
                <w:szCs w:val="20"/>
              </w:rPr>
              <w:t xml:space="preserve">11,300,076 </w:t>
            </w:r>
          </w:p>
        </w:tc>
        <w:tc>
          <w:tcPr>
            <w:tcW w:w="1740" w:type="dxa"/>
            <w:gridSpan w:val="3"/>
            <w:tcBorders>
              <w:top w:val="single" w:sz="8" w:space="0" w:color="auto"/>
              <w:left w:val="nil"/>
              <w:bottom w:val="single" w:sz="8" w:space="0" w:color="auto"/>
              <w:right w:val="nil"/>
            </w:tcBorders>
            <w:noWrap/>
            <w:vAlign w:val="bottom"/>
            <w:hideMark/>
          </w:tcPr>
          <w:p w14:paraId="36A5AB5C" w14:textId="34090A21" w:rsidR="00CF10F0" w:rsidRPr="00CF10F0" w:rsidRDefault="00CF10F0" w:rsidP="00CF10F0">
            <w:pPr>
              <w:jc w:val="right"/>
              <w:rPr>
                <w:rFonts w:ascii="Arial" w:hAnsi="Arial" w:cs="Arial"/>
                <w:color w:val="000000" w:themeColor="text1"/>
                <w:sz w:val="20"/>
                <w:szCs w:val="20"/>
              </w:rPr>
            </w:pPr>
            <w:r w:rsidRPr="00CF10F0">
              <w:rPr>
                <w:rFonts w:ascii="Arial" w:hAnsi="Arial" w:cs="Arial"/>
                <w:color w:val="000000" w:themeColor="text1"/>
                <w:sz w:val="20"/>
                <w:szCs w:val="20"/>
              </w:rPr>
              <w:t xml:space="preserve">11,581,791 </w:t>
            </w:r>
          </w:p>
        </w:tc>
        <w:tc>
          <w:tcPr>
            <w:tcW w:w="1570" w:type="dxa"/>
            <w:gridSpan w:val="2"/>
            <w:tcBorders>
              <w:top w:val="single" w:sz="8" w:space="0" w:color="auto"/>
              <w:left w:val="nil"/>
              <w:bottom w:val="single" w:sz="8" w:space="0" w:color="auto"/>
              <w:right w:val="nil"/>
            </w:tcBorders>
            <w:noWrap/>
            <w:vAlign w:val="bottom"/>
            <w:hideMark/>
          </w:tcPr>
          <w:p w14:paraId="0CABC1BD" w14:textId="1085839B" w:rsidR="00CF10F0" w:rsidRPr="00CF10F0" w:rsidRDefault="00CF10F0" w:rsidP="00CF10F0">
            <w:pPr>
              <w:jc w:val="right"/>
              <w:rPr>
                <w:rFonts w:ascii="Arial" w:hAnsi="Arial" w:cs="Arial"/>
                <w:color w:val="000000" w:themeColor="text1"/>
                <w:sz w:val="20"/>
                <w:szCs w:val="20"/>
              </w:rPr>
            </w:pPr>
            <w:r w:rsidRPr="00CF10F0">
              <w:rPr>
                <w:rFonts w:ascii="Arial" w:hAnsi="Arial" w:cs="Arial"/>
                <w:color w:val="000000" w:themeColor="text1"/>
                <w:sz w:val="20"/>
                <w:szCs w:val="20"/>
              </w:rPr>
              <w:t xml:space="preserve">13,661,162 </w:t>
            </w:r>
          </w:p>
        </w:tc>
        <w:tc>
          <w:tcPr>
            <w:tcW w:w="1367" w:type="dxa"/>
            <w:tcBorders>
              <w:top w:val="single" w:sz="8" w:space="0" w:color="auto"/>
              <w:left w:val="nil"/>
              <w:bottom w:val="single" w:sz="8" w:space="0" w:color="auto"/>
              <w:right w:val="nil"/>
            </w:tcBorders>
            <w:noWrap/>
            <w:vAlign w:val="bottom"/>
            <w:hideMark/>
          </w:tcPr>
          <w:p w14:paraId="343436EB" w14:textId="16FEC185" w:rsidR="00CF10F0" w:rsidRPr="00CF10F0" w:rsidRDefault="00CF10F0" w:rsidP="00CF10F0">
            <w:pPr>
              <w:jc w:val="right"/>
              <w:rPr>
                <w:rFonts w:ascii="Arial" w:hAnsi="Arial" w:cs="Arial"/>
                <w:color w:val="000000" w:themeColor="text1"/>
                <w:sz w:val="20"/>
                <w:szCs w:val="20"/>
              </w:rPr>
            </w:pPr>
            <w:r w:rsidRPr="00CF10F0">
              <w:rPr>
                <w:rFonts w:ascii="Arial" w:hAnsi="Arial" w:cs="Arial"/>
                <w:color w:val="000000" w:themeColor="text1"/>
                <w:sz w:val="20"/>
                <w:szCs w:val="20"/>
              </w:rPr>
              <w:t xml:space="preserve">16,060,308 </w:t>
            </w:r>
          </w:p>
        </w:tc>
        <w:tc>
          <w:tcPr>
            <w:tcW w:w="1315" w:type="dxa"/>
            <w:gridSpan w:val="3"/>
            <w:tcBorders>
              <w:top w:val="single" w:sz="8" w:space="0" w:color="auto"/>
              <w:left w:val="nil"/>
              <w:bottom w:val="single" w:sz="8" w:space="0" w:color="auto"/>
              <w:right w:val="nil"/>
            </w:tcBorders>
            <w:noWrap/>
            <w:vAlign w:val="bottom"/>
            <w:hideMark/>
          </w:tcPr>
          <w:p w14:paraId="522BA53E" w14:textId="68BF7467" w:rsidR="00CF10F0" w:rsidRPr="00CF10F0" w:rsidRDefault="00CF10F0" w:rsidP="00CF10F0">
            <w:pPr>
              <w:jc w:val="right"/>
              <w:rPr>
                <w:rFonts w:ascii="Arial" w:hAnsi="Arial" w:cs="Arial"/>
                <w:color w:val="000000" w:themeColor="text1"/>
                <w:sz w:val="20"/>
                <w:szCs w:val="20"/>
              </w:rPr>
            </w:pPr>
            <w:r w:rsidRPr="1079040B">
              <w:rPr>
                <w:rFonts w:ascii="Arial" w:hAnsi="Arial" w:cs="Arial"/>
                <w:color w:val="000000" w:themeColor="text1"/>
                <w:sz w:val="20"/>
                <w:szCs w:val="20"/>
              </w:rPr>
              <w:t>18,632,207</w:t>
            </w:r>
          </w:p>
        </w:tc>
      </w:tr>
      <w:tr w:rsidR="00CA78ED" w:rsidRPr="007E659C" w14:paraId="4C412C2B" w14:textId="77777777" w:rsidTr="1079040B">
        <w:trPr>
          <w:trHeight w:val="230"/>
        </w:trPr>
        <w:tc>
          <w:tcPr>
            <w:tcW w:w="3544" w:type="dxa"/>
            <w:gridSpan w:val="2"/>
            <w:tcBorders>
              <w:top w:val="nil"/>
              <w:left w:val="nil"/>
              <w:bottom w:val="nil"/>
              <w:right w:val="nil"/>
            </w:tcBorders>
            <w:noWrap/>
            <w:vAlign w:val="center"/>
            <w:hideMark/>
          </w:tcPr>
          <w:p w14:paraId="4CC62CB0" w14:textId="77777777" w:rsidR="003A1FA1" w:rsidRPr="00D80FBD" w:rsidRDefault="003A1FA1" w:rsidP="003A1FA1">
            <w:pPr>
              <w:jc w:val="right"/>
              <w:rPr>
                <w:rFonts w:ascii="Arial" w:hAnsi="Arial" w:cs="Arial"/>
                <w:color w:val="000000"/>
                <w:sz w:val="20"/>
                <w:szCs w:val="20"/>
              </w:rPr>
            </w:pPr>
          </w:p>
        </w:tc>
        <w:tc>
          <w:tcPr>
            <w:tcW w:w="1538" w:type="dxa"/>
            <w:tcBorders>
              <w:top w:val="nil"/>
              <w:left w:val="nil"/>
              <w:bottom w:val="nil"/>
              <w:right w:val="nil"/>
            </w:tcBorders>
            <w:noWrap/>
            <w:vAlign w:val="center"/>
            <w:hideMark/>
          </w:tcPr>
          <w:p w14:paraId="69AD2FB5" w14:textId="77777777" w:rsidR="003A1FA1" w:rsidRPr="00D80FBD" w:rsidRDefault="003A1FA1" w:rsidP="00423E03">
            <w:pPr>
              <w:jc w:val="right"/>
              <w:rPr>
                <w:sz w:val="20"/>
                <w:szCs w:val="20"/>
              </w:rPr>
            </w:pPr>
          </w:p>
        </w:tc>
        <w:tc>
          <w:tcPr>
            <w:tcW w:w="1740" w:type="dxa"/>
            <w:gridSpan w:val="3"/>
            <w:tcBorders>
              <w:top w:val="nil"/>
              <w:left w:val="nil"/>
              <w:bottom w:val="nil"/>
              <w:right w:val="nil"/>
            </w:tcBorders>
            <w:noWrap/>
            <w:vAlign w:val="center"/>
            <w:hideMark/>
          </w:tcPr>
          <w:p w14:paraId="340C0F71" w14:textId="77777777" w:rsidR="003A1FA1" w:rsidRPr="00D80FBD" w:rsidRDefault="003A1FA1" w:rsidP="003A1FA1">
            <w:pPr>
              <w:jc w:val="right"/>
              <w:rPr>
                <w:sz w:val="20"/>
                <w:szCs w:val="20"/>
              </w:rPr>
            </w:pPr>
          </w:p>
        </w:tc>
        <w:tc>
          <w:tcPr>
            <w:tcW w:w="1570" w:type="dxa"/>
            <w:gridSpan w:val="2"/>
            <w:tcBorders>
              <w:top w:val="nil"/>
              <w:left w:val="nil"/>
              <w:bottom w:val="nil"/>
              <w:right w:val="nil"/>
            </w:tcBorders>
            <w:noWrap/>
            <w:vAlign w:val="center"/>
            <w:hideMark/>
          </w:tcPr>
          <w:p w14:paraId="4DB92FFA" w14:textId="77777777" w:rsidR="003A1FA1" w:rsidRPr="00D80FBD" w:rsidRDefault="003A1FA1" w:rsidP="003A1FA1">
            <w:pPr>
              <w:jc w:val="right"/>
              <w:rPr>
                <w:sz w:val="20"/>
                <w:szCs w:val="20"/>
              </w:rPr>
            </w:pPr>
          </w:p>
        </w:tc>
        <w:tc>
          <w:tcPr>
            <w:tcW w:w="1367" w:type="dxa"/>
            <w:tcBorders>
              <w:top w:val="nil"/>
              <w:left w:val="nil"/>
              <w:bottom w:val="nil"/>
              <w:right w:val="nil"/>
            </w:tcBorders>
            <w:noWrap/>
            <w:vAlign w:val="center"/>
            <w:hideMark/>
          </w:tcPr>
          <w:p w14:paraId="54726010" w14:textId="77777777" w:rsidR="003A1FA1" w:rsidRPr="00D80FBD" w:rsidRDefault="003A1FA1" w:rsidP="003A1FA1">
            <w:pPr>
              <w:jc w:val="right"/>
              <w:rPr>
                <w:sz w:val="20"/>
                <w:szCs w:val="20"/>
              </w:rPr>
            </w:pPr>
          </w:p>
        </w:tc>
        <w:tc>
          <w:tcPr>
            <w:tcW w:w="1315" w:type="dxa"/>
            <w:gridSpan w:val="3"/>
            <w:tcBorders>
              <w:top w:val="nil"/>
              <w:left w:val="nil"/>
              <w:bottom w:val="nil"/>
              <w:right w:val="nil"/>
            </w:tcBorders>
            <w:noWrap/>
            <w:vAlign w:val="center"/>
            <w:hideMark/>
          </w:tcPr>
          <w:p w14:paraId="42DC2246" w14:textId="77777777" w:rsidR="003A1FA1" w:rsidRPr="00D80FBD" w:rsidRDefault="003A1FA1" w:rsidP="003A1FA1">
            <w:pPr>
              <w:jc w:val="right"/>
              <w:rPr>
                <w:sz w:val="20"/>
                <w:szCs w:val="20"/>
              </w:rPr>
            </w:pPr>
          </w:p>
        </w:tc>
      </w:tr>
      <w:tr w:rsidR="00CA78ED" w:rsidRPr="007E659C" w14:paraId="53F17C5C" w14:textId="77777777" w:rsidTr="1079040B">
        <w:trPr>
          <w:trHeight w:val="230"/>
        </w:trPr>
        <w:tc>
          <w:tcPr>
            <w:tcW w:w="3544" w:type="dxa"/>
            <w:gridSpan w:val="2"/>
            <w:tcBorders>
              <w:top w:val="nil"/>
              <w:left w:val="nil"/>
              <w:bottom w:val="nil"/>
              <w:right w:val="nil"/>
            </w:tcBorders>
            <w:noWrap/>
            <w:vAlign w:val="center"/>
            <w:hideMark/>
          </w:tcPr>
          <w:p w14:paraId="7B4848F5" w14:textId="77777777" w:rsidR="003A1FA1" w:rsidRPr="00D80FBD" w:rsidRDefault="003A1FA1" w:rsidP="003A1FA1">
            <w:pPr>
              <w:rPr>
                <w:rFonts w:ascii="Arial" w:hAnsi="Arial" w:cs="Arial"/>
                <w:b/>
                <w:i/>
                <w:color w:val="000000"/>
                <w:sz w:val="20"/>
                <w:szCs w:val="20"/>
              </w:rPr>
            </w:pPr>
            <w:r w:rsidRPr="00D80FBD">
              <w:rPr>
                <w:rFonts w:ascii="Arial" w:hAnsi="Arial" w:cs="Arial"/>
                <w:b/>
                <w:i/>
                <w:color w:val="000000" w:themeColor="text1"/>
                <w:sz w:val="20"/>
                <w:szCs w:val="20"/>
              </w:rPr>
              <w:t>Capital receipts</w:t>
            </w:r>
          </w:p>
        </w:tc>
        <w:tc>
          <w:tcPr>
            <w:tcW w:w="1538" w:type="dxa"/>
            <w:tcBorders>
              <w:top w:val="nil"/>
              <w:left w:val="nil"/>
              <w:bottom w:val="nil"/>
              <w:right w:val="nil"/>
            </w:tcBorders>
            <w:noWrap/>
            <w:vAlign w:val="center"/>
            <w:hideMark/>
          </w:tcPr>
          <w:p w14:paraId="1F23C8F4" w14:textId="77777777" w:rsidR="003A1FA1" w:rsidRPr="00D80FBD" w:rsidRDefault="003A1FA1" w:rsidP="00423E03">
            <w:pPr>
              <w:jc w:val="right"/>
              <w:rPr>
                <w:rFonts w:ascii="Arial" w:hAnsi="Arial" w:cs="Arial"/>
                <w:b/>
                <w:i/>
                <w:color w:val="000000"/>
                <w:sz w:val="20"/>
                <w:szCs w:val="20"/>
              </w:rPr>
            </w:pPr>
          </w:p>
        </w:tc>
        <w:tc>
          <w:tcPr>
            <w:tcW w:w="1740" w:type="dxa"/>
            <w:gridSpan w:val="3"/>
            <w:tcBorders>
              <w:top w:val="nil"/>
              <w:left w:val="nil"/>
              <w:bottom w:val="nil"/>
              <w:right w:val="nil"/>
            </w:tcBorders>
            <w:noWrap/>
            <w:vAlign w:val="center"/>
            <w:hideMark/>
          </w:tcPr>
          <w:p w14:paraId="3AE10C7C" w14:textId="77777777" w:rsidR="003A1FA1" w:rsidRPr="00D80FBD" w:rsidRDefault="003A1FA1" w:rsidP="003A1FA1">
            <w:pPr>
              <w:jc w:val="right"/>
              <w:rPr>
                <w:sz w:val="20"/>
                <w:szCs w:val="20"/>
              </w:rPr>
            </w:pPr>
          </w:p>
        </w:tc>
        <w:tc>
          <w:tcPr>
            <w:tcW w:w="1570" w:type="dxa"/>
            <w:gridSpan w:val="2"/>
            <w:tcBorders>
              <w:top w:val="nil"/>
              <w:left w:val="nil"/>
              <w:bottom w:val="nil"/>
              <w:right w:val="nil"/>
            </w:tcBorders>
            <w:noWrap/>
            <w:vAlign w:val="center"/>
            <w:hideMark/>
          </w:tcPr>
          <w:p w14:paraId="66A8D4B3" w14:textId="77777777" w:rsidR="003A1FA1" w:rsidRPr="00D80FBD" w:rsidRDefault="003A1FA1" w:rsidP="003A1FA1">
            <w:pPr>
              <w:jc w:val="right"/>
              <w:rPr>
                <w:sz w:val="20"/>
                <w:szCs w:val="20"/>
              </w:rPr>
            </w:pPr>
          </w:p>
        </w:tc>
        <w:tc>
          <w:tcPr>
            <w:tcW w:w="1367" w:type="dxa"/>
            <w:tcBorders>
              <w:top w:val="nil"/>
              <w:left w:val="nil"/>
              <w:bottom w:val="nil"/>
              <w:right w:val="nil"/>
            </w:tcBorders>
            <w:noWrap/>
            <w:vAlign w:val="center"/>
            <w:hideMark/>
          </w:tcPr>
          <w:p w14:paraId="75F4C731" w14:textId="77777777" w:rsidR="003A1FA1" w:rsidRPr="00D80FBD" w:rsidRDefault="003A1FA1" w:rsidP="003A1FA1">
            <w:pPr>
              <w:jc w:val="right"/>
              <w:rPr>
                <w:sz w:val="20"/>
                <w:szCs w:val="20"/>
              </w:rPr>
            </w:pPr>
          </w:p>
        </w:tc>
        <w:tc>
          <w:tcPr>
            <w:tcW w:w="1315" w:type="dxa"/>
            <w:gridSpan w:val="3"/>
            <w:tcBorders>
              <w:top w:val="nil"/>
              <w:left w:val="nil"/>
              <w:bottom w:val="nil"/>
              <w:right w:val="nil"/>
            </w:tcBorders>
            <w:noWrap/>
            <w:vAlign w:val="center"/>
            <w:hideMark/>
          </w:tcPr>
          <w:p w14:paraId="4A8A9FC8" w14:textId="77777777" w:rsidR="003A1FA1" w:rsidRPr="00D80FBD" w:rsidRDefault="003A1FA1" w:rsidP="003A1FA1">
            <w:pPr>
              <w:jc w:val="right"/>
              <w:rPr>
                <w:sz w:val="20"/>
                <w:szCs w:val="20"/>
              </w:rPr>
            </w:pPr>
          </w:p>
        </w:tc>
      </w:tr>
      <w:tr w:rsidR="00CA78ED" w:rsidRPr="007E659C" w14:paraId="7232260E" w14:textId="77777777" w:rsidTr="1079040B">
        <w:trPr>
          <w:trHeight w:val="230"/>
        </w:trPr>
        <w:tc>
          <w:tcPr>
            <w:tcW w:w="3544" w:type="dxa"/>
            <w:gridSpan w:val="2"/>
            <w:tcBorders>
              <w:top w:val="nil"/>
              <w:left w:val="nil"/>
              <w:bottom w:val="nil"/>
              <w:right w:val="nil"/>
            </w:tcBorders>
            <w:noWrap/>
            <w:vAlign w:val="center"/>
            <w:hideMark/>
          </w:tcPr>
          <w:p w14:paraId="723CB9E6" w14:textId="77777777" w:rsidR="0011557D" w:rsidRPr="00D80FBD" w:rsidRDefault="0011557D" w:rsidP="0011557D">
            <w:pPr>
              <w:rPr>
                <w:rFonts w:ascii="Arial" w:hAnsi="Arial" w:cs="Arial"/>
                <w:color w:val="000000"/>
                <w:sz w:val="20"/>
                <w:szCs w:val="20"/>
              </w:rPr>
            </w:pPr>
            <w:r w:rsidRPr="00D80FBD">
              <w:rPr>
                <w:rFonts w:ascii="Arial" w:hAnsi="Arial" w:cs="Arial"/>
                <w:color w:val="000000" w:themeColor="text1"/>
                <w:sz w:val="20"/>
                <w:szCs w:val="20"/>
              </w:rPr>
              <w:t>Opening balance</w:t>
            </w:r>
          </w:p>
        </w:tc>
        <w:tc>
          <w:tcPr>
            <w:tcW w:w="1538" w:type="dxa"/>
            <w:tcBorders>
              <w:top w:val="nil"/>
              <w:left w:val="nil"/>
              <w:bottom w:val="nil"/>
              <w:right w:val="nil"/>
            </w:tcBorders>
            <w:noWrap/>
            <w:vAlign w:val="bottom"/>
            <w:hideMark/>
          </w:tcPr>
          <w:p w14:paraId="1EB49CA6" w14:textId="4B0BB801" w:rsidR="0011557D" w:rsidRPr="00D80FBD" w:rsidRDefault="0011557D" w:rsidP="0011557D">
            <w:pPr>
              <w:jc w:val="right"/>
              <w:rPr>
                <w:rFonts w:ascii="Arial" w:hAnsi="Arial" w:cs="Arial"/>
                <w:color w:val="000000"/>
                <w:sz w:val="20"/>
                <w:szCs w:val="20"/>
              </w:rPr>
            </w:pPr>
            <w:r w:rsidRPr="00D80FBD">
              <w:rPr>
                <w:rFonts w:ascii="Arial" w:hAnsi="Arial" w:cs="Arial"/>
                <w:color w:val="000000" w:themeColor="text1"/>
                <w:sz w:val="20"/>
                <w:szCs w:val="20"/>
              </w:rPr>
              <w:t>3,0</w:t>
            </w:r>
            <w:r w:rsidR="6FB1F2D7" w:rsidRPr="00D80FBD">
              <w:rPr>
                <w:rFonts w:ascii="Arial" w:hAnsi="Arial" w:cs="Arial"/>
                <w:color w:val="000000" w:themeColor="text1"/>
                <w:sz w:val="20"/>
                <w:szCs w:val="20"/>
              </w:rPr>
              <w:t>14</w:t>
            </w:r>
            <w:r w:rsidRPr="00D80FBD">
              <w:rPr>
                <w:rFonts w:ascii="Arial" w:hAnsi="Arial" w:cs="Arial"/>
                <w:color w:val="000000" w:themeColor="text1"/>
                <w:sz w:val="20"/>
                <w:szCs w:val="20"/>
              </w:rPr>
              <w:t>,</w:t>
            </w:r>
            <w:r w:rsidR="07AA127C" w:rsidRPr="00D80FBD">
              <w:rPr>
                <w:rFonts w:ascii="Arial" w:hAnsi="Arial" w:cs="Arial"/>
                <w:color w:val="000000" w:themeColor="text1"/>
                <w:sz w:val="20"/>
                <w:szCs w:val="20"/>
              </w:rPr>
              <w:t>672</w:t>
            </w:r>
            <w:r w:rsidRPr="00D80FBD">
              <w:rPr>
                <w:rFonts w:ascii="Arial" w:hAnsi="Arial" w:cs="Arial"/>
                <w:color w:val="000000" w:themeColor="text1"/>
                <w:sz w:val="20"/>
                <w:szCs w:val="20"/>
              </w:rPr>
              <w:t xml:space="preserve"> </w:t>
            </w:r>
          </w:p>
        </w:tc>
        <w:tc>
          <w:tcPr>
            <w:tcW w:w="1740" w:type="dxa"/>
            <w:gridSpan w:val="3"/>
            <w:tcBorders>
              <w:top w:val="nil"/>
              <w:left w:val="nil"/>
              <w:bottom w:val="nil"/>
              <w:right w:val="nil"/>
            </w:tcBorders>
            <w:noWrap/>
            <w:vAlign w:val="bottom"/>
            <w:hideMark/>
          </w:tcPr>
          <w:p w14:paraId="11EA5BF5" w14:textId="7C39E69F" w:rsidR="0011557D" w:rsidRPr="00D80FBD" w:rsidRDefault="0011557D" w:rsidP="0011557D">
            <w:pPr>
              <w:jc w:val="right"/>
              <w:rPr>
                <w:rFonts w:ascii="Arial" w:hAnsi="Arial" w:cs="Arial"/>
                <w:sz w:val="20"/>
                <w:szCs w:val="20"/>
              </w:rPr>
            </w:pPr>
            <w:r w:rsidRPr="00D80FBD">
              <w:rPr>
                <w:rFonts w:ascii="Arial" w:hAnsi="Arial" w:cs="Arial"/>
                <w:sz w:val="20"/>
                <w:szCs w:val="20"/>
              </w:rPr>
              <w:t>3,5</w:t>
            </w:r>
            <w:r w:rsidR="008724C4" w:rsidRPr="00D80FBD">
              <w:rPr>
                <w:rFonts w:ascii="Arial" w:hAnsi="Arial" w:cs="Arial"/>
                <w:sz w:val="20"/>
                <w:szCs w:val="20"/>
              </w:rPr>
              <w:t>03</w:t>
            </w:r>
            <w:r w:rsidR="00EB3E13" w:rsidRPr="00D80FBD">
              <w:rPr>
                <w:rFonts w:ascii="Arial" w:hAnsi="Arial" w:cs="Arial"/>
                <w:sz w:val="20"/>
                <w:szCs w:val="20"/>
              </w:rPr>
              <w:t>,308</w:t>
            </w:r>
            <w:r w:rsidRPr="00D80FBD">
              <w:rPr>
                <w:rFonts w:ascii="Arial" w:hAnsi="Arial" w:cs="Arial"/>
                <w:sz w:val="20"/>
                <w:szCs w:val="20"/>
              </w:rPr>
              <w:t xml:space="preserve"> </w:t>
            </w:r>
          </w:p>
        </w:tc>
        <w:tc>
          <w:tcPr>
            <w:tcW w:w="1570" w:type="dxa"/>
            <w:gridSpan w:val="2"/>
            <w:tcBorders>
              <w:top w:val="nil"/>
              <w:left w:val="nil"/>
              <w:bottom w:val="nil"/>
              <w:right w:val="nil"/>
            </w:tcBorders>
            <w:noWrap/>
            <w:vAlign w:val="bottom"/>
            <w:hideMark/>
          </w:tcPr>
          <w:p w14:paraId="66D67CB3" w14:textId="744699AF" w:rsidR="0011557D" w:rsidRPr="00D80FBD" w:rsidRDefault="0011557D" w:rsidP="0011557D">
            <w:pPr>
              <w:jc w:val="right"/>
              <w:rPr>
                <w:rFonts w:ascii="Arial" w:hAnsi="Arial" w:cs="Arial"/>
                <w:sz w:val="20"/>
                <w:szCs w:val="20"/>
              </w:rPr>
            </w:pPr>
            <w:r w:rsidRPr="00D80FBD">
              <w:rPr>
                <w:rFonts w:ascii="Arial" w:hAnsi="Arial" w:cs="Arial"/>
                <w:sz w:val="20"/>
                <w:szCs w:val="20"/>
              </w:rPr>
              <w:t>4,0</w:t>
            </w:r>
            <w:r w:rsidR="00EB3E13" w:rsidRPr="00D80FBD">
              <w:rPr>
                <w:rFonts w:ascii="Arial" w:hAnsi="Arial" w:cs="Arial"/>
                <w:sz w:val="20"/>
                <w:szCs w:val="20"/>
              </w:rPr>
              <w:t>11,812</w:t>
            </w:r>
            <w:r w:rsidRPr="00D80FBD">
              <w:rPr>
                <w:rFonts w:ascii="Arial" w:hAnsi="Arial" w:cs="Arial"/>
                <w:sz w:val="20"/>
                <w:szCs w:val="20"/>
              </w:rPr>
              <w:t xml:space="preserve"> </w:t>
            </w:r>
          </w:p>
        </w:tc>
        <w:tc>
          <w:tcPr>
            <w:tcW w:w="1367" w:type="dxa"/>
            <w:tcBorders>
              <w:top w:val="nil"/>
              <w:left w:val="nil"/>
              <w:bottom w:val="nil"/>
              <w:right w:val="nil"/>
            </w:tcBorders>
            <w:noWrap/>
            <w:vAlign w:val="bottom"/>
            <w:hideMark/>
          </w:tcPr>
          <w:p w14:paraId="4D7ACFCB" w14:textId="68A9B0AF" w:rsidR="0011557D" w:rsidRPr="00D80FBD" w:rsidRDefault="0011557D" w:rsidP="0011557D">
            <w:pPr>
              <w:jc w:val="right"/>
              <w:rPr>
                <w:rFonts w:ascii="Arial" w:hAnsi="Arial" w:cs="Arial"/>
                <w:sz w:val="20"/>
                <w:szCs w:val="20"/>
              </w:rPr>
            </w:pPr>
            <w:r w:rsidRPr="00D80FBD">
              <w:rPr>
                <w:rFonts w:ascii="Arial" w:hAnsi="Arial" w:cs="Arial"/>
                <w:sz w:val="20"/>
                <w:szCs w:val="20"/>
              </w:rPr>
              <w:t>4,5</w:t>
            </w:r>
            <w:r w:rsidR="00EF2221" w:rsidRPr="00D80FBD">
              <w:rPr>
                <w:rFonts w:ascii="Arial" w:hAnsi="Arial" w:cs="Arial"/>
                <w:sz w:val="20"/>
                <w:szCs w:val="20"/>
              </w:rPr>
              <w:t>40,800</w:t>
            </w:r>
            <w:r w:rsidRPr="00D80FBD">
              <w:rPr>
                <w:rFonts w:ascii="Arial" w:hAnsi="Arial" w:cs="Arial"/>
                <w:sz w:val="20"/>
                <w:szCs w:val="20"/>
              </w:rPr>
              <w:t xml:space="preserve"> </w:t>
            </w:r>
          </w:p>
        </w:tc>
        <w:tc>
          <w:tcPr>
            <w:tcW w:w="1315" w:type="dxa"/>
            <w:gridSpan w:val="3"/>
            <w:tcBorders>
              <w:top w:val="nil"/>
              <w:left w:val="nil"/>
              <w:bottom w:val="nil"/>
              <w:right w:val="nil"/>
            </w:tcBorders>
            <w:noWrap/>
            <w:vAlign w:val="bottom"/>
            <w:hideMark/>
          </w:tcPr>
          <w:p w14:paraId="7B8286BE" w14:textId="0B92C0A6" w:rsidR="0011557D" w:rsidRPr="00D80FBD" w:rsidRDefault="0011557D" w:rsidP="0011557D">
            <w:pPr>
              <w:jc w:val="right"/>
              <w:rPr>
                <w:rFonts w:ascii="Arial" w:hAnsi="Arial" w:cs="Arial"/>
                <w:sz w:val="20"/>
                <w:szCs w:val="20"/>
              </w:rPr>
            </w:pPr>
            <w:r w:rsidRPr="00D80FBD">
              <w:rPr>
                <w:rFonts w:ascii="Arial" w:hAnsi="Arial" w:cs="Arial"/>
                <w:sz w:val="20"/>
                <w:szCs w:val="20"/>
              </w:rPr>
              <w:t>5,0</w:t>
            </w:r>
            <w:r w:rsidR="00EF2221" w:rsidRPr="00D80FBD">
              <w:rPr>
                <w:rFonts w:ascii="Arial" w:hAnsi="Arial" w:cs="Arial"/>
                <w:sz w:val="20"/>
                <w:szCs w:val="20"/>
              </w:rPr>
              <w:t>79,926</w:t>
            </w:r>
            <w:r w:rsidRPr="00D80FBD">
              <w:rPr>
                <w:rFonts w:ascii="Arial" w:hAnsi="Arial" w:cs="Arial"/>
                <w:sz w:val="20"/>
                <w:szCs w:val="20"/>
              </w:rPr>
              <w:t xml:space="preserve"> </w:t>
            </w:r>
          </w:p>
        </w:tc>
      </w:tr>
      <w:tr w:rsidR="00CA78ED" w:rsidRPr="007E659C" w14:paraId="301C3EA1" w14:textId="77777777" w:rsidTr="1079040B">
        <w:trPr>
          <w:trHeight w:val="230"/>
        </w:trPr>
        <w:tc>
          <w:tcPr>
            <w:tcW w:w="3544" w:type="dxa"/>
            <w:gridSpan w:val="2"/>
            <w:tcBorders>
              <w:top w:val="nil"/>
              <w:left w:val="nil"/>
              <w:bottom w:val="nil"/>
              <w:right w:val="nil"/>
            </w:tcBorders>
            <w:noWrap/>
            <w:vAlign w:val="center"/>
            <w:hideMark/>
          </w:tcPr>
          <w:p w14:paraId="08EADCBA" w14:textId="77777777" w:rsidR="0011557D" w:rsidRPr="00D80FBD" w:rsidRDefault="0011557D" w:rsidP="0011557D">
            <w:pPr>
              <w:rPr>
                <w:rFonts w:ascii="Arial" w:hAnsi="Arial" w:cs="Arial"/>
                <w:color w:val="000000"/>
                <w:sz w:val="20"/>
                <w:szCs w:val="20"/>
              </w:rPr>
            </w:pPr>
            <w:r w:rsidRPr="00D80FBD">
              <w:rPr>
                <w:rFonts w:ascii="Arial" w:hAnsi="Arial" w:cs="Arial"/>
                <w:color w:val="000000" w:themeColor="text1"/>
                <w:sz w:val="20"/>
                <w:szCs w:val="20"/>
              </w:rPr>
              <w:t>Received in year</w:t>
            </w:r>
          </w:p>
        </w:tc>
        <w:tc>
          <w:tcPr>
            <w:tcW w:w="1538" w:type="dxa"/>
            <w:tcBorders>
              <w:top w:val="nil"/>
              <w:left w:val="nil"/>
              <w:bottom w:val="nil"/>
              <w:right w:val="nil"/>
            </w:tcBorders>
            <w:noWrap/>
            <w:vAlign w:val="bottom"/>
            <w:hideMark/>
          </w:tcPr>
          <w:p w14:paraId="352285F1" w14:textId="0F125EB2" w:rsidR="0011557D" w:rsidRPr="00D80FBD" w:rsidRDefault="0011557D" w:rsidP="0011557D">
            <w:pPr>
              <w:jc w:val="right"/>
              <w:rPr>
                <w:rFonts w:ascii="Arial" w:hAnsi="Arial" w:cs="Arial"/>
                <w:color w:val="000000"/>
                <w:sz w:val="20"/>
                <w:szCs w:val="20"/>
              </w:rPr>
            </w:pPr>
            <w:r w:rsidRPr="00D80FBD">
              <w:rPr>
                <w:rFonts w:ascii="Arial" w:hAnsi="Arial" w:cs="Arial"/>
                <w:color w:val="000000" w:themeColor="text1"/>
                <w:sz w:val="20"/>
                <w:szCs w:val="20"/>
              </w:rPr>
              <w:t>5</w:t>
            </w:r>
            <w:r w:rsidR="68C9F332" w:rsidRPr="00D80FBD">
              <w:rPr>
                <w:rFonts w:ascii="Arial" w:hAnsi="Arial" w:cs="Arial"/>
                <w:color w:val="000000" w:themeColor="text1"/>
                <w:sz w:val="20"/>
                <w:szCs w:val="20"/>
              </w:rPr>
              <w:t>59</w:t>
            </w:r>
            <w:r w:rsidRPr="00D80FBD">
              <w:rPr>
                <w:rFonts w:ascii="Arial" w:hAnsi="Arial" w:cs="Arial"/>
                <w:color w:val="000000" w:themeColor="text1"/>
                <w:sz w:val="20"/>
                <w:szCs w:val="20"/>
              </w:rPr>
              <w:t>,</w:t>
            </w:r>
            <w:r w:rsidR="0E301C07" w:rsidRPr="00D80FBD">
              <w:rPr>
                <w:rFonts w:ascii="Arial" w:hAnsi="Arial" w:cs="Arial"/>
                <w:color w:val="000000" w:themeColor="text1"/>
                <w:sz w:val="20"/>
                <w:szCs w:val="20"/>
              </w:rPr>
              <w:t>1</w:t>
            </w:r>
            <w:r w:rsidRPr="00D80FBD">
              <w:rPr>
                <w:rFonts w:ascii="Arial" w:hAnsi="Arial" w:cs="Arial"/>
                <w:color w:val="000000" w:themeColor="text1"/>
                <w:sz w:val="20"/>
                <w:szCs w:val="20"/>
              </w:rPr>
              <w:t>7</w:t>
            </w:r>
            <w:r w:rsidR="65852FBD" w:rsidRPr="00D80FBD">
              <w:rPr>
                <w:rFonts w:ascii="Arial" w:hAnsi="Arial" w:cs="Arial"/>
                <w:color w:val="000000" w:themeColor="text1"/>
                <w:sz w:val="20"/>
                <w:szCs w:val="20"/>
              </w:rPr>
              <w:t>0</w:t>
            </w:r>
            <w:r w:rsidRPr="00D80FBD">
              <w:rPr>
                <w:rFonts w:ascii="Arial" w:hAnsi="Arial" w:cs="Arial"/>
                <w:color w:val="000000" w:themeColor="text1"/>
                <w:sz w:val="20"/>
                <w:szCs w:val="20"/>
              </w:rPr>
              <w:t xml:space="preserve"> </w:t>
            </w:r>
          </w:p>
        </w:tc>
        <w:tc>
          <w:tcPr>
            <w:tcW w:w="1740" w:type="dxa"/>
            <w:gridSpan w:val="3"/>
            <w:tcBorders>
              <w:top w:val="nil"/>
              <w:left w:val="nil"/>
              <w:bottom w:val="nil"/>
              <w:right w:val="nil"/>
            </w:tcBorders>
            <w:noWrap/>
            <w:vAlign w:val="bottom"/>
            <w:hideMark/>
          </w:tcPr>
          <w:p w14:paraId="08793523" w14:textId="4CF51122" w:rsidR="0011557D" w:rsidRPr="00D80FBD" w:rsidRDefault="0011557D" w:rsidP="0011557D">
            <w:pPr>
              <w:jc w:val="right"/>
              <w:rPr>
                <w:rFonts w:ascii="Arial" w:hAnsi="Arial" w:cs="Arial"/>
                <w:sz w:val="20"/>
                <w:szCs w:val="20"/>
              </w:rPr>
            </w:pPr>
            <w:r w:rsidRPr="00D80FBD">
              <w:rPr>
                <w:rFonts w:ascii="Arial" w:hAnsi="Arial" w:cs="Arial"/>
                <w:sz w:val="20"/>
                <w:szCs w:val="20"/>
              </w:rPr>
              <w:t>569,</w:t>
            </w:r>
            <w:r w:rsidR="5E6D3A58" w:rsidRPr="00D80FBD">
              <w:rPr>
                <w:rFonts w:ascii="Arial" w:hAnsi="Arial" w:cs="Arial"/>
                <w:sz w:val="20"/>
                <w:szCs w:val="20"/>
              </w:rPr>
              <w:t>923</w:t>
            </w:r>
            <w:r w:rsidRPr="00D80FBD">
              <w:rPr>
                <w:rFonts w:ascii="Arial" w:hAnsi="Arial" w:cs="Arial"/>
                <w:sz w:val="20"/>
                <w:szCs w:val="20"/>
              </w:rPr>
              <w:t xml:space="preserve"> </w:t>
            </w:r>
          </w:p>
        </w:tc>
        <w:tc>
          <w:tcPr>
            <w:tcW w:w="1570" w:type="dxa"/>
            <w:gridSpan w:val="2"/>
            <w:tcBorders>
              <w:top w:val="nil"/>
              <w:left w:val="nil"/>
              <w:bottom w:val="nil"/>
              <w:right w:val="nil"/>
            </w:tcBorders>
            <w:noWrap/>
            <w:vAlign w:val="bottom"/>
            <w:hideMark/>
          </w:tcPr>
          <w:p w14:paraId="2CF8373D" w14:textId="1286627D" w:rsidR="0011557D" w:rsidRPr="00D80FBD" w:rsidRDefault="0011557D" w:rsidP="0011557D">
            <w:pPr>
              <w:jc w:val="right"/>
              <w:rPr>
                <w:rFonts w:ascii="Arial" w:hAnsi="Arial" w:cs="Arial"/>
                <w:sz w:val="20"/>
                <w:szCs w:val="20"/>
              </w:rPr>
            </w:pPr>
            <w:r w:rsidRPr="00D80FBD">
              <w:rPr>
                <w:rFonts w:ascii="Arial" w:hAnsi="Arial" w:cs="Arial"/>
                <w:sz w:val="20"/>
                <w:szCs w:val="20"/>
              </w:rPr>
              <w:t>5</w:t>
            </w:r>
            <w:r w:rsidR="38A76FAA" w:rsidRPr="00D80FBD">
              <w:rPr>
                <w:rFonts w:ascii="Arial" w:hAnsi="Arial" w:cs="Arial"/>
                <w:sz w:val="20"/>
                <w:szCs w:val="20"/>
              </w:rPr>
              <w:t>80</w:t>
            </w:r>
            <w:r w:rsidRPr="00D80FBD">
              <w:rPr>
                <w:rFonts w:ascii="Arial" w:hAnsi="Arial" w:cs="Arial"/>
                <w:sz w:val="20"/>
                <w:szCs w:val="20"/>
              </w:rPr>
              <w:t>,</w:t>
            </w:r>
            <w:r w:rsidR="76560AB1" w:rsidRPr="00D80FBD">
              <w:rPr>
                <w:rFonts w:ascii="Arial" w:hAnsi="Arial" w:cs="Arial"/>
                <w:sz w:val="20"/>
                <w:szCs w:val="20"/>
              </w:rPr>
              <w:t>887</w:t>
            </w:r>
            <w:r w:rsidRPr="00D80FBD">
              <w:rPr>
                <w:rFonts w:ascii="Arial" w:hAnsi="Arial" w:cs="Arial"/>
                <w:sz w:val="20"/>
                <w:szCs w:val="20"/>
              </w:rPr>
              <w:t xml:space="preserve"> </w:t>
            </w:r>
          </w:p>
        </w:tc>
        <w:tc>
          <w:tcPr>
            <w:tcW w:w="1367" w:type="dxa"/>
            <w:tcBorders>
              <w:top w:val="nil"/>
              <w:left w:val="nil"/>
              <w:bottom w:val="nil"/>
              <w:right w:val="nil"/>
            </w:tcBorders>
            <w:noWrap/>
            <w:vAlign w:val="bottom"/>
            <w:hideMark/>
          </w:tcPr>
          <w:p w14:paraId="496BE97D" w14:textId="68EA13A6" w:rsidR="0011557D" w:rsidRPr="00D80FBD" w:rsidRDefault="0011557D" w:rsidP="0011557D">
            <w:pPr>
              <w:jc w:val="right"/>
              <w:rPr>
                <w:rFonts w:ascii="Arial" w:hAnsi="Arial" w:cs="Arial"/>
                <w:sz w:val="20"/>
                <w:szCs w:val="20"/>
              </w:rPr>
            </w:pPr>
            <w:r w:rsidRPr="00D80FBD">
              <w:rPr>
                <w:rFonts w:ascii="Arial" w:hAnsi="Arial" w:cs="Arial"/>
                <w:sz w:val="20"/>
                <w:szCs w:val="20"/>
              </w:rPr>
              <w:t>5</w:t>
            </w:r>
            <w:r w:rsidR="2776C0A7" w:rsidRPr="00D80FBD">
              <w:rPr>
                <w:rFonts w:ascii="Arial" w:hAnsi="Arial" w:cs="Arial"/>
                <w:sz w:val="20"/>
                <w:szCs w:val="20"/>
              </w:rPr>
              <w:t>92</w:t>
            </w:r>
            <w:r w:rsidRPr="00D80FBD">
              <w:rPr>
                <w:rFonts w:ascii="Arial" w:hAnsi="Arial" w:cs="Arial"/>
                <w:sz w:val="20"/>
                <w:szCs w:val="20"/>
              </w:rPr>
              <w:t>,</w:t>
            </w:r>
            <w:r w:rsidR="0EBE1165" w:rsidRPr="00D80FBD">
              <w:rPr>
                <w:rFonts w:ascii="Arial" w:hAnsi="Arial" w:cs="Arial"/>
                <w:sz w:val="20"/>
                <w:szCs w:val="20"/>
              </w:rPr>
              <w:t>067</w:t>
            </w:r>
            <w:r w:rsidRPr="00D80FBD">
              <w:rPr>
                <w:rFonts w:ascii="Arial" w:hAnsi="Arial" w:cs="Arial"/>
                <w:sz w:val="20"/>
                <w:szCs w:val="20"/>
              </w:rPr>
              <w:t xml:space="preserve"> </w:t>
            </w:r>
          </w:p>
        </w:tc>
        <w:tc>
          <w:tcPr>
            <w:tcW w:w="1315" w:type="dxa"/>
            <w:gridSpan w:val="3"/>
            <w:tcBorders>
              <w:top w:val="nil"/>
              <w:left w:val="nil"/>
              <w:bottom w:val="nil"/>
              <w:right w:val="nil"/>
            </w:tcBorders>
            <w:noWrap/>
            <w:vAlign w:val="bottom"/>
            <w:hideMark/>
          </w:tcPr>
          <w:p w14:paraId="4BE94171" w14:textId="73E07C57" w:rsidR="0011557D" w:rsidRPr="00D80FBD" w:rsidRDefault="48135949" w:rsidP="0011557D">
            <w:pPr>
              <w:jc w:val="right"/>
              <w:rPr>
                <w:rFonts w:ascii="Arial" w:hAnsi="Arial" w:cs="Arial"/>
                <w:sz w:val="20"/>
                <w:szCs w:val="20"/>
              </w:rPr>
            </w:pPr>
            <w:r w:rsidRPr="00D80FBD">
              <w:rPr>
                <w:rFonts w:ascii="Arial" w:hAnsi="Arial" w:cs="Arial"/>
                <w:sz w:val="20"/>
                <w:szCs w:val="20"/>
              </w:rPr>
              <w:t>603</w:t>
            </w:r>
            <w:r w:rsidR="003A1FA1" w:rsidRPr="00D80FBD">
              <w:rPr>
                <w:rFonts w:ascii="Arial" w:hAnsi="Arial" w:cs="Arial"/>
                <w:sz w:val="20"/>
                <w:szCs w:val="20"/>
              </w:rPr>
              <w:t>,</w:t>
            </w:r>
            <w:r w:rsidR="7E8DE0BC" w:rsidRPr="00D80FBD">
              <w:rPr>
                <w:rFonts w:ascii="Arial" w:hAnsi="Arial" w:cs="Arial"/>
                <w:sz w:val="20"/>
                <w:szCs w:val="20"/>
              </w:rPr>
              <w:t>465</w:t>
            </w:r>
            <w:r w:rsidR="0011557D" w:rsidRPr="00D80FBD">
              <w:rPr>
                <w:rFonts w:ascii="Arial" w:hAnsi="Arial" w:cs="Arial"/>
                <w:sz w:val="20"/>
                <w:szCs w:val="20"/>
              </w:rPr>
              <w:t xml:space="preserve"> </w:t>
            </w:r>
          </w:p>
        </w:tc>
      </w:tr>
      <w:tr w:rsidR="00CA78ED" w:rsidRPr="007E659C" w14:paraId="6AD84FAD" w14:textId="77777777" w:rsidTr="1079040B">
        <w:trPr>
          <w:trHeight w:val="239"/>
        </w:trPr>
        <w:tc>
          <w:tcPr>
            <w:tcW w:w="3544" w:type="dxa"/>
            <w:gridSpan w:val="2"/>
            <w:tcBorders>
              <w:top w:val="nil"/>
              <w:left w:val="nil"/>
              <w:bottom w:val="nil"/>
              <w:right w:val="nil"/>
            </w:tcBorders>
            <w:noWrap/>
            <w:vAlign w:val="center"/>
            <w:hideMark/>
          </w:tcPr>
          <w:p w14:paraId="469B7251" w14:textId="77777777" w:rsidR="0011557D" w:rsidRPr="00D80FBD" w:rsidRDefault="0011557D" w:rsidP="0011557D">
            <w:pPr>
              <w:rPr>
                <w:rFonts w:ascii="Arial" w:hAnsi="Arial" w:cs="Arial"/>
                <w:color w:val="000000"/>
                <w:sz w:val="20"/>
                <w:szCs w:val="20"/>
              </w:rPr>
            </w:pPr>
            <w:r w:rsidRPr="00D80FBD">
              <w:rPr>
                <w:rFonts w:ascii="Arial" w:hAnsi="Arial" w:cs="Arial"/>
                <w:color w:val="000000" w:themeColor="text1"/>
                <w:sz w:val="20"/>
                <w:szCs w:val="20"/>
              </w:rPr>
              <w:t>Used in financing</w:t>
            </w:r>
          </w:p>
        </w:tc>
        <w:tc>
          <w:tcPr>
            <w:tcW w:w="1538" w:type="dxa"/>
            <w:tcBorders>
              <w:top w:val="nil"/>
              <w:left w:val="nil"/>
              <w:bottom w:val="single" w:sz="8" w:space="0" w:color="auto"/>
              <w:right w:val="nil"/>
            </w:tcBorders>
            <w:noWrap/>
            <w:vAlign w:val="bottom"/>
            <w:hideMark/>
          </w:tcPr>
          <w:p w14:paraId="547D605F" w14:textId="20535689" w:rsidR="0011557D" w:rsidRPr="00D80FBD" w:rsidRDefault="0011557D" w:rsidP="0011557D">
            <w:pPr>
              <w:jc w:val="right"/>
              <w:rPr>
                <w:rFonts w:ascii="Arial" w:hAnsi="Arial" w:cs="Arial"/>
                <w:color w:val="000000"/>
                <w:sz w:val="20"/>
                <w:szCs w:val="20"/>
              </w:rPr>
            </w:pPr>
            <w:r w:rsidRPr="00D80FBD">
              <w:rPr>
                <w:rFonts w:ascii="Arial" w:hAnsi="Arial" w:cs="Arial"/>
                <w:color w:val="000000" w:themeColor="text1"/>
                <w:sz w:val="20"/>
                <w:szCs w:val="20"/>
              </w:rPr>
              <w:t>(70,533)</w:t>
            </w:r>
          </w:p>
        </w:tc>
        <w:tc>
          <w:tcPr>
            <w:tcW w:w="1740" w:type="dxa"/>
            <w:gridSpan w:val="3"/>
            <w:tcBorders>
              <w:top w:val="nil"/>
              <w:left w:val="nil"/>
              <w:bottom w:val="single" w:sz="8" w:space="0" w:color="auto"/>
              <w:right w:val="nil"/>
            </w:tcBorders>
            <w:noWrap/>
            <w:vAlign w:val="bottom"/>
            <w:hideMark/>
          </w:tcPr>
          <w:p w14:paraId="68E6F945" w14:textId="76EE3685" w:rsidR="0011557D" w:rsidRPr="00D80FBD" w:rsidRDefault="0011557D" w:rsidP="0011557D">
            <w:pPr>
              <w:jc w:val="right"/>
              <w:rPr>
                <w:rFonts w:ascii="Arial" w:hAnsi="Arial" w:cs="Arial"/>
                <w:sz w:val="20"/>
                <w:szCs w:val="20"/>
              </w:rPr>
            </w:pPr>
            <w:r w:rsidRPr="00D80FBD">
              <w:rPr>
                <w:rFonts w:ascii="Arial" w:hAnsi="Arial" w:cs="Arial"/>
                <w:sz w:val="20"/>
                <w:szCs w:val="20"/>
              </w:rPr>
              <w:t>(61,419)</w:t>
            </w:r>
          </w:p>
        </w:tc>
        <w:tc>
          <w:tcPr>
            <w:tcW w:w="1570" w:type="dxa"/>
            <w:gridSpan w:val="2"/>
            <w:tcBorders>
              <w:top w:val="nil"/>
              <w:left w:val="nil"/>
              <w:bottom w:val="single" w:sz="8" w:space="0" w:color="auto"/>
              <w:right w:val="nil"/>
            </w:tcBorders>
            <w:noWrap/>
            <w:vAlign w:val="bottom"/>
            <w:hideMark/>
          </w:tcPr>
          <w:p w14:paraId="7FF5C752" w14:textId="630F5387" w:rsidR="0011557D" w:rsidRPr="00D80FBD" w:rsidRDefault="0011557D" w:rsidP="0011557D">
            <w:pPr>
              <w:jc w:val="right"/>
              <w:rPr>
                <w:rFonts w:ascii="Arial" w:hAnsi="Arial" w:cs="Arial"/>
                <w:sz w:val="20"/>
                <w:szCs w:val="20"/>
              </w:rPr>
            </w:pPr>
            <w:r w:rsidRPr="00D80FBD">
              <w:rPr>
                <w:rFonts w:ascii="Arial" w:hAnsi="Arial" w:cs="Arial"/>
                <w:sz w:val="20"/>
                <w:szCs w:val="20"/>
              </w:rPr>
              <w:t>(51,900)</w:t>
            </w:r>
          </w:p>
        </w:tc>
        <w:tc>
          <w:tcPr>
            <w:tcW w:w="1367" w:type="dxa"/>
            <w:tcBorders>
              <w:top w:val="nil"/>
              <w:left w:val="nil"/>
              <w:bottom w:val="single" w:sz="8" w:space="0" w:color="auto"/>
              <w:right w:val="nil"/>
            </w:tcBorders>
            <w:noWrap/>
            <w:vAlign w:val="bottom"/>
            <w:hideMark/>
          </w:tcPr>
          <w:p w14:paraId="12EC8D47" w14:textId="63EFF978" w:rsidR="0011557D" w:rsidRPr="00D80FBD" w:rsidRDefault="0011557D" w:rsidP="0011557D">
            <w:pPr>
              <w:jc w:val="right"/>
              <w:rPr>
                <w:rFonts w:ascii="Arial" w:hAnsi="Arial" w:cs="Arial"/>
                <w:sz w:val="20"/>
                <w:szCs w:val="20"/>
              </w:rPr>
            </w:pPr>
            <w:r w:rsidRPr="00D80FBD">
              <w:rPr>
                <w:rFonts w:ascii="Arial" w:hAnsi="Arial" w:cs="Arial"/>
                <w:sz w:val="20"/>
                <w:szCs w:val="20"/>
              </w:rPr>
              <w:t>(52,940)</w:t>
            </w:r>
          </w:p>
        </w:tc>
        <w:tc>
          <w:tcPr>
            <w:tcW w:w="1315" w:type="dxa"/>
            <w:gridSpan w:val="3"/>
            <w:tcBorders>
              <w:top w:val="nil"/>
              <w:left w:val="nil"/>
              <w:bottom w:val="single" w:sz="8" w:space="0" w:color="auto"/>
              <w:right w:val="nil"/>
            </w:tcBorders>
            <w:noWrap/>
            <w:vAlign w:val="bottom"/>
            <w:hideMark/>
          </w:tcPr>
          <w:p w14:paraId="17F49345" w14:textId="7589CF53" w:rsidR="0011557D" w:rsidRPr="00D80FBD" w:rsidRDefault="0011557D" w:rsidP="0011557D">
            <w:pPr>
              <w:jc w:val="right"/>
              <w:rPr>
                <w:rFonts w:ascii="Arial" w:hAnsi="Arial" w:cs="Arial"/>
                <w:sz w:val="20"/>
                <w:szCs w:val="20"/>
              </w:rPr>
            </w:pPr>
            <w:r w:rsidRPr="00D80FBD">
              <w:rPr>
                <w:rFonts w:ascii="Arial" w:hAnsi="Arial" w:cs="Arial"/>
                <w:sz w:val="20"/>
                <w:szCs w:val="20"/>
              </w:rPr>
              <w:t>(53,980)</w:t>
            </w:r>
          </w:p>
        </w:tc>
      </w:tr>
      <w:tr w:rsidR="00CA78ED" w:rsidRPr="007E659C" w14:paraId="70E1DE61" w14:textId="77777777" w:rsidTr="1079040B">
        <w:trPr>
          <w:trHeight w:val="239"/>
        </w:trPr>
        <w:tc>
          <w:tcPr>
            <w:tcW w:w="3544" w:type="dxa"/>
            <w:gridSpan w:val="2"/>
            <w:tcBorders>
              <w:top w:val="nil"/>
              <w:left w:val="nil"/>
              <w:bottom w:val="nil"/>
              <w:right w:val="nil"/>
            </w:tcBorders>
            <w:noWrap/>
            <w:vAlign w:val="center"/>
            <w:hideMark/>
          </w:tcPr>
          <w:p w14:paraId="07757D10" w14:textId="77777777" w:rsidR="00FE7E17" w:rsidRPr="00D80FBD" w:rsidRDefault="00FE7E17" w:rsidP="00FE7E17">
            <w:pPr>
              <w:rPr>
                <w:rFonts w:ascii="Arial" w:hAnsi="Arial" w:cs="Arial"/>
                <w:color w:val="000000"/>
                <w:sz w:val="20"/>
                <w:szCs w:val="20"/>
              </w:rPr>
            </w:pPr>
            <w:r w:rsidRPr="00D80FBD">
              <w:rPr>
                <w:rFonts w:ascii="Arial" w:hAnsi="Arial" w:cs="Arial"/>
                <w:color w:val="000000" w:themeColor="text1"/>
                <w:sz w:val="20"/>
                <w:szCs w:val="20"/>
              </w:rPr>
              <w:t>Closing balance</w:t>
            </w:r>
          </w:p>
        </w:tc>
        <w:tc>
          <w:tcPr>
            <w:tcW w:w="1538" w:type="dxa"/>
            <w:tcBorders>
              <w:top w:val="nil"/>
              <w:left w:val="nil"/>
              <w:bottom w:val="single" w:sz="8" w:space="0" w:color="auto"/>
              <w:right w:val="nil"/>
            </w:tcBorders>
            <w:noWrap/>
            <w:vAlign w:val="bottom"/>
            <w:hideMark/>
          </w:tcPr>
          <w:p w14:paraId="414B80CA" w14:textId="36F3E8B3" w:rsidR="00FE7E17" w:rsidRPr="00D80FBD" w:rsidRDefault="00FE7E17" w:rsidP="00FE7E17">
            <w:pPr>
              <w:jc w:val="right"/>
              <w:rPr>
                <w:rFonts w:ascii="Arial" w:hAnsi="Arial" w:cs="Arial"/>
                <w:color w:val="000000"/>
                <w:sz w:val="20"/>
                <w:szCs w:val="20"/>
              </w:rPr>
            </w:pPr>
            <w:r w:rsidRPr="00D80FBD">
              <w:rPr>
                <w:rFonts w:ascii="Arial" w:hAnsi="Arial" w:cs="Arial"/>
                <w:color w:val="000000" w:themeColor="text1"/>
                <w:sz w:val="20"/>
                <w:szCs w:val="20"/>
              </w:rPr>
              <w:t>3,5</w:t>
            </w:r>
            <w:r w:rsidR="74467993" w:rsidRPr="00D80FBD">
              <w:rPr>
                <w:rFonts w:ascii="Arial" w:hAnsi="Arial" w:cs="Arial"/>
                <w:color w:val="000000" w:themeColor="text1"/>
                <w:sz w:val="20"/>
                <w:szCs w:val="20"/>
              </w:rPr>
              <w:t>03</w:t>
            </w:r>
            <w:r w:rsidRPr="00D80FBD">
              <w:rPr>
                <w:rFonts w:ascii="Arial" w:hAnsi="Arial" w:cs="Arial"/>
                <w:color w:val="000000" w:themeColor="text1"/>
                <w:sz w:val="20"/>
                <w:szCs w:val="20"/>
              </w:rPr>
              <w:t>,</w:t>
            </w:r>
            <w:r w:rsidR="3567FD77" w:rsidRPr="00D80FBD">
              <w:rPr>
                <w:rFonts w:ascii="Arial" w:hAnsi="Arial" w:cs="Arial"/>
                <w:color w:val="000000" w:themeColor="text1"/>
                <w:sz w:val="20"/>
                <w:szCs w:val="20"/>
              </w:rPr>
              <w:t>308</w:t>
            </w:r>
            <w:r w:rsidRPr="00D80FBD">
              <w:rPr>
                <w:rFonts w:ascii="Arial" w:hAnsi="Arial" w:cs="Arial"/>
                <w:color w:val="000000" w:themeColor="text1"/>
                <w:sz w:val="20"/>
                <w:szCs w:val="20"/>
              </w:rPr>
              <w:t xml:space="preserve"> </w:t>
            </w:r>
          </w:p>
        </w:tc>
        <w:tc>
          <w:tcPr>
            <w:tcW w:w="1740" w:type="dxa"/>
            <w:gridSpan w:val="3"/>
            <w:tcBorders>
              <w:top w:val="nil"/>
              <w:left w:val="nil"/>
              <w:bottom w:val="single" w:sz="8" w:space="0" w:color="auto"/>
              <w:right w:val="nil"/>
            </w:tcBorders>
            <w:noWrap/>
            <w:vAlign w:val="bottom"/>
            <w:hideMark/>
          </w:tcPr>
          <w:p w14:paraId="0898A525" w14:textId="0CEDB739" w:rsidR="00FE7E17" w:rsidRPr="00D80FBD" w:rsidRDefault="00FE7E17" w:rsidP="00FE7E17">
            <w:pPr>
              <w:jc w:val="right"/>
              <w:rPr>
                <w:rFonts w:ascii="Arial" w:hAnsi="Arial" w:cs="Arial"/>
                <w:sz w:val="20"/>
                <w:szCs w:val="20"/>
              </w:rPr>
            </w:pPr>
            <w:r w:rsidRPr="00D80FBD">
              <w:rPr>
                <w:rFonts w:ascii="Arial" w:hAnsi="Arial" w:cs="Arial"/>
                <w:sz w:val="20"/>
                <w:szCs w:val="20"/>
              </w:rPr>
              <w:t>4,0</w:t>
            </w:r>
            <w:r w:rsidR="3BDB7D36" w:rsidRPr="00D80FBD">
              <w:rPr>
                <w:rFonts w:ascii="Arial" w:hAnsi="Arial" w:cs="Arial"/>
                <w:sz w:val="20"/>
                <w:szCs w:val="20"/>
              </w:rPr>
              <w:t>11</w:t>
            </w:r>
            <w:r w:rsidRPr="00D80FBD">
              <w:rPr>
                <w:rFonts w:ascii="Arial" w:hAnsi="Arial" w:cs="Arial"/>
                <w:sz w:val="20"/>
                <w:szCs w:val="20"/>
              </w:rPr>
              <w:t>,</w:t>
            </w:r>
            <w:r w:rsidR="53A8D2AA" w:rsidRPr="00D80FBD">
              <w:rPr>
                <w:rFonts w:ascii="Arial" w:hAnsi="Arial" w:cs="Arial"/>
                <w:sz w:val="20"/>
                <w:szCs w:val="20"/>
              </w:rPr>
              <w:t>812</w:t>
            </w:r>
            <w:r w:rsidRPr="00D80FBD">
              <w:rPr>
                <w:rFonts w:ascii="Arial" w:hAnsi="Arial" w:cs="Arial"/>
                <w:sz w:val="20"/>
                <w:szCs w:val="20"/>
              </w:rPr>
              <w:t xml:space="preserve"> </w:t>
            </w:r>
          </w:p>
        </w:tc>
        <w:tc>
          <w:tcPr>
            <w:tcW w:w="1570" w:type="dxa"/>
            <w:gridSpan w:val="2"/>
            <w:tcBorders>
              <w:top w:val="nil"/>
              <w:left w:val="nil"/>
              <w:bottom w:val="single" w:sz="8" w:space="0" w:color="auto"/>
              <w:right w:val="nil"/>
            </w:tcBorders>
            <w:noWrap/>
            <w:vAlign w:val="bottom"/>
            <w:hideMark/>
          </w:tcPr>
          <w:p w14:paraId="63043529" w14:textId="014341C8" w:rsidR="00FE7E17" w:rsidRPr="00D80FBD" w:rsidRDefault="00FE7E17" w:rsidP="00FE7E17">
            <w:pPr>
              <w:jc w:val="right"/>
              <w:rPr>
                <w:rFonts w:ascii="Arial" w:hAnsi="Arial" w:cs="Arial"/>
                <w:sz w:val="20"/>
                <w:szCs w:val="20"/>
              </w:rPr>
            </w:pPr>
            <w:r w:rsidRPr="00D80FBD">
              <w:rPr>
                <w:rFonts w:ascii="Arial" w:hAnsi="Arial" w:cs="Arial"/>
                <w:sz w:val="20"/>
                <w:szCs w:val="20"/>
              </w:rPr>
              <w:t>4,5</w:t>
            </w:r>
            <w:r w:rsidR="34125486" w:rsidRPr="00D80FBD">
              <w:rPr>
                <w:rFonts w:ascii="Arial" w:hAnsi="Arial" w:cs="Arial"/>
                <w:sz w:val="20"/>
                <w:szCs w:val="20"/>
              </w:rPr>
              <w:t>40</w:t>
            </w:r>
            <w:r w:rsidRPr="00D80FBD">
              <w:rPr>
                <w:rFonts w:ascii="Arial" w:hAnsi="Arial" w:cs="Arial"/>
                <w:sz w:val="20"/>
                <w:szCs w:val="20"/>
              </w:rPr>
              <w:t>,</w:t>
            </w:r>
            <w:r w:rsidR="570797BD" w:rsidRPr="00D80FBD">
              <w:rPr>
                <w:rFonts w:ascii="Arial" w:hAnsi="Arial" w:cs="Arial"/>
                <w:sz w:val="20"/>
                <w:szCs w:val="20"/>
              </w:rPr>
              <w:t>800</w:t>
            </w:r>
            <w:r w:rsidRPr="00D80FBD">
              <w:rPr>
                <w:rFonts w:ascii="Arial" w:hAnsi="Arial" w:cs="Arial"/>
                <w:sz w:val="20"/>
                <w:szCs w:val="20"/>
              </w:rPr>
              <w:t xml:space="preserve"> </w:t>
            </w:r>
          </w:p>
        </w:tc>
        <w:tc>
          <w:tcPr>
            <w:tcW w:w="1367" w:type="dxa"/>
            <w:tcBorders>
              <w:top w:val="nil"/>
              <w:left w:val="nil"/>
              <w:bottom w:val="single" w:sz="8" w:space="0" w:color="auto"/>
              <w:right w:val="nil"/>
            </w:tcBorders>
            <w:noWrap/>
            <w:vAlign w:val="bottom"/>
            <w:hideMark/>
          </w:tcPr>
          <w:p w14:paraId="337852FE" w14:textId="4FA4B5BA" w:rsidR="00FE7E17" w:rsidRPr="00D80FBD" w:rsidRDefault="00FE7E17" w:rsidP="00FE7E17">
            <w:pPr>
              <w:jc w:val="right"/>
              <w:rPr>
                <w:rFonts w:ascii="Arial" w:hAnsi="Arial" w:cs="Arial"/>
                <w:sz w:val="20"/>
                <w:szCs w:val="20"/>
              </w:rPr>
            </w:pPr>
            <w:r w:rsidRPr="00D80FBD">
              <w:rPr>
                <w:rFonts w:ascii="Arial" w:hAnsi="Arial" w:cs="Arial"/>
                <w:sz w:val="20"/>
                <w:szCs w:val="20"/>
              </w:rPr>
              <w:t>5,0</w:t>
            </w:r>
            <w:r w:rsidR="7877A9DD" w:rsidRPr="00D80FBD">
              <w:rPr>
                <w:rFonts w:ascii="Arial" w:hAnsi="Arial" w:cs="Arial"/>
                <w:sz w:val="20"/>
                <w:szCs w:val="20"/>
              </w:rPr>
              <w:t>79</w:t>
            </w:r>
            <w:r w:rsidRPr="00D80FBD">
              <w:rPr>
                <w:rFonts w:ascii="Arial" w:hAnsi="Arial" w:cs="Arial"/>
                <w:sz w:val="20"/>
                <w:szCs w:val="20"/>
              </w:rPr>
              <w:t>,</w:t>
            </w:r>
            <w:r w:rsidR="51016D2E" w:rsidRPr="00D80FBD">
              <w:rPr>
                <w:rFonts w:ascii="Arial" w:hAnsi="Arial" w:cs="Arial"/>
                <w:sz w:val="20"/>
                <w:szCs w:val="20"/>
              </w:rPr>
              <w:t>926</w:t>
            </w:r>
            <w:r w:rsidRPr="00D80FBD">
              <w:rPr>
                <w:rFonts w:ascii="Arial" w:hAnsi="Arial" w:cs="Arial"/>
                <w:sz w:val="20"/>
                <w:szCs w:val="20"/>
              </w:rPr>
              <w:t xml:space="preserve"> </w:t>
            </w:r>
          </w:p>
        </w:tc>
        <w:tc>
          <w:tcPr>
            <w:tcW w:w="1315" w:type="dxa"/>
            <w:gridSpan w:val="3"/>
            <w:tcBorders>
              <w:top w:val="nil"/>
              <w:left w:val="nil"/>
              <w:bottom w:val="single" w:sz="8" w:space="0" w:color="auto"/>
              <w:right w:val="nil"/>
            </w:tcBorders>
            <w:noWrap/>
            <w:vAlign w:val="bottom"/>
            <w:hideMark/>
          </w:tcPr>
          <w:p w14:paraId="2A149FBC" w14:textId="23D34663" w:rsidR="00FE7E17" w:rsidRPr="00D80FBD" w:rsidRDefault="00FE7E17" w:rsidP="00FE7E17">
            <w:pPr>
              <w:jc w:val="right"/>
              <w:rPr>
                <w:rFonts w:ascii="Arial" w:hAnsi="Arial" w:cs="Arial"/>
                <w:sz w:val="20"/>
                <w:szCs w:val="20"/>
              </w:rPr>
            </w:pPr>
            <w:r w:rsidRPr="00D80FBD">
              <w:rPr>
                <w:rFonts w:ascii="Arial" w:hAnsi="Arial" w:cs="Arial"/>
                <w:sz w:val="20"/>
                <w:szCs w:val="20"/>
              </w:rPr>
              <w:t>5,6</w:t>
            </w:r>
            <w:r w:rsidR="2EF204EA" w:rsidRPr="00D80FBD">
              <w:rPr>
                <w:rFonts w:ascii="Arial" w:hAnsi="Arial" w:cs="Arial"/>
                <w:sz w:val="20"/>
                <w:szCs w:val="20"/>
              </w:rPr>
              <w:t>29</w:t>
            </w:r>
            <w:r w:rsidRPr="00D80FBD">
              <w:rPr>
                <w:rFonts w:ascii="Arial" w:hAnsi="Arial" w:cs="Arial"/>
                <w:sz w:val="20"/>
                <w:szCs w:val="20"/>
              </w:rPr>
              <w:t>,</w:t>
            </w:r>
            <w:r w:rsidR="052DD2D7" w:rsidRPr="00D80FBD">
              <w:rPr>
                <w:rFonts w:ascii="Arial" w:hAnsi="Arial" w:cs="Arial"/>
                <w:sz w:val="20"/>
                <w:szCs w:val="20"/>
              </w:rPr>
              <w:t>411</w:t>
            </w:r>
            <w:r w:rsidRPr="00D80FBD">
              <w:rPr>
                <w:rFonts w:ascii="Arial" w:hAnsi="Arial" w:cs="Arial"/>
                <w:sz w:val="20"/>
                <w:szCs w:val="20"/>
              </w:rPr>
              <w:t xml:space="preserve"> </w:t>
            </w:r>
          </w:p>
        </w:tc>
      </w:tr>
      <w:tr w:rsidR="00CA78ED" w:rsidRPr="007E659C" w14:paraId="6E7360EB" w14:textId="77777777" w:rsidTr="1079040B">
        <w:trPr>
          <w:trHeight w:val="230"/>
        </w:trPr>
        <w:tc>
          <w:tcPr>
            <w:tcW w:w="3544" w:type="dxa"/>
            <w:gridSpan w:val="2"/>
            <w:tcBorders>
              <w:top w:val="nil"/>
              <w:left w:val="nil"/>
              <w:bottom w:val="nil"/>
              <w:right w:val="nil"/>
            </w:tcBorders>
            <w:noWrap/>
            <w:vAlign w:val="center"/>
            <w:hideMark/>
          </w:tcPr>
          <w:p w14:paraId="241D3117" w14:textId="77777777" w:rsidR="003A1FA1" w:rsidRPr="00D80FBD" w:rsidRDefault="003A1FA1" w:rsidP="003A1FA1">
            <w:pPr>
              <w:rPr>
                <w:rFonts w:ascii="Arial" w:hAnsi="Arial" w:cs="Arial"/>
                <w:b/>
                <w:i/>
                <w:color w:val="000000"/>
                <w:sz w:val="20"/>
                <w:szCs w:val="20"/>
              </w:rPr>
            </w:pPr>
            <w:r w:rsidRPr="00D80FBD">
              <w:rPr>
                <w:rFonts w:ascii="Arial" w:hAnsi="Arial" w:cs="Arial"/>
                <w:b/>
                <w:i/>
                <w:color w:val="000000" w:themeColor="text1"/>
                <w:sz w:val="20"/>
                <w:szCs w:val="20"/>
              </w:rPr>
              <w:t>1-4-1 receipts</w:t>
            </w:r>
          </w:p>
        </w:tc>
        <w:tc>
          <w:tcPr>
            <w:tcW w:w="1538" w:type="dxa"/>
            <w:tcBorders>
              <w:top w:val="nil"/>
              <w:left w:val="nil"/>
              <w:bottom w:val="nil"/>
              <w:right w:val="nil"/>
            </w:tcBorders>
            <w:noWrap/>
            <w:vAlign w:val="center"/>
            <w:hideMark/>
          </w:tcPr>
          <w:p w14:paraId="0EF110F5" w14:textId="77777777" w:rsidR="003A1FA1" w:rsidRPr="00D80FBD" w:rsidRDefault="003A1FA1" w:rsidP="00423E03">
            <w:pPr>
              <w:jc w:val="right"/>
              <w:rPr>
                <w:rFonts w:ascii="Arial" w:hAnsi="Arial" w:cs="Arial"/>
                <w:color w:val="000000"/>
                <w:sz w:val="20"/>
                <w:szCs w:val="20"/>
              </w:rPr>
            </w:pPr>
          </w:p>
        </w:tc>
        <w:tc>
          <w:tcPr>
            <w:tcW w:w="1740" w:type="dxa"/>
            <w:gridSpan w:val="3"/>
            <w:tcBorders>
              <w:top w:val="nil"/>
              <w:left w:val="nil"/>
              <w:bottom w:val="nil"/>
              <w:right w:val="nil"/>
            </w:tcBorders>
            <w:noWrap/>
            <w:vAlign w:val="center"/>
            <w:hideMark/>
          </w:tcPr>
          <w:p w14:paraId="51243310" w14:textId="77777777" w:rsidR="003A1FA1" w:rsidRPr="00D80FBD" w:rsidRDefault="003A1FA1" w:rsidP="003A1FA1">
            <w:pPr>
              <w:jc w:val="right"/>
              <w:rPr>
                <w:rFonts w:ascii="Arial" w:hAnsi="Arial" w:cs="Arial"/>
                <w:sz w:val="20"/>
                <w:szCs w:val="20"/>
              </w:rPr>
            </w:pPr>
          </w:p>
        </w:tc>
        <w:tc>
          <w:tcPr>
            <w:tcW w:w="1570" w:type="dxa"/>
            <w:gridSpan w:val="2"/>
            <w:tcBorders>
              <w:top w:val="nil"/>
              <w:left w:val="nil"/>
              <w:bottom w:val="nil"/>
              <w:right w:val="nil"/>
            </w:tcBorders>
            <w:noWrap/>
            <w:vAlign w:val="center"/>
            <w:hideMark/>
          </w:tcPr>
          <w:p w14:paraId="74C7BF28" w14:textId="77777777" w:rsidR="003A1FA1" w:rsidRPr="00D80FBD" w:rsidRDefault="003A1FA1" w:rsidP="003A1FA1">
            <w:pPr>
              <w:jc w:val="right"/>
              <w:rPr>
                <w:rFonts w:ascii="Arial" w:hAnsi="Arial" w:cs="Arial"/>
                <w:sz w:val="20"/>
                <w:szCs w:val="20"/>
              </w:rPr>
            </w:pPr>
          </w:p>
        </w:tc>
        <w:tc>
          <w:tcPr>
            <w:tcW w:w="1367" w:type="dxa"/>
            <w:tcBorders>
              <w:top w:val="nil"/>
              <w:left w:val="nil"/>
              <w:bottom w:val="nil"/>
              <w:right w:val="nil"/>
            </w:tcBorders>
            <w:noWrap/>
            <w:vAlign w:val="center"/>
            <w:hideMark/>
          </w:tcPr>
          <w:p w14:paraId="2DFD5346" w14:textId="77777777" w:rsidR="003A1FA1" w:rsidRPr="00D80FBD" w:rsidRDefault="003A1FA1" w:rsidP="003A1FA1">
            <w:pPr>
              <w:jc w:val="right"/>
              <w:rPr>
                <w:rFonts w:ascii="Arial" w:hAnsi="Arial" w:cs="Arial"/>
                <w:sz w:val="20"/>
                <w:szCs w:val="20"/>
              </w:rPr>
            </w:pPr>
          </w:p>
        </w:tc>
        <w:tc>
          <w:tcPr>
            <w:tcW w:w="1315" w:type="dxa"/>
            <w:gridSpan w:val="3"/>
            <w:tcBorders>
              <w:top w:val="nil"/>
              <w:left w:val="nil"/>
              <w:bottom w:val="nil"/>
              <w:right w:val="nil"/>
            </w:tcBorders>
            <w:noWrap/>
            <w:vAlign w:val="center"/>
            <w:hideMark/>
          </w:tcPr>
          <w:p w14:paraId="6A707414" w14:textId="77777777" w:rsidR="003A1FA1" w:rsidRPr="00D80FBD" w:rsidRDefault="003A1FA1" w:rsidP="003A1FA1">
            <w:pPr>
              <w:jc w:val="right"/>
              <w:rPr>
                <w:rFonts w:ascii="Arial" w:hAnsi="Arial" w:cs="Arial"/>
                <w:sz w:val="20"/>
                <w:szCs w:val="20"/>
              </w:rPr>
            </w:pPr>
          </w:p>
        </w:tc>
      </w:tr>
      <w:tr w:rsidR="00CA78ED" w:rsidRPr="007E659C" w14:paraId="0B77B862" w14:textId="77777777" w:rsidTr="1079040B">
        <w:trPr>
          <w:trHeight w:val="230"/>
        </w:trPr>
        <w:tc>
          <w:tcPr>
            <w:tcW w:w="3544" w:type="dxa"/>
            <w:gridSpan w:val="2"/>
            <w:tcBorders>
              <w:top w:val="nil"/>
              <w:left w:val="nil"/>
              <w:bottom w:val="nil"/>
              <w:right w:val="nil"/>
            </w:tcBorders>
            <w:noWrap/>
            <w:vAlign w:val="center"/>
            <w:hideMark/>
          </w:tcPr>
          <w:p w14:paraId="5B59FF72" w14:textId="77777777" w:rsidR="00E57889" w:rsidRPr="00D80FBD" w:rsidRDefault="00E57889" w:rsidP="00E57889">
            <w:pPr>
              <w:rPr>
                <w:rFonts w:ascii="Arial" w:hAnsi="Arial" w:cs="Arial"/>
                <w:color w:val="000000"/>
                <w:sz w:val="20"/>
                <w:szCs w:val="20"/>
              </w:rPr>
            </w:pPr>
            <w:r w:rsidRPr="00D80FBD">
              <w:rPr>
                <w:rFonts w:ascii="Arial" w:hAnsi="Arial" w:cs="Arial"/>
                <w:color w:val="000000" w:themeColor="text1"/>
                <w:sz w:val="20"/>
                <w:szCs w:val="20"/>
              </w:rPr>
              <w:t>Opening balance</w:t>
            </w:r>
          </w:p>
        </w:tc>
        <w:tc>
          <w:tcPr>
            <w:tcW w:w="1538" w:type="dxa"/>
            <w:tcBorders>
              <w:top w:val="nil"/>
              <w:left w:val="nil"/>
              <w:bottom w:val="nil"/>
              <w:right w:val="nil"/>
            </w:tcBorders>
            <w:noWrap/>
            <w:vAlign w:val="bottom"/>
            <w:hideMark/>
          </w:tcPr>
          <w:p w14:paraId="26A99DCB" w14:textId="26F4420D" w:rsidR="00E57889" w:rsidRPr="00D80FBD" w:rsidRDefault="00E57889" w:rsidP="00E57889">
            <w:pPr>
              <w:jc w:val="right"/>
              <w:rPr>
                <w:rFonts w:ascii="Arial" w:hAnsi="Arial" w:cs="Arial"/>
                <w:sz w:val="20"/>
                <w:szCs w:val="20"/>
              </w:rPr>
            </w:pPr>
            <w:r w:rsidRPr="00D80FBD">
              <w:rPr>
                <w:rFonts w:ascii="Calibri" w:hAnsi="Calibri" w:cs="Calibri"/>
                <w:sz w:val="22"/>
                <w:szCs w:val="22"/>
              </w:rPr>
              <w:t xml:space="preserve">6,917,243 </w:t>
            </w:r>
          </w:p>
        </w:tc>
        <w:tc>
          <w:tcPr>
            <w:tcW w:w="1740" w:type="dxa"/>
            <w:gridSpan w:val="3"/>
            <w:tcBorders>
              <w:top w:val="nil"/>
              <w:left w:val="nil"/>
              <w:bottom w:val="nil"/>
              <w:right w:val="nil"/>
            </w:tcBorders>
            <w:noWrap/>
            <w:vAlign w:val="bottom"/>
            <w:hideMark/>
          </w:tcPr>
          <w:p w14:paraId="5417455E" w14:textId="7F14C699" w:rsidR="00E57889" w:rsidRPr="00D80FBD" w:rsidRDefault="00E57889" w:rsidP="00E57889">
            <w:pPr>
              <w:jc w:val="right"/>
              <w:rPr>
                <w:rFonts w:ascii="Arial" w:hAnsi="Arial" w:cs="Arial"/>
                <w:sz w:val="20"/>
                <w:szCs w:val="20"/>
              </w:rPr>
            </w:pPr>
            <w:r w:rsidRPr="00D80FBD">
              <w:rPr>
                <w:rFonts w:ascii="Calibri" w:hAnsi="Calibri" w:cs="Calibri"/>
                <w:sz w:val="22"/>
                <w:szCs w:val="22"/>
              </w:rPr>
              <w:t xml:space="preserve">7,083,415 </w:t>
            </w:r>
          </w:p>
        </w:tc>
        <w:tc>
          <w:tcPr>
            <w:tcW w:w="1570" w:type="dxa"/>
            <w:gridSpan w:val="2"/>
            <w:tcBorders>
              <w:top w:val="nil"/>
              <w:left w:val="nil"/>
              <w:bottom w:val="nil"/>
              <w:right w:val="nil"/>
            </w:tcBorders>
            <w:noWrap/>
            <w:vAlign w:val="bottom"/>
            <w:hideMark/>
          </w:tcPr>
          <w:p w14:paraId="1BCD1213" w14:textId="234E067E" w:rsidR="00E57889" w:rsidRPr="00D80FBD" w:rsidRDefault="00E57889" w:rsidP="00E57889">
            <w:pPr>
              <w:jc w:val="right"/>
              <w:rPr>
                <w:rFonts w:ascii="Arial" w:hAnsi="Arial" w:cs="Arial"/>
                <w:sz w:val="20"/>
                <w:szCs w:val="20"/>
              </w:rPr>
            </w:pPr>
            <w:r w:rsidRPr="00D80FBD">
              <w:rPr>
                <w:rFonts w:ascii="Calibri" w:hAnsi="Calibri" w:cs="Calibri"/>
                <w:sz w:val="22"/>
                <w:szCs w:val="22"/>
              </w:rPr>
              <w:t xml:space="preserve">8,238,360 </w:t>
            </w:r>
          </w:p>
        </w:tc>
        <w:tc>
          <w:tcPr>
            <w:tcW w:w="1367" w:type="dxa"/>
            <w:tcBorders>
              <w:top w:val="nil"/>
              <w:left w:val="nil"/>
              <w:bottom w:val="nil"/>
              <w:right w:val="nil"/>
            </w:tcBorders>
            <w:noWrap/>
            <w:vAlign w:val="bottom"/>
            <w:hideMark/>
          </w:tcPr>
          <w:p w14:paraId="253B1E19" w14:textId="76B6ADDF" w:rsidR="00E57889" w:rsidRPr="00D80FBD" w:rsidRDefault="00E57889" w:rsidP="00E57889">
            <w:pPr>
              <w:jc w:val="right"/>
              <w:rPr>
                <w:rFonts w:ascii="Arial" w:hAnsi="Arial" w:cs="Arial"/>
                <w:sz w:val="20"/>
                <w:szCs w:val="20"/>
              </w:rPr>
            </w:pPr>
            <w:r w:rsidRPr="00D80FBD">
              <w:rPr>
                <w:rFonts w:ascii="Calibri" w:hAnsi="Calibri" w:cs="Calibri"/>
                <w:sz w:val="22"/>
                <w:szCs w:val="22"/>
              </w:rPr>
              <w:t xml:space="preserve">9,792,261 </w:t>
            </w:r>
          </w:p>
        </w:tc>
        <w:tc>
          <w:tcPr>
            <w:tcW w:w="1315" w:type="dxa"/>
            <w:gridSpan w:val="3"/>
            <w:tcBorders>
              <w:top w:val="nil"/>
              <w:left w:val="nil"/>
              <w:bottom w:val="nil"/>
              <w:right w:val="nil"/>
            </w:tcBorders>
            <w:noWrap/>
            <w:vAlign w:val="bottom"/>
            <w:hideMark/>
          </w:tcPr>
          <w:p w14:paraId="67FE6B96" w14:textId="019F4A53" w:rsidR="00E57889" w:rsidRPr="00D80FBD" w:rsidRDefault="00E57889" w:rsidP="00E57889">
            <w:pPr>
              <w:jc w:val="right"/>
              <w:rPr>
                <w:rFonts w:ascii="Arial" w:hAnsi="Arial" w:cs="Arial"/>
                <w:sz w:val="20"/>
                <w:szCs w:val="20"/>
              </w:rPr>
            </w:pPr>
            <w:r w:rsidRPr="00D80FBD">
              <w:rPr>
                <w:rFonts w:ascii="Calibri" w:hAnsi="Calibri" w:cs="Calibri"/>
                <w:sz w:val="22"/>
                <w:szCs w:val="22"/>
              </w:rPr>
              <w:t xml:space="preserve">11,410,329 </w:t>
            </w:r>
          </w:p>
        </w:tc>
      </w:tr>
      <w:tr w:rsidR="00CA78ED" w:rsidRPr="007E659C" w14:paraId="24DFAA0D" w14:textId="77777777" w:rsidTr="1079040B">
        <w:trPr>
          <w:trHeight w:val="230"/>
        </w:trPr>
        <w:tc>
          <w:tcPr>
            <w:tcW w:w="3544" w:type="dxa"/>
            <w:gridSpan w:val="2"/>
            <w:tcBorders>
              <w:top w:val="nil"/>
              <w:left w:val="nil"/>
              <w:bottom w:val="nil"/>
              <w:right w:val="nil"/>
            </w:tcBorders>
            <w:noWrap/>
            <w:vAlign w:val="center"/>
            <w:hideMark/>
          </w:tcPr>
          <w:p w14:paraId="0AE941E6" w14:textId="77777777" w:rsidR="00E57889" w:rsidRPr="00D80FBD" w:rsidRDefault="00E57889" w:rsidP="00E57889">
            <w:pPr>
              <w:rPr>
                <w:rFonts w:ascii="Arial" w:hAnsi="Arial" w:cs="Arial"/>
                <w:color w:val="000000"/>
                <w:sz w:val="20"/>
                <w:szCs w:val="20"/>
              </w:rPr>
            </w:pPr>
            <w:r w:rsidRPr="00D80FBD">
              <w:rPr>
                <w:rFonts w:ascii="Arial" w:hAnsi="Arial" w:cs="Arial"/>
                <w:color w:val="000000" w:themeColor="text1"/>
                <w:sz w:val="20"/>
                <w:szCs w:val="20"/>
              </w:rPr>
              <w:t>Received in year</w:t>
            </w:r>
          </w:p>
        </w:tc>
        <w:tc>
          <w:tcPr>
            <w:tcW w:w="1538" w:type="dxa"/>
            <w:tcBorders>
              <w:top w:val="nil"/>
              <w:left w:val="nil"/>
              <w:bottom w:val="nil"/>
              <w:right w:val="nil"/>
            </w:tcBorders>
            <w:noWrap/>
            <w:vAlign w:val="bottom"/>
            <w:hideMark/>
          </w:tcPr>
          <w:p w14:paraId="3191D42C" w14:textId="47FF0E7F" w:rsidR="00E57889" w:rsidRPr="00D80FBD" w:rsidRDefault="00E57889" w:rsidP="00E57889">
            <w:pPr>
              <w:jc w:val="right"/>
              <w:rPr>
                <w:rFonts w:ascii="Arial" w:hAnsi="Arial" w:cs="Arial"/>
                <w:sz w:val="20"/>
                <w:szCs w:val="20"/>
              </w:rPr>
            </w:pPr>
            <w:r w:rsidRPr="00D80FBD">
              <w:rPr>
                <w:rFonts w:ascii="Arial" w:hAnsi="Arial" w:cs="Arial"/>
                <w:sz w:val="20"/>
                <w:szCs w:val="20"/>
              </w:rPr>
              <w:t xml:space="preserve">2,429,330 </w:t>
            </w:r>
          </w:p>
        </w:tc>
        <w:tc>
          <w:tcPr>
            <w:tcW w:w="1740" w:type="dxa"/>
            <w:gridSpan w:val="3"/>
            <w:tcBorders>
              <w:top w:val="nil"/>
              <w:left w:val="nil"/>
              <w:bottom w:val="nil"/>
              <w:right w:val="nil"/>
            </w:tcBorders>
            <w:noWrap/>
            <w:vAlign w:val="bottom"/>
            <w:hideMark/>
          </w:tcPr>
          <w:p w14:paraId="428557A1" w14:textId="44C9DC0C" w:rsidR="00E57889" w:rsidRPr="00D80FBD" w:rsidRDefault="00E57889" w:rsidP="00E57889">
            <w:pPr>
              <w:jc w:val="right"/>
              <w:rPr>
                <w:rFonts w:ascii="Arial" w:hAnsi="Arial" w:cs="Arial"/>
                <w:sz w:val="20"/>
                <w:szCs w:val="20"/>
              </w:rPr>
            </w:pPr>
            <w:r w:rsidRPr="00D80FBD">
              <w:rPr>
                <w:rFonts w:ascii="Arial" w:hAnsi="Arial" w:cs="Arial"/>
                <w:sz w:val="20"/>
                <w:szCs w:val="20"/>
              </w:rPr>
              <w:t xml:space="preserve">2,490,997 </w:t>
            </w:r>
          </w:p>
        </w:tc>
        <w:tc>
          <w:tcPr>
            <w:tcW w:w="1570" w:type="dxa"/>
            <w:gridSpan w:val="2"/>
            <w:tcBorders>
              <w:top w:val="nil"/>
              <w:left w:val="nil"/>
              <w:bottom w:val="nil"/>
              <w:right w:val="nil"/>
            </w:tcBorders>
            <w:noWrap/>
            <w:vAlign w:val="bottom"/>
            <w:hideMark/>
          </w:tcPr>
          <w:p w14:paraId="107F8572" w14:textId="4C22271C" w:rsidR="00E57889" w:rsidRPr="00D80FBD" w:rsidRDefault="00E57889" w:rsidP="00E57889">
            <w:pPr>
              <w:jc w:val="right"/>
              <w:rPr>
                <w:rFonts w:ascii="Arial" w:hAnsi="Arial" w:cs="Arial"/>
                <w:sz w:val="20"/>
                <w:szCs w:val="20"/>
              </w:rPr>
            </w:pPr>
            <w:r w:rsidRPr="00D80FBD">
              <w:rPr>
                <w:rFonts w:ascii="Arial" w:hAnsi="Arial" w:cs="Arial"/>
                <w:sz w:val="20"/>
                <w:szCs w:val="20"/>
              </w:rPr>
              <w:t xml:space="preserve">2,553,901 </w:t>
            </w:r>
          </w:p>
        </w:tc>
        <w:tc>
          <w:tcPr>
            <w:tcW w:w="1367" w:type="dxa"/>
            <w:tcBorders>
              <w:top w:val="nil"/>
              <w:left w:val="nil"/>
              <w:bottom w:val="nil"/>
              <w:right w:val="nil"/>
            </w:tcBorders>
            <w:noWrap/>
            <w:vAlign w:val="bottom"/>
            <w:hideMark/>
          </w:tcPr>
          <w:p w14:paraId="072F249C" w14:textId="0F7CB5F0" w:rsidR="00E57889" w:rsidRPr="00D80FBD" w:rsidRDefault="00E57889" w:rsidP="00E57889">
            <w:pPr>
              <w:jc w:val="right"/>
              <w:rPr>
                <w:rFonts w:ascii="Arial" w:hAnsi="Arial" w:cs="Arial"/>
                <w:sz w:val="20"/>
                <w:szCs w:val="20"/>
              </w:rPr>
            </w:pPr>
            <w:r w:rsidRPr="00D80FBD">
              <w:rPr>
                <w:rFonts w:ascii="Arial" w:hAnsi="Arial" w:cs="Arial"/>
                <w:sz w:val="20"/>
                <w:szCs w:val="20"/>
              </w:rPr>
              <w:t xml:space="preserve">2,618,068 </w:t>
            </w:r>
          </w:p>
        </w:tc>
        <w:tc>
          <w:tcPr>
            <w:tcW w:w="1315" w:type="dxa"/>
            <w:gridSpan w:val="3"/>
            <w:tcBorders>
              <w:top w:val="nil"/>
              <w:left w:val="nil"/>
              <w:bottom w:val="nil"/>
              <w:right w:val="nil"/>
            </w:tcBorders>
            <w:noWrap/>
            <w:vAlign w:val="bottom"/>
            <w:hideMark/>
          </w:tcPr>
          <w:p w14:paraId="369C1F02" w14:textId="79987611" w:rsidR="00E57889" w:rsidRPr="00D80FBD" w:rsidRDefault="00E57889" w:rsidP="00E57889">
            <w:pPr>
              <w:jc w:val="right"/>
              <w:rPr>
                <w:rFonts w:ascii="Arial" w:hAnsi="Arial" w:cs="Arial"/>
                <w:sz w:val="20"/>
                <w:szCs w:val="20"/>
              </w:rPr>
            </w:pPr>
            <w:r w:rsidRPr="00D80FBD">
              <w:rPr>
                <w:rFonts w:ascii="Arial" w:hAnsi="Arial" w:cs="Arial"/>
                <w:sz w:val="20"/>
                <w:szCs w:val="20"/>
              </w:rPr>
              <w:t xml:space="preserve">2,683,522 </w:t>
            </w:r>
          </w:p>
        </w:tc>
      </w:tr>
      <w:tr w:rsidR="00CA78ED" w:rsidRPr="007E659C" w14:paraId="4EE369AC" w14:textId="77777777" w:rsidTr="1079040B">
        <w:trPr>
          <w:trHeight w:val="239"/>
        </w:trPr>
        <w:tc>
          <w:tcPr>
            <w:tcW w:w="3544" w:type="dxa"/>
            <w:gridSpan w:val="2"/>
            <w:tcBorders>
              <w:top w:val="nil"/>
              <w:left w:val="nil"/>
              <w:bottom w:val="nil"/>
              <w:right w:val="nil"/>
            </w:tcBorders>
            <w:noWrap/>
            <w:vAlign w:val="center"/>
            <w:hideMark/>
          </w:tcPr>
          <w:p w14:paraId="338B7B9B" w14:textId="77777777" w:rsidR="00E57889" w:rsidRPr="00D80FBD" w:rsidRDefault="00E57889" w:rsidP="00E57889">
            <w:pPr>
              <w:rPr>
                <w:rFonts w:ascii="Arial" w:hAnsi="Arial" w:cs="Arial"/>
                <w:color w:val="000000"/>
                <w:sz w:val="20"/>
                <w:szCs w:val="20"/>
              </w:rPr>
            </w:pPr>
            <w:r w:rsidRPr="00D80FBD">
              <w:rPr>
                <w:rFonts w:ascii="Arial" w:hAnsi="Arial" w:cs="Arial"/>
                <w:color w:val="000000" w:themeColor="text1"/>
                <w:sz w:val="20"/>
                <w:szCs w:val="20"/>
              </w:rPr>
              <w:t>Used in financing</w:t>
            </w:r>
          </w:p>
        </w:tc>
        <w:tc>
          <w:tcPr>
            <w:tcW w:w="1538" w:type="dxa"/>
            <w:tcBorders>
              <w:top w:val="nil"/>
              <w:left w:val="nil"/>
              <w:bottom w:val="single" w:sz="8" w:space="0" w:color="auto"/>
              <w:right w:val="nil"/>
            </w:tcBorders>
            <w:noWrap/>
            <w:vAlign w:val="bottom"/>
            <w:hideMark/>
          </w:tcPr>
          <w:p w14:paraId="0911BCB5" w14:textId="77D362D8" w:rsidR="00E57889" w:rsidRPr="00D80FBD" w:rsidRDefault="00E57889" w:rsidP="00E57889">
            <w:pPr>
              <w:jc w:val="right"/>
              <w:rPr>
                <w:rFonts w:ascii="Arial" w:hAnsi="Arial" w:cs="Arial"/>
                <w:sz w:val="20"/>
                <w:szCs w:val="20"/>
              </w:rPr>
            </w:pPr>
            <w:r w:rsidRPr="00D80FBD">
              <w:rPr>
                <w:rFonts w:ascii="Arial" w:hAnsi="Arial" w:cs="Arial"/>
                <w:sz w:val="20"/>
                <w:szCs w:val="20"/>
              </w:rPr>
              <w:t>(2,263,158)</w:t>
            </w:r>
          </w:p>
        </w:tc>
        <w:tc>
          <w:tcPr>
            <w:tcW w:w="1740" w:type="dxa"/>
            <w:gridSpan w:val="3"/>
            <w:tcBorders>
              <w:top w:val="nil"/>
              <w:left w:val="nil"/>
              <w:bottom w:val="single" w:sz="8" w:space="0" w:color="auto"/>
              <w:right w:val="nil"/>
            </w:tcBorders>
            <w:noWrap/>
            <w:vAlign w:val="bottom"/>
            <w:hideMark/>
          </w:tcPr>
          <w:p w14:paraId="0881259A" w14:textId="4E61F3BF" w:rsidR="00E57889" w:rsidRPr="00D80FBD" w:rsidRDefault="00E57889" w:rsidP="00E57889">
            <w:pPr>
              <w:jc w:val="right"/>
              <w:rPr>
                <w:rFonts w:ascii="Arial" w:hAnsi="Arial" w:cs="Arial"/>
                <w:sz w:val="20"/>
                <w:szCs w:val="20"/>
              </w:rPr>
            </w:pPr>
            <w:r w:rsidRPr="00D80FBD">
              <w:rPr>
                <w:rFonts w:ascii="Arial" w:hAnsi="Arial" w:cs="Arial"/>
                <w:sz w:val="20"/>
                <w:szCs w:val="20"/>
              </w:rPr>
              <w:t>(1,336,052)</w:t>
            </w:r>
          </w:p>
        </w:tc>
        <w:tc>
          <w:tcPr>
            <w:tcW w:w="1570" w:type="dxa"/>
            <w:gridSpan w:val="2"/>
            <w:tcBorders>
              <w:top w:val="nil"/>
              <w:left w:val="nil"/>
              <w:bottom w:val="single" w:sz="8" w:space="0" w:color="auto"/>
              <w:right w:val="nil"/>
            </w:tcBorders>
            <w:noWrap/>
            <w:vAlign w:val="bottom"/>
            <w:hideMark/>
          </w:tcPr>
          <w:p w14:paraId="5D8C411C" w14:textId="49DB5DB3" w:rsidR="00E57889" w:rsidRPr="00D80FBD" w:rsidRDefault="00E57889" w:rsidP="00E57889">
            <w:pPr>
              <w:jc w:val="right"/>
              <w:rPr>
                <w:rFonts w:ascii="Arial" w:hAnsi="Arial" w:cs="Arial"/>
                <w:sz w:val="20"/>
                <w:szCs w:val="20"/>
              </w:rPr>
            </w:pPr>
            <w:r w:rsidRPr="00D80FBD">
              <w:rPr>
                <w:rFonts w:ascii="Arial" w:hAnsi="Arial" w:cs="Arial"/>
                <w:sz w:val="20"/>
                <w:szCs w:val="20"/>
              </w:rPr>
              <w:t>(1,000,000)</w:t>
            </w:r>
          </w:p>
        </w:tc>
        <w:tc>
          <w:tcPr>
            <w:tcW w:w="1367" w:type="dxa"/>
            <w:tcBorders>
              <w:top w:val="nil"/>
              <w:left w:val="nil"/>
              <w:bottom w:val="single" w:sz="8" w:space="0" w:color="auto"/>
              <w:right w:val="nil"/>
            </w:tcBorders>
            <w:noWrap/>
            <w:vAlign w:val="bottom"/>
            <w:hideMark/>
          </w:tcPr>
          <w:p w14:paraId="68AAC9E7" w14:textId="2EDC84A4" w:rsidR="00E57889" w:rsidRPr="00D80FBD" w:rsidRDefault="00E57889" w:rsidP="00E57889">
            <w:pPr>
              <w:jc w:val="right"/>
              <w:rPr>
                <w:rFonts w:ascii="Arial" w:hAnsi="Arial" w:cs="Arial"/>
                <w:sz w:val="20"/>
                <w:szCs w:val="20"/>
              </w:rPr>
            </w:pPr>
            <w:r w:rsidRPr="00D80FBD">
              <w:rPr>
                <w:rFonts w:ascii="Arial" w:hAnsi="Arial" w:cs="Arial"/>
                <w:sz w:val="20"/>
                <w:szCs w:val="20"/>
              </w:rPr>
              <w:t>(1,000,000)</w:t>
            </w:r>
          </w:p>
        </w:tc>
        <w:tc>
          <w:tcPr>
            <w:tcW w:w="1315" w:type="dxa"/>
            <w:gridSpan w:val="3"/>
            <w:tcBorders>
              <w:top w:val="nil"/>
              <w:left w:val="nil"/>
              <w:bottom w:val="single" w:sz="8" w:space="0" w:color="auto"/>
              <w:right w:val="nil"/>
            </w:tcBorders>
            <w:noWrap/>
            <w:vAlign w:val="bottom"/>
            <w:hideMark/>
          </w:tcPr>
          <w:p w14:paraId="7B1090FC" w14:textId="1ACB93ED" w:rsidR="00E57889" w:rsidRPr="00D80FBD" w:rsidRDefault="00E57889" w:rsidP="00E57889">
            <w:pPr>
              <w:jc w:val="right"/>
              <w:rPr>
                <w:rFonts w:ascii="Arial" w:hAnsi="Arial" w:cs="Arial"/>
                <w:sz w:val="20"/>
                <w:szCs w:val="20"/>
              </w:rPr>
            </w:pPr>
            <w:r w:rsidRPr="00D80FBD">
              <w:rPr>
                <w:rFonts w:ascii="Arial" w:hAnsi="Arial" w:cs="Arial"/>
                <w:sz w:val="20"/>
                <w:szCs w:val="20"/>
              </w:rPr>
              <w:t>(1,000,000)</w:t>
            </w:r>
          </w:p>
        </w:tc>
      </w:tr>
      <w:tr w:rsidR="00CA78ED" w:rsidRPr="007E659C" w14:paraId="162A7C11" w14:textId="77777777" w:rsidTr="1079040B">
        <w:trPr>
          <w:trHeight w:val="239"/>
        </w:trPr>
        <w:tc>
          <w:tcPr>
            <w:tcW w:w="3544" w:type="dxa"/>
            <w:gridSpan w:val="2"/>
            <w:tcBorders>
              <w:top w:val="nil"/>
              <w:left w:val="nil"/>
              <w:bottom w:val="nil"/>
              <w:right w:val="nil"/>
            </w:tcBorders>
            <w:noWrap/>
            <w:vAlign w:val="center"/>
            <w:hideMark/>
          </w:tcPr>
          <w:p w14:paraId="0559D224" w14:textId="77777777" w:rsidR="00E57889" w:rsidRPr="00D80FBD" w:rsidRDefault="00E57889" w:rsidP="00E57889">
            <w:pPr>
              <w:rPr>
                <w:rFonts w:ascii="Arial" w:hAnsi="Arial" w:cs="Arial"/>
                <w:color w:val="000000"/>
                <w:sz w:val="20"/>
                <w:szCs w:val="20"/>
              </w:rPr>
            </w:pPr>
            <w:r w:rsidRPr="00D80FBD">
              <w:rPr>
                <w:rFonts w:ascii="Arial" w:hAnsi="Arial" w:cs="Arial"/>
                <w:color w:val="000000" w:themeColor="text1"/>
                <w:sz w:val="20"/>
                <w:szCs w:val="20"/>
              </w:rPr>
              <w:t>Closing balance</w:t>
            </w:r>
          </w:p>
        </w:tc>
        <w:tc>
          <w:tcPr>
            <w:tcW w:w="1538" w:type="dxa"/>
            <w:tcBorders>
              <w:top w:val="nil"/>
              <w:left w:val="nil"/>
              <w:bottom w:val="single" w:sz="8" w:space="0" w:color="auto"/>
              <w:right w:val="nil"/>
            </w:tcBorders>
            <w:noWrap/>
            <w:vAlign w:val="bottom"/>
            <w:hideMark/>
          </w:tcPr>
          <w:p w14:paraId="61DF5CB5" w14:textId="75BFF4A5" w:rsidR="00E57889" w:rsidRPr="00D80FBD" w:rsidRDefault="00E57889" w:rsidP="00E57889">
            <w:pPr>
              <w:jc w:val="right"/>
              <w:rPr>
                <w:rFonts w:ascii="Arial" w:hAnsi="Arial" w:cs="Arial"/>
                <w:sz w:val="20"/>
                <w:szCs w:val="20"/>
              </w:rPr>
            </w:pPr>
            <w:r w:rsidRPr="00D80FBD">
              <w:rPr>
                <w:rFonts w:ascii="Arial" w:hAnsi="Arial" w:cs="Arial"/>
                <w:sz w:val="20"/>
                <w:szCs w:val="20"/>
              </w:rPr>
              <w:t xml:space="preserve">7,083,415 </w:t>
            </w:r>
          </w:p>
        </w:tc>
        <w:tc>
          <w:tcPr>
            <w:tcW w:w="1740" w:type="dxa"/>
            <w:gridSpan w:val="3"/>
            <w:tcBorders>
              <w:top w:val="nil"/>
              <w:left w:val="nil"/>
              <w:bottom w:val="single" w:sz="8" w:space="0" w:color="auto"/>
              <w:right w:val="nil"/>
            </w:tcBorders>
            <w:noWrap/>
            <w:vAlign w:val="bottom"/>
            <w:hideMark/>
          </w:tcPr>
          <w:p w14:paraId="50F47D58" w14:textId="2611805F" w:rsidR="00E57889" w:rsidRPr="00D80FBD" w:rsidRDefault="00E57889" w:rsidP="00E57889">
            <w:pPr>
              <w:jc w:val="right"/>
              <w:rPr>
                <w:rFonts w:ascii="Arial" w:hAnsi="Arial" w:cs="Arial"/>
                <w:sz w:val="20"/>
                <w:szCs w:val="20"/>
              </w:rPr>
            </w:pPr>
            <w:r w:rsidRPr="00D80FBD">
              <w:rPr>
                <w:rFonts w:ascii="Arial" w:hAnsi="Arial" w:cs="Arial"/>
                <w:sz w:val="20"/>
                <w:szCs w:val="20"/>
              </w:rPr>
              <w:t xml:space="preserve">8,238,360 </w:t>
            </w:r>
          </w:p>
        </w:tc>
        <w:tc>
          <w:tcPr>
            <w:tcW w:w="1570" w:type="dxa"/>
            <w:gridSpan w:val="2"/>
            <w:tcBorders>
              <w:top w:val="nil"/>
              <w:left w:val="nil"/>
              <w:bottom w:val="single" w:sz="8" w:space="0" w:color="auto"/>
              <w:right w:val="nil"/>
            </w:tcBorders>
            <w:noWrap/>
            <w:vAlign w:val="bottom"/>
            <w:hideMark/>
          </w:tcPr>
          <w:p w14:paraId="4E7980E5" w14:textId="430F0A72" w:rsidR="00E57889" w:rsidRPr="00D80FBD" w:rsidRDefault="00E57889" w:rsidP="00E57889">
            <w:pPr>
              <w:jc w:val="right"/>
              <w:rPr>
                <w:rFonts w:ascii="Arial" w:hAnsi="Arial" w:cs="Arial"/>
                <w:sz w:val="20"/>
                <w:szCs w:val="20"/>
              </w:rPr>
            </w:pPr>
            <w:r w:rsidRPr="00D80FBD">
              <w:rPr>
                <w:rFonts w:ascii="Arial" w:hAnsi="Arial" w:cs="Arial"/>
                <w:sz w:val="20"/>
                <w:szCs w:val="20"/>
              </w:rPr>
              <w:t xml:space="preserve">9,792,261 </w:t>
            </w:r>
          </w:p>
        </w:tc>
        <w:tc>
          <w:tcPr>
            <w:tcW w:w="1367" w:type="dxa"/>
            <w:tcBorders>
              <w:top w:val="nil"/>
              <w:left w:val="nil"/>
              <w:bottom w:val="single" w:sz="8" w:space="0" w:color="auto"/>
              <w:right w:val="nil"/>
            </w:tcBorders>
            <w:noWrap/>
            <w:vAlign w:val="bottom"/>
            <w:hideMark/>
          </w:tcPr>
          <w:p w14:paraId="2652A88F" w14:textId="1B0C1A08" w:rsidR="00E57889" w:rsidRPr="00D80FBD" w:rsidRDefault="00E57889" w:rsidP="00E57889">
            <w:pPr>
              <w:jc w:val="right"/>
              <w:rPr>
                <w:rFonts w:ascii="Arial" w:hAnsi="Arial" w:cs="Arial"/>
                <w:sz w:val="20"/>
                <w:szCs w:val="20"/>
              </w:rPr>
            </w:pPr>
            <w:r w:rsidRPr="00D80FBD">
              <w:rPr>
                <w:rFonts w:ascii="Arial" w:hAnsi="Arial" w:cs="Arial"/>
                <w:sz w:val="20"/>
                <w:szCs w:val="20"/>
              </w:rPr>
              <w:t xml:space="preserve">11,410,329 </w:t>
            </w:r>
          </w:p>
        </w:tc>
        <w:tc>
          <w:tcPr>
            <w:tcW w:w="1315" w:type="dxa"/>
            <w:gridSpan w:val="3"/>
            <w:tcBorders>
              <w:top w:val="nil"/>
              <w:left w:val="nil"/>
              <w:bottom w:val="single" w:sz="8" w:space="0" w:color="auto"/>
              <w:right w:val="nil"/>
            </w:tcBorders>
            <w:noWrap/>
            <w:vAlign w:val="bottom"/>
            <w:hideMark/>
          </w:tcPr>
          <w:p w14:paraId="4C1947D8" w14:textId="5750F9F7" w:rsidR="00E57889" w:rsidRPr="00D80FBD" w:rsidRDefault="00E57889" w:rsidP="00E57889">
            <w:pPr>
              <w:jc w:val="right"/>
              <w:rPr>
                <w:rFonts w:ascii="Arial" w:hAnsi="Arial" w:cs="Arial"/>
                <w:sz w:val="20"/>
                <w:szCs w:val="20"/>
              </w:rPr>
            </w:pPr>
            <w:r w:rsidRPr="00D80FBD">
              <w:rPr>
                <w:rFonts w:ascii="Arial" w:hAnsi="Arial" w:cs="Arial"/>
                <w:sz w:val="20"/>
                <w:szCs w:val="20"/>
              </w:rPr>
              <w:t>13,093,850</w:t>
            </w:r>
          </w:p>
        </w:tc>
      </w:tr>
      <w:tr w:rsidR="00CA78ED" w:rsidRPr="007E659C" w14:paraId="67E6ABC0" w14:textId="77777777" w:rsidTr="1079040B">
        <w:trPr>
          <w:trHeight w:val="230"/>
        </w:trPr>
        <w:tc>
          <w:tcPr>
            <w:tcW w:w="3544" w:type="dxa"/>
            <w:gridSpan w:val="2"/>
            <w:tcBorders>
              <w:top w:val="nil"/>
              <w:left w:val="nil"/>
              <w:bottom w:val="nil"/>
              <w:right w:val="nil"/>
            </w:tcBorders>
            <w:noWrap/>
            <w:vAlign w:val="center"/>
            <w:hideMark/>
          </w:tcPr>
          <w:p w14:paraId="76E6650D" w14:textId="77777777" w:rsidR="003A1FA1" w:rsidRPr="00D80FBD" w:rsidRDefault="003A1FA1" w:rsidP="003A1FA1">
            <w:pPr>
              <w:jc w:val="right"/>
              <w:rPr>
                <w:rFonts w:ascii="Arial" w:hAnsi="Arial" w:cs="Arial"/>
                <w:color w:val="000000"/>
                <w:sz w:val="20"/>
                <w:szCs w:val="20"/>
              </w:rPr>
            </w:pPr>
          </w:p>
        </w:tc>
        <w:tc>
          <w:tcPr>
            <w:tcW w:w="1538" w:type="dxa"/>
            <w:tcBorders>
              <w:top w:val="nil"/>
              <w:left w:val="nil"/>
              <w:bottom w:val="nil"/>
              <w:right w:val="nil"/>
            </w:tcBorders>
            <w:noWrap/>
            <w:vAlign w:val="center"/>
            <w:hideMark/>
          </w:tcPr>
          <w:p w14:paraId="7FBF96FF" w14:textId="77777777" w:rsidR="003A1FA1" w:rsidRPr="00D80FBD" w:rsidRDefault="003A1FA1" w:rsidP="00423E03">
            <w:pPr>
              <w:jc w:val="right"/>
              <w:rPr>
                <w:sz w:val="20"/>
                <w:szCs w:val="20"/>
              </w:rPr>
            </w:pPr>
          </w:p>
        </w:tc>
        <w:tc>
          <w:tcPr>
            <w:tcW w:w="1740" w:type="dxa"/>
            <w:gridSpan w:val="3"/>
            <w:tcBorders>
              <w:top w:val="nil"/>
              <w:left w:val="nil"/>
              <w:bottom w:val="nil"/>
              <w:right w:val="nil"/>
            </w:tcBorders>
            <w:noWrap/>
            <w:vAlign w:val="center"/>
            <w:hideMark/>
          </w:tcPr>
          <w:p w14:paraId="7410B330" w14:textId="77777777" w:rsidR="003A1FA1" w:rsidRPr="00D80FBD" w:rsidRDefault="003A1FA1" w:rsidP="003A1FA1">
            <w:pPr>
              <w:jc w:val="right"/>
              <w:rPr>
                <w:sz w:val="20"/>
                <w:szCs w:val="20"/>
              </w:rPr>
            </w:pPr>
          </w:p>
        </w:tc>
        <w:tc>
          <w:tcPr>
            <w:tcW w:w="1570" w:type="dxa"/>
            <w:gridSpan w:val="2"/>
            <w:tcBorders>
              <w:top w:val="nil"/>
              <w:left w:val="nil"/>
              <w:bottom w:val="nil"/>
              <w:right w:val="nil"/>
            </w:tcBorders>
            <w:noWrap/>
            <w:vAlign w:val="center"/>
            <w:hideMark/>
          </w:tcPr>
          <w:p w14:paraId="3FB730B3" w14:textId="77777777" w:rsidR="003A1FA1" w:rsidRPr="00D80FBD" w:rsidRDefault="003A1FA1" w:rsidP="003A1FA1">
            <w:pPr>
              <w:jc w:val="right"/>
              <w:rPr>
                <w:sz w:val="20"/>
                <w:szCs w:val="20"/>
              </w:rPr>
            </w:pPr>
          </w:p>
        </w:tc>
        <w:tc>
          <w:tcPr>
            <w:tcW w:w="1367" w:type="dxa"/>
            <w:tcBorders>
              <w:top w:val="nil"/>
              <w:left w:val="nil"/>
              <w:bottom w:val="nil"/>
              <w:right w:val="nil"/>
            </w:tcBorders>
            <w:noWrap/>
            <w:vAlign w:val="center"/>
            <w:hideMark/>
          </w:tcPr>
          <w:p w14:paraId="71D40B08" w14:textId="77777777" w:rsidR="003A1FA1" w:rsidRPr="00D80FBD" w:rsidRDefault="003A1FA1" w:rsidP="003A1FA1">
            <w:pPr>
              <w:jc w:val="right"/>
              <w:rPr>
                <w:sz w:val="20"/>
                <w:szCs w:val="20"/>
              </w:rPr>
            </w:pPr>
          </w:p>
        </w:tc>
        <w:tc>
          <w:tcPr>
            <w:tcW w:w="1315" w:type="dxa"/>
            <w:gridSpan w:val="3"/>
            <w:tcBorders>
              <w:top w:val="nil"/>
              <w:left w:val="nil"/>
              <w:bottom w:val="nil"/>
              <w:right w:val="nil"/>
            </w:tcBorders>
            <w:noWrap/>
            <w:vAlign w:val="center"/>
            <w:hideMark/>
          </w:tcPr>
          <w:p w14:paraId="6EB82119" w14:textId="77777777" w:rsidR="003A1FA1" w:rsidRPr="00D80FBD" w:rsidRDefault="003A1FA1" w:rsidP="003A1FA1">
            <w:pPr>
              <w:jc w:val="right"/>
              <w:rPr>
                <w:sz w:val="20"/>
                <w:szCs w:val="20"/>
              </w:rPr>
            </w:pPr>
          </w:p>
        </w:tc>
      </w:tr>
      <w:tr w:rsidR="00CA78ED" w:rsidRPr="007E659C" w14:paraId="383565BA" w14:textId="77777777" w:rsidTr="1079040B">
        <w:trPr>
          <w:trHeight w:val="230"/>
        </w:trPr>
        <w:tc>
          <w:tcPr>
            <w:tcW w:w="3544" w:type="dxa"/>
            <w:gridSpan w:val="2"/>
            <w:tcBorders>
              <w:top w:val="nil"/>
              <w:left w:val="nil"/>
              <w:bottom w:val="nil"/>
              <w:right w:val="nil"/>
            </w:tcBorders>
            <w:noWrap/>
            <w:vAlign w:val="center"/>
            <w:hideMark/>
          </w:tcPr>
          <w:p w14:paraId="1757D7FE" w14:textId="77777777" w:rsidR="003A1FA1" w:rsidRPr="00D80FBD" w:rsidRDefault="003A1FA1" w:rsidP="003A1FA1">
            <w:pPr>
              <w:rPr>
                <w:rFonts w:ascii="Arial" w:hAnsi="Arial" w:cs="Arial"/>
                <w:b/>
                <w:i/>
                <w:color w:val="000000"/>
                <w:sz w:val="20"/>
                <w:szCs w:val="20"/>
              </w:rPr>
            </w:pPr>
            <w:r w:rsidRPr="00D80FBD">
              <w:rPr>
                <w:rFonts w:ascii="Arial" w:hAnsi="Arial" w:cs="Arial"/>
                <w:b/>
                <w:i/>
                <w:color w:val="000000" w:themeColor="text1"/>
                <w:sz w:val="20"/>
                <w:szCs w:val="20"/>
              </w:rPr>
              <w:t>Grants &amp; contributions</w:t>
            </w:r>
          </w:p>
        </w:tc>
        <w:tc>
          <w:tcPr>
            <w:tcW w:w="1538" w:type="dxa"/>
            <w:tcBorders>
              <w:top w:val="nil"/>
              <w:left w:val="nil"/>
              <w:bottom w:val="nil"/>
              <w:right w:val="nil"/>
            </w:tcBorders>
            <w:noWrap/>
            <w:vAlign w:val="center"/>
            <w:hideMark/>
          </w:tcPr>
          <w:p w14:paraId="2005ECB0" w14:textId="77777777" w:rsidR="003A1FA1" w:rsidRPr="00D80FBD" w:rsidRDefault="003A1FA1" w:rsidP="00423E03">
            <w:pPr>
              <w:jc w:val="right"/>
              <w:rPr>
                <w:rFonts w:ascii="Arial" w:hAnsi="Arial" w:cs="Arial"/>
                <w:b/>
                <w:i/>
                <w:color w:val="000000"/>
                <w:sz w:val="20"/>
                <w:szCs w:val="20"/>
              </w:rPr>
            </w:pPr>
          </w:p>
        </w:tc>
        <w:tc>
          <w:tcPr>
            <w:tcW w:w="1740" w:type="dxa"/>
            <w:gridSpan w:val="3"/>
            <w:tcBorders>
              <w:top w:val="nil"/>
              <w:left w:val="nil"/>
              <w:bottom w:val="nil"/>
              <w:right w:val="nil"/>
            </w:tcBorders>
            <w:noWrap/>
            <w:vAlign w:val="center"/>
            <w:hideMark/>
          </w:tcPr>
          <w:p w14:paraId="1E55E55F" w14:textId="77777777" w:rsidR="003A1FA1" w:rsidRPr="00D80FBD" w:rsidRDefault="003A1FA1" w:rsidP="003A1FA1">
            <w:pPr>
              <w:jc w:val="right"/>
              <w:rPr>
                <w:sz w:val="20"/>
                <w:szCs w:val="20"/>
              </w:rPr>
            </w:pPr>
          </w:p>
        </w:tc>
        <w:tc>
          <w:tcPr>
            <w:tcW w:w="1570" w:type="dxa"/>
            <w:gridSpan w:val="2"/>
            <w:tcBorders>
              <w:top w:val="nil"/>
              <w:left w:val="nil"/>
              <w:bottom w:val="nil"/>
              <w:right w:val="nil"/>
            </w:tcBorders>
            <w:noWrap/>
            <w:vAlign w:val="center"/>
            <w:hideMark/>
          </w:tcPr>
          <w:p w14:paraId="604D2149" w14:textId="77777777" w:rsidR="003A1FA1" w:rsidRPr="00D80FBD" w:rsidRDefault="003A1FA1" w:rsidP="003A1FA1">
            <w:pPr>
              <w:jc w:val="right"/>
              <w:rPr>
                <w:sz w:val="20"/>
                <w:szCs w:val="20"/>
              </w:rPr>
            </w:pPr>
          </w:p>
        </w:tc>
        <w:tc>
          <w:tcPr>
            <w:tcW w:w="1367" w:type="dxa"/>
            <w:tcBorders>
              <w:top w:val="nil"/>
              <w:left w:val="nil"/>
              <w:bottom w:val="nil"/>
              <w:right w:val="nil"/>
            </w:tcBorders>
            <w:noWrap/>
            <w:vAlign w:val="center"/>
            <w:hideMark/>
          </w:tcPr>
          <w:p w14:paraId="0A02DB11" w14:textId="77777777" w:rsidR="003A1FA1" w:rsidRPr="00D80FBD" w:rsidRDefault="003A1FA1" w:rsidP="003A1FA1">
            <w:pPr>
              <w:jc w:val="right"/>
              <w:rPr>
                <w:sz w:val="20"/>
                <w:szCs w:val="20"/>
              </w:rPr>
            </w:pPr>
          </w:p>
        </w:tc>
        <w:tc>
          <w:tcPr>
            <w:tcW w:w="1315" w:type="dxa"/>
            <w:gridSpan w:val="3"/>
            <w:tcBorders>
              <w:top w:val="nil"/>
              <w:left w:val="nil"/>
              <w:bottom w:val="nil"/>
              <w:right w:val="nil"/>
            </w:tcBorders>
            <w:noWrap/>
            <w:vAlign w:val="center"/>
            <w:hideMark/>
          </w:tcPr>
          <w:p w14:paraId="2A9AE415" w14:textId="77777777" w:rsidR="003A1FA1" w:rsidRPr="00D80FBD" w:rsidRDefault="003A1FA1" w:rsidP="003A1FA1">
            <w:pPr>
              <w:jc w:val="right"/>
              <w:rPr>
                <w:sz w:val="20"/>
                <w:szCs w:val="20"/>
              </w:rPr>
            </w:pPr>
          </w:p>
        </w:tc>
      </w:tr>
      <w:tr w:rsidR="00CA78ED" w:rsidRPr="007E659C" w14:paraId="703C04BC" w14:textId="77777777" w:rsidTr="1079040B">
        <w:trPr>
          <w:trHeight w:val="230"/>
        </w:trPr>
        <w:tc>
          <w:tcPr>
            <w:tcW w:w="3544" w:type="dxa"/>
            <w:gridSpan w:val="2"/>
            <w:tcBorders>
              <w:top w:val="nil"/>
              <w:left w:val="nil"/>
              <w:bottom w:val="nil"/>
              <w:right w:val="nil"/>
            </w:tcBorders>
            <w:noWrap/>
            <w:vAlign w:val="center"/>
            <w:hideMark/>
          </w:tcPr>
          <w:p w14:paraId="738C56DA" w14:textId="77777777" w:rsidR="004C0138" w:rsidRPr="00D80FBD" w:rsidRDefault="004C0138" w:rsidP="004C0138">
            <w:pPr>
              <w:rPr>
                <w:rFonts w:ascii="Arial" w:hAnsi="Arial" w:cs="Arial"/>
                <w:color w:val="000000"/>
                <w:sz w:val="20"/>
                <w:szCs w:val="20"/>
              </w:rPr>
            </w:pPr>
            <w:r w:rsidRPr="00D80FBD">
              <w:rPr>
                <w:rFonts w:ascii="Arial" w:hAnsi="Arial" w:cs="Arial"/>
                <w:color w:val="000000" w:themeColor="text1"/>
                <w:sz w:val="20"/>
                <w:szCs w:val="20"/>
              </w:rPr>
              <w:t>Opening balance</w:t>
            </w:r>
          </w:p>
        </w:tc>
        <w:tc>
          <w:tcPr>
            <w:tcW w:w="1538" w:type="dxa"/>
            <w:tcBorders>
              <w:top w:val="nil"/>
              <w:left w:val="nil"/>
              <w:bottom w:val="nil"/>
              <w:right w:val="nil"/>
            </w:tcBorders>
            <w:noWrap/>
            <w:vAlign w:val="bottom"/>
            <w:hideMark/>
          </w:tcPr>
          <w:p w14:paraId="69ECD191" w14:textId="708C0DE9" w:rsidR="004C0138" w:rsidRPr="00D80FBD" w:rsidRDefault="004C0138" w:rsidP="004C0138">
            <w:pPr>
              <w:jc w:val="right"/>
              <w:rPr>
                <w:rFonts w:ascii="Arial" w:hAnsi="Arial" w:cs="Arial"/>
                <w:color w:val="000000"/>
                <w:sz w:val="20"/>
                <w:szCs w:val="20"/>
              </w:rPr>
            </w:pPr>
            <w:r w:rsidRPr="00D80FBD">
              <w:rPr>
                <w:rFonts w:ascii="Arial" w:hAnsi="Arial" w:cs="Arial"/>
                <w:color w:val="000000" w:themeColor="text1"/>
                <w:sz w:val="20"/>
                <w:szCs w:val="20"/>
              </w:rPr>
              <w:t xml:space="preserve">275,313 </w:t>
            </w:r>
          </w:p>
        </w:tc>
        <w:tc>
          <w:tcPr>
            <w:tcW w:w="1740" w:type="dxa"/>
            <w:gridSpan w:val="3"/>
            <w:tcBorders>
              <w:top w:val="nil"/>
              <w:left w:val="nil"/>
              <w:bottom w:val="nil"/>
              <w:right w:val="nil"/>
            </w:tcBorders>
            <w:noWrap/>
            <w:vAlign w:val="bottom"/>
            <w:hideMark/>
          </w:tcPr>
          <w:p w14:paraId="3D30A8ED" w14:textId="0C73A984" w:rsidR="004C0138" w:rsidRPr="00D80FBD" w:rsidRDefault="004C0138" w:rsidP="004C0138">
            <w:pPr>
              <w:jc w:val="right"/>
              <w:rPr>
                <w:rFonts w:ascii="Arial" w:hAnsi="Arial" w:cs="Arial"/>
                <w:color w:val="000000"/>
                <w:sz w:val="20"/>
                <w:szCs w:val="20"/>
              </w:rPr>
            </w:pPr>
            <w:r w:rsidRPr="00D80FBD">
              <w:rPr>
                <w:rFonts w:ascii="Arial" w:hAnsi="Arial" w:cs="Arial"/>
                <w:color w:val="000000" w:themeColor="text1"/>
                <w:sz w:val="20"/>
                <w:szCs w:val="20"/>
              </w:rPr>
              <w:t xml:space="preserve">275,313 </w:t>
            </w:r>
          </w:p>
        </w:tc>
        <w:tc>
          <w:tcPr>
            <w:tcW w:w="1570" w:type="dxa"/>
            <w:gridSpan w:val="2"/>
            <w:tcBorders>
              <w:top w:val="nil"/>
              <w:left w:val="nil"/>
              <w:bottom w:val="nil"/>
              <w:right w:val="nil"/>
            </w:tcBorders>
            <w:noWrap/>
            <w:vAlign w:val="bottom"/>
            <w:hideMark/>
          </w:tcPr>
          <w:p w14:paraId="0ECD729A" w14:textId="1819DF67" w:rsidR="004C0138" w:rsidRPr="00D80FBD" w:rsidRDefault="004C0138" w:rsidP="004C0138">
            <w:pPr>
              <w:jc w:val="right"/>
              <w:rPr>
                <w:rFonts w:ascii="Arial" w:hAnsi="Arial" w:cs="Arial"/>
                <w:color w:val="000000"/>
                <w:sz w:val="20"/>
                <w:szCs w:val="20"/>
              </w:rPr>
            </w:pPr>
            <w:r w:rsidRPr="00D80FBD">
              <w:rPr>
                <w:rFonts w:ascii="Arial" w:hAnsi="Arial" w:cs="Arial"/>
                <w:color w:val="000000" w:themeColor="text1"/>
                <w:sz w:val="20"/>
                <w:szCs w:val="20"/>
              </w:rPr>
              <w:t xml:space="preserve">275,313 </w:t>
            </w:r>
          </w:p>
        </w:tc>
        <w:tc>
          <w:tcPr>
            <w:tcW w:w="1367" w:type="dxa"/>
            <w:tcBorders>
              <w:top w:val="nil"/>
              <w:left w:val="nil"/>
              <w:bottom w:val="nil"/>
              <w:right w:val="nil"/>
            </w:tcBorders>
            <w:noWrap/>
            <w:vAlign w:val="bottom"/>
            <w:hideMark/>
          </w:tcPr>
          <w:p w14:paraId="7AB24400" w14:textId="0904ACC1" w:rsidR="004C0138" w:rsidRPr="00D80FBD" w:rsidRDefault="004C0138" w:rsidP="004C0138">
            <w:pPr>
              <w:jc w:val="right"/>
              <w:rPr>
                <w:rFonts w:ascii="Arial" w:hAnsi="Arial" w:cs="Arial"/>
                <w:color w:val="000000"/>
                <w:sz w:val="20"/>
                <w:szCs w:val="20"/>
              </w:rPr>
            </w:pPr>
            <w:r w:rsidRPr="00D80FBD">
              <w:rPr>
                <w:rFonts w:ascii="Arial" w:hAnsi="Arial" w:cs="Arial"/>
                <w:color w:val="000000" w:themeColor="text1"/>
                <w:sz w:val="20"/>
                <w:szCs w:val="20"/>
              </w:rPr>
              <w:t xml:space="preserve">275,313 </w:t>
            </w:r>
          </w:p>
        </w:tc>
        <w:tc>
          <w:tcPr>
            <w:tcW w:w="1315" w:type="dxa"/>
            <w:gridSpan w:val="3"/>
            <w:tcBorders>
              <w:top w:val="nil"/>
              <w:left w:val="nil"/>
              <w:bottom w:val="nil"/>
              <w:right w:val="nil"/>
            </w:tcBorders>
            <w:noWrap/>
            <w:vAlign w:val="bottom"/>
            <w:hideMark/>
          </w:tcPr>
          <w:p w14:paraId="23E7ADD6" w14:textId="02F91C3B" w:rsidR="004C0138" w:rsidRPr="00D80FBD" w:rsidRDefault="004C0138" w:rsidP="004C0138">
            <w:pPr>
              <w:jc w:val="right"/>
              <w:rPr>
                <w:rFonts w:ascii="Arial" w:hAnsi="Arial" w:cs="Arial"/>
                <w:color w:val="000000"/>
                <w:sz w:val="20"/>
                <w:szCs w:val="20"/>
              </w:rPr>
            </w:pPr>
            <w:r w:rsidRPr="00D80FBD">
              <w:rPr>
                <w:rFonts w:ascii="Arial" w:hAnsi="Arial" w:cs="Arial"/>
                <w:color w:val="000000" w:themeColor="text1"/>
                <w:sz w:val="20"/>
                <w:szCs w:val="20"/>
              </w:rPr>
              <w:t xml:space="preserve">275,313 </w:t>
            </w:r>
          </w:p>
        </w:tc>
      </w:tr>
      <w:tr w:rsidR="00CA78ED" w:rsidRPr="007E659C" w14:paraId="73A5AC06" w14:textId="77777777" w:rsidTr="1079040B">
        <w:trPr>
          <w:trHeight w:val="230"/>
        </w:trPr>
        <w:tc>
          <w:tcPr>
            <w:tcW w:w="3544" w:type="dxa"/>
            <w:gridSpan w:val="2"/>
            <w:tcBorders>
              <w:top w:val="nil"/>
              <w:left w:val="nil"/>
              <w:bottom w:val="nil"/>
              <w:right w:val="nil"/>
            </w:tcBorders>
            <w:noWrap/>
            <w:vAlign w:val="center"/>
            <w:hideMark/>
          </w:tcPr>
          <w:p w14:paraId="498E9329" w14:textId="77777777" w:rsidR="004C0138" w:rsidRPr="00D80FBD" w:rsidRDefault="004C0138" w:rsidP="004C0138">
            <w:pPr>
              <w:rPr>
                <w:rFonts w:ascii="Arial" w:hAnsi="Arial" w:cs="Arial"/>
                <w:color w:val="000000"/>
                <w:sz w:val="20"/>
                <w:szCs w:val="20"/>
              </w:rPr>
            </w:pPr>
            <w:r w:rsidRPr="00D80FBD">
              <w:rPr>
                <w:rFonts w:ascii="Arial" w:hAnsi="Arial" w:cs="Arial"/>
                <w:color w:val="000000" w:themeColor="text1"/>
                <w:sz w:val="20"/>
                <w:szCs w:val="20"/>
              </w:rPr>
              <w:t>Grants &amp; contributions received in year</w:t>
            </w:r>
          </w:p>
        </w:tc>
        <w:tc>
          <w:tcPr>
            <w:tcW w:w="1538" w:type="dxa"/>
            <w:tcBorders>
              <w:top w:val="nil"/>
              <w:left w:val="nil"/>
              <w:bottom w:val="nil"/>
              <w:right w:val="nil"/>
            </w:tcBorders>
            <w:noWrap/>
            <w:vAlign w:val="bottom"/>
            <w:hideMark/>
          </w:tcPr>
          <w:p w14:paraId="7DB07743" w14:textId="0BE5B4EF" w:rsidR="004C0138" w:rsidRPr="00D80FBD" w:rsidRDefault="004C0138" w:rsidP="004C0138">
            <w:pPr>
              <w:jc w:val="right"/>
              <w:rPr>
                <w:rFonts w:ascii="Arial" w:hAnsi="Arial" w:cs="Arial"/>
                <w:color w:val="000000"/>
                <w:sz w:val="20"/>
                <w:szCs w:val="20"/>
              </w:rPr>
            </w:pPr>
            <w:r w:rsidRPr="00D80FBD">
              <w:rPr>
                <w:rFonts w:ascii="Arial" w:hAnsi="Arial" w:cs="Arial"/>
                <w:color w:val="000000" w:themeColor="text1"/>
                <w:sz w:val="20"/>
                <w:szCs w:val="20"/>
              </w:rPr>
              <w:t xml:space="preserve">3,562,540 </w:t>
            </w:r>
          </w:p>
        </w:tc>
        <w:tc>
          <w:tcPr>
            <w:tcW w:w="1740" w:type="dxa"/>
            <w:gridSpan w:val="3"/>
            <w:tcBorders>
              <w:top w:val="nil"/>
              <w:left w:val="nil"/>
              <w:bottom w:val="nil"/>
              <w:right w:val="nil"/>
            </w:tcBorders>
            <w:noWrap/>
            <w:vAlign w:val="bottom"/>
            <w:hideMark/>
          </w:tcPr>
          <w:p w14:paraId="75DC50B4" w14:textId="6B43647A" w:rsidR="004C0138" w:rsidRPr="00D80FBD" w:rsidRDefault="004C0138" w:rsidP="004C0138">
            <w:pPr>
              <w:jc w:val="right"/>
              <w:rPr>
                <w:rFonts w:ascii="Arial" w:hAnsi="Arial" w:cs="Arial"/>
                <w:color w:val="000000"/>
                <w:sz w:val="20"/>
                <w:szCs w:val="20"/>
              </w:rPr>
            </w:pPr>
            <w:r w:rsidRPr="00D80FBD">
              <w:rPr>
                <w:rFonts w:ascii="Arial" w:hAnsi="Arial" w:cs="Arial"/>
                <w:color w:val="000000" w:themeColor="text1"/>
                <w:sz w:val="20"/>
                <w:szCs w:val="20"/>
              </w:rPr>
              <w:t xml:space="preserve">1,647,437 </w:t>
            </w:r>
          </w:p>
        </w:tc>
        <w:tc>
          <w:tcPr>
            <w:tcW w:w="1570" w:type="dxa"/>
            <w:gridSpan w:val="2"/>
            <w:tcBorders>
              <w:top w:val="nil"/>
              <w:left w:val="nil"/>
              <w:bottom w:val="nil"/>
              <w:right w:val="nil"/>
            </w:tcBorders>
            <w:noWrap/>
            <w:vAlign w:val="bottom"/>
          </w:tcPr>
          <w:p w14:paraId="201103E7" w14:textId="100F3A55" w:rsidR="004C0138" w:rsidRPr="00D80FBD" w:rsidRDefault="2C8AD420" w:rsidP="004C0138">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367" w:type="dxa"/>
            <w:tcBorders>
              <w:top w:val="nil"/>
              <w:left w:val="nil"/>
              <w:bottom w:val="nil"/>
              <w:right w:val="nil"/>
            </w:tcBorders>
            <w:noWrap/>
            <w:vAlign w:val="bottom"/>
            <w:hideMark/>
          </w:tcPr>
          <w:p w14:paraId="47CF67CB" w14:textId="53A63B37" w:rsidR="004C0138" w:rsidRPr="00D80FBD" w:rsidRDefault="2C8AD420" w:rsidP="004C0138">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315" w:type="dxa"/>
            <w:gridSpan w:val="3"/>
            <w:tcBorders>
              <w:top w:val="nil"/>
              <w:left w:val="nil"/>
              <w:bottom w:val="nil"/>
              <w:right w:val="nil"/>
            </w:tcBorders>
            <w:noWrap/>
            <w:vAlign w:val="bottom"/>
            <w:hideMark/>
          </w:tcPr>
          <w:p w14:paraId="7ACDBD65" w14:textId="42327F5E" w:rsidR="004C0138" w:rsidRPr="00D80FBD" w:rsidRDefault="2C8AD420" w:rsidP="004C0138">
            <w:pPr>
              <w:jc w:val="right"/>
              <w:rPr>
                <w:rFonts w:ascii="Arial" w:hAnsi="Arial" w:cs="Arial"/>
                <w:color w:val="000000"/>
                <w:sz w:val="20"/>
                <w:szCs w:val="20"/>
              </w:rPr>
            </w:pPr>
            <w:r w:rsidRPr="00D80FBD">
              <w:rPr>
                <w:rFonts w:ascii="Arial" w:hAnsi="Arial" w:cs="Arial"/>
                <w:color w:val="000000" w:themeColor="text1"/>
                <w:sz w:val="20"/>
                <w:szCs w:val="20"/>
              </w:rPr>
              <w:t>0</w:t>
            </w:r>
          </w:p>
        </w:tc>
      </w:tr>
      <w:tr w:rsidR="00CA78ED" w:rsidRPr="007E659C" w14:paraId="619A22F2" w14:textId="77777777" w:rsidTr="1079040B">
        <w:trPr>
          <w:trHeight w:val="239"/>
        </w:trPr>
        <w:tc>
          <w:tcPr>
            <w:tcW w:w="3544" w:type="dxa"/>
            <w:gridSpan w:val="2"/>
            <w:tcBorders>
              <w:top w:val="nil"/>
              <w:left w:val="nil"/>
              <w:bottom w:val="nil"/>
              <w:right w:val="nil"/>
            </w:tcBorders>
            <w:noWrap/>
            <w:vAlign w:val="center"/>
            <w:hideMark/>
          </w:tcPr>
          <w:p w14:paraId="35C55113" w14:textId="77777777" w:rsidR="004C0138" w:rsidRPr="00D80FBD" w:rsidRDefault="004C0138" w:rsidP="004C0138">
            <w:pPr>
              <w:rPr>
                <w:rFonts w:ascii="Arial" w:hAnsi="Arial" w:cs="Arial"/>
                <w:color w:val="000000"/>
                <w:sz w:val="20"/>
                <w:szCs w:val="20"/>
              </w:rPr>
            </w:pPr>
            <w:r w:rsidRPr="00D80FBD">
              <w:rPr>
                <w:rFonts w:ascii="Arial" w:hAnsi="Arial" w:cs="Arial"/>
                <w:color w:val="000000" w:themeColor="text1"/>
                <w:sz w:val="20"/>
                <w:szCs w:val="20"/>
              </w:rPr>
              <w:t>Used in financing</w:t>
            </w:r>
          </w:p>
        </w:tc>
        <w:tc>
          <w:tcPr>
            <w:tcW w:w="1538" w:type="dxa"/>
            <w:tcBorders>
              <w:top w:val="nil"/>
              <w:left w:val="nil"/>
              <w:bottom w:val="single" w:sz="8" w:space="0" w:color="auto"/>
              <w:right w:val="nil"/>
            </w:tcBorders>
            <w:noWrap/>
            <w:vAlign w:val="bottom"/>
            <w:hideMark/>
          </w:tcPr>
          <w:p w14:paraId="6DC41925" w14:textId="29BE6E1F" w:rsidR="004C0138" w:rsidRPr="00D80FBD" w:rsidRDefault="004C0138" w:rsidP="004C0138">
            <w:pPr>
              <w:jc w:val="right"/>
              <w:rPr>
                <w:rFonts w:ascii="Arial" w:hAnsi="Arial" w:cs="Arial"/>
                <w:color w:val="000000"/>
                <w:sz w:val="20"/>
                <w:szCs w:val="20"/>
              </w:rPr>
            </w:pPr>
            <w:r w:rsidRPr="00D80FBD">
              <w:rPr>
                <w:rFonts w:ascii="Arial" w:hAnsi="Arial" w:cs="Arial"/>
                <w:color w:val="000000" w:themeColor="text1"/>
                <w:sz w:val="20"/>
                <w:szCs w:val="20"/>
              </w:rPr>
              <w:t xml:space="preserve">(3,562,540) </w:t>
            </w:r>
          </w:p>
        </w:tc>
        <w:tc>
          <w:tcPr>
            <w:tcW w:w="1740" w:type="dxa"/>
            <w:gridSpan w:val="3"/>
            <w:tcBorders>
              <w:top w:val="nil"/>
              <w:left w:val="nil"/>
              <w:bottom w:val="single" w:sz="8" w:space="0" w:color="auto"/>
              <w:right w:val="nil"/>
            </w:tcBorders>
            <w:noWrap/>
            <w:vAlign w:val="bottom"/>
            <w:hideMark/>
          </w:tcPr>
          <w:p w14:paraId="17059914" w14:textId="78456085" w:rsidR="004C0138" w:rsidRPr="00D80FBD" w:rsidRDefault="004C0138" w:rsidP="004C0138">
            <w:pPr>
              <w:jc w:val="right"/>
              <w:rPr>
                <w:rFonts w:ascii="Arial" w:hAnsi="Arial" w:cs="Arial"/>
                <w:color w:val="000000"/>
                <w:sz w:val="20"/>
                <w:szCs w:val="20"/>
              </w:rPr>
            </w:pPr>
            <w:r w:rsidRPr="00D80FBD">
              <w:rPr>
                <w:rFonts w:ascii="Arial" w:hAnsi="Arial" w:cs="Arial"/>
                <w:color w:val="000000" w:themeColor="text1"/>
                <w:sz w:val="20"/>
                <w:szCs w:val="20"/>
              </w:rPr>
              <w:t xml:space="preserve">(1,647,437) </w:t>
            </w:r>
          </w:p>
        </w:tc>
        <w:tc>
          <w:tcPr>
            <w:tcW w:w="1570" w:type="dxa"/>
            <w:gridSpan w:val="2"/>
            <w:tcBorders>
              <w:top w:val="nil"/>
              <w:left w:val="nil"/>
              <w:bottom w:val="single" w:sz="8" w:space="0" w:color="auto"/>
              <w:right w:val="nil"/>
            </w:tcBorders>
            <w:noWrap/>
            <w:vAlign w:val="bottom"/>
          </w:tcPr>
          <w:p w14:paraId="4CCE58D3" w14:textId="734C0D6C" w:rsidR="004C0138" w:rsidRPr="00D80FBD" w:rsidRDefault="3F44C9A0" w:rsidP="004C0138">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367" w:type="dxa"/>
            <w:tcBorders>
              <w:top w:val="nil"/>
              <w:left w:val="nil"/>
              <w:bottom w:val="single" w:sz="8" w:space="0" w:color="auto"/>
              <w:right w:val="nil"/>
            </w:tcBorders>
            <w:noWrap/>
            <w:vAlign w:val="center"/>
            <w:hideMark/>
          </w:tcPr>
          <w:p w14:paraId="23327836" w14:textId="77777777" w:rsidR="004C0138" w:rsidRPr="00D80FBD" w:rsidRDefault="004C0138" w:rsidP="004C0138">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315" w:type="dxa"/>
            <w:gridSpan w:val="3"/>
            <w:tcBorders>
              <w:top w:val="nil"/>
              <w:left w:val="nil"/>
              <w:bottom w:val="single" w:sz="8" w:space="0" w:color="auto"/>
              <w:right w:val="nil"/>
            </w:tcBorders>
            <w:noWrap/>
            <w:vAlign w:val="center"/>
            <w:hideMark/>
          </w:tcPr>
          <w:p w14:paraId="623A761F" w14:textId="77777777" w:rsidR="004C0138" w:rsidRPr="00D80FBD" w:rsidRDefault="004C0138" w:rsidP="004C0138">
            <w:pPr>
              <w:jc w:val="right"/>
              <w:rPr>
                <w:rFonts w:ascii="Arial" w:hAnsi="Arial" w:cs="Arial"/>
                <w:color w:val="000000"/>
                <w:sz w:val="20"/>
                <w:szCs w:val="20"/>
              </w:rPr>
            </w:pPr>
            <w:r w:rsidRPr="00D80FBD">
              <w:rPr>
                <w:rFonts w:ascii="Arial" w:hAnsi="Arial" w:cs="Arial"/>
                <w:color w:val="000000" w:themeColor="text1"/>
                <w:sz w:val="20"/>
                <w:szCs w:val="20"/>
              </w:rPr>
              <w:t>0</w:t>
            </w:r>
          </w:p>
        </w:tc>
      </w:tr>
      <w:tr w:rsidR="00CA78ED" w:rsidRPr="007E659C" w14:paraId="3FFAA3DE" w14:textId="77777777" w:rsidTr="1079040B">
        <w:trPr>
          <w:trHeight w:val="239"/>
        </w:trPr>
        <w:tc>
          <w:tcPr>
            <w:tcW w:w="3544" w:type="dxa"/>
            <w:gridSpan w:val="2"/>
            <w:tcBorders>
              <w:top w:val="nil"/>
              <w:left w:val="nil"/>
              <w:bottom w:val="nil"/>
              <w:right w:val="nil"/>
            </w:tcBorders>
            <w:noWrap/>
            <w:vAlign w:val="center"/>
            <w:hideMark/>
          </w:tcPr>
          <w:p w14:paraId="713B7EA5" w14:textId="77777777" w:rsidR="003A1FA1" w:rsidRPr="00D80FBD" w:rsidRDefault="003A1FA1" w:rsidP="003A1FA1">
            <w:pPr>
              <w:rPr>
                <w:rFonts w:ascii="Arial" w:hAnsi="Arial" w:cs="Arial"/>
                <w:color w:val="000000"/>
                <w:sz w:val="20"/>
                <w:szCs w:val="20"/>
              </w:rPr>
            </w:pPr>
            <w:r w:rsidRPr="00D80FBD">
              <w:rPr>
                <w:rFonts w:ascii="Arial" w:hAnsi="Arial" w:cs="Arial"/>
                <w:color w:val="000000" w:themeColor="text1"/>
                <w:sz w:val="20"/>
                <w:szCs w:val="20"/>
              </w:rPr>
              <w:t>Closing balance</w:t>
            </w:r>
          </w:p>
        </w:tc>
        <w:tc>
          <w:tcPr>
            <w:tcW w:w="1538" w:type="dxa"/>
            <w:tcBorders>
              <w:top w:val="nil"/>
              <w:left w:val="nil"/>
              <w:bottom w:val="single" w:sz="8" w:space="0" w:color="auto"/>
              <w:right w:val="nil"/>
            </w:tcBorders>
            <w:noWrap/>
            <w:vAlign w:val="center"/>
            <w:hideMark/>
          </w:tcPr>
          <w:p w14:paraId="12766CE4"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275,313</w:t>
            </w:r>
          </w:p>
        </w:tc>
        <w:tc>
          <w:tcPr>
            <w:tcW w:w="1740" w:type="dxa"/>
            <w:gridSpan w:val="3"/>
            <w:tcBorders>
              <w:top w:val="nil"/>
              <w:left w:val="nil"/>
              <w:bottom w:val="single" w:sz="8" w:space="0" w:color="auto"/>
              <w:right w:val="nil"/>
            </w:tcBorders>
            <w:noWrap/>
            <w:vAlign w:val="center"/>
            <w:hideMark/>
          </w:tcPr>
          <w:p w14:paraId="643C1E7F"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275,313</w:t>
            </w:r>
          </w:p>
        </w:tc>
        <w:tc>
          <w:tcPr>
            <w:tcW w:w="1570" w:type="dxa"/>
            <w:gridSpan w:val="2"/>
            <w:tcBorders>
              <w:top w:val="nil"/>
              <w:left w:val="nil"/>
              <w:bottom w:val="single" w:sz="8" w:space="0" w:color="auto"/>
              <w:right w:val="nil"/>
            </w:tcBorders>
            <w:noWrap/>
            <w:vAlign w:val="center"/>
            <w:hideMark/>
          </w:tcPr>
          <w:p w14:paraId="716AECC3"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275,313</w:t>
            </w:r>
          </w:p>
        </w:tc>
        <w:tc>
          <w:tcPr>
            <w:tcW w:w="1367" w:type="dxa"/>
            <w:tcBorders>
              <w:top w:val="nil"/>
              <w:left w:val="nil"/>
              <w:bottom w:val="single" w:sz="8" w:space="0" w:color="auto"/>
              <w:right w:val="nil"/>
            </w:tcBorders>
            <w:noWrap/>
            <w:vAlign w:val="center"/>
            <w:hideMark/>
          </w:tcPr>
          <w:p w14:paraId="2E09F3FF"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275,313</w:t>
            </w:r>
          </w:p>
        </w:tc>
        <w:tc>
          <w:tcPr>
            <w:tcW w:w="1315" w:type="dxa"/>
            <w:gridSpan w:val="3"/>
            <w:tcBorders>
              <w:top w:val="nil"/>
              <w:left w:val="nil"/>
              <w:bottom w:val="single" w:sz="8" w:space="0" w:color="auto"/>
              <w:right w:val="nil"/>
            </w:tcBorders>
            <w:noWrap/>
            <w:vAlign w:val="center"/>
            <w:hideMark/>
          </w:tcPr>
          <w:p w14:paraId="4EE23A8E"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275,313</w:t>
            </w:r>
          </w:p>
        </w:tc>
      </w:tr>
      <w:tr w:rsidR="00CA78ED" w:rsidRPr="007E659C" w14:paraId="1B85C582" w14:textId="77777777" w:rsidTr="1079040B">
        <w:trPr>
          <w:trHeight w:val="230"/>
        </w:trPr>
        <w:tc>
          <w:tcPr>
            <w:tcW w:w="3544" w:type="dxa"/>
            <w:gridSpan w:val="2"/>
            <w:tcBorders>
              <w:top w:val="nil"/>
              <w:left w:val="nil"/>
              <w:bottom w:val="nil"/>
              <w:right w:val="nil"/>
            </w:tcBorders>
            <w:noWrap/>
            <w:vAlign w:val="center"/>
            <w:hideMark/>
          </w:tcPr>
          <w:p w14:paraId="0D6D52B8" w14:textId="77777777" w:rsidR="003A1FA1" w:rsidRPr="00D80FBD" w:rsidRDefault="003A1FA1" w:rsidP="003A1FA1">
            <w:pPr>
              <w:jc w:val="right"/>
              <w:rPr>
                <w:rFonts w:ascii="Arial" w:hAnsi="Arial" w:cs="Arial"/>
                <w:color w:val="000000"/>
                <w:sz w:val="20"/>
                <w:szCs w:val="20"/>
              </w:rPr>
            </w:pPr>
          </w:p>
        </w:tc>
        <w:tc>
          <w:tcPr>
            <w:tcW w:w="1538" w:type="dxa"/>
            <w:tcBorders>
              <w:top w:val="nil"/>
              <w:left w:val="nil"/>
              <w:bottom w:val="nil"/>
              <w:right w:val="nil"/>
            </w:tcBorders>
            <w:noWrap/>
            <w:vAlign w:val="center"/>
            <w:hideMark/>
          </w:tcPr>
          <w:p w14:paraId="360B12DE" w14:textId="77777777" w:rsidR="003A1FA1" w:rsidRPr="00D80FBD" w:rsidRDefault="003A1FA1" w:rsidP="00423E03">
            <w:pPr>
              <w:jc w:val="right"/>
              <w:rPr>
                <w:sz w:val="20"/>
                <w:szCs w:val="20"/>
              </w:rPr>
            </w:pPr>
          </w:p>
        </w:tc>
        <w:tc>
          <w:tcPr>
            <w:tcW w:w="1740" w:type="dxa"/>
            <w:gridSpan w:val="3"/>
            <w:tcBorders>
              <w:top w:val="nil"/>
              <w:left w:val="nil"/>
              <w:bottom w:val="nil"/>
              <w:right w:val="nil"/>
            </w:tcBorders>
            <w:noWrap/>
            <w:vAlign w:val="center"/>
            <w:hideMark/>
          </w:tcPr>
          <w:p w14:paraId="61DFA710" w14:textId="77777777" w:rsidR="003A1FA1" w:rsidRPr="00D80FBD" w:rsidRDefault="003A1FA1" w:rsidP="003A1FA1">
            <w:pPr>
              <w:jc w:val="right"/>
              <w:rPr>
                <w:sz w:val="20"/>
                <w:szCs w:val="20"/>
              </w:rPr>
            </w:pPr>
          </w:p>
        </w:tc>
        <w:tc>
          <w:tcPr>
            <w:tcW w:w="1570" w:type="dxa"/>
            <w:gridSpan w:val="2"/>
            <w:tcBorders>
              <w:top w:val="nil"/>
              <w:left w:val="nil"/>
              <w:bottom w:val="nil"/>
              <w:right w:val="nil"/>
            </w:tcBorders>
            <w:noWrap/>
            <w:vAlign w:val="center"/>
            <w:hideMark/>
          </w:tcPr>
          <w:p w14:paraId="5C18F78A" w14:textId="77777777" w:rsidR="003A1FA1" w:rsidRPr="00D80FBD" w:rsidRDefault="003A1FA1" w:rsidP="003A1FA1">
            <w:pPr>
              <w:jc w:val="right"/>
              <w:rPr>
                <w:sz w:val="20"/>
                <w:szCs w:val="20"/>
              </w:rPr>
            </w:pPr>
          </w:p>
        </w:tc>
        <w:tc>
          <w:tcPr>
            <w:tcW w:w="1367" w:type="dxa"/>
            <w:tcBorders>
              <w:top w:val="nil"/>
              <w:left w:val="nil"/>
              <w:bottom w:val="nil"/>
              <w:right w:val="nil"/>
            </w:tcBorders>
            <w:noWrap/>
            <w:vAlign w:val="center"/>
            <w:hideMark/>
          </w:tcPr>
          <w:p w14:paraId="44DD4419" w14:textId="77777777" w:rsidR="003A1FA1" w:rsidRPr="00D80FBD" w:rsidRDefault="003A1FA1" w:rsidP="003A1FA1">
            <w:pPr>
              <w:jc w:val="right"/>
              <w:rPr>
                <w:sz w:val="20"/>
                <w:szCs w:val="20"/>
              </w:rPr>
            </w:pPr>
          </w:p>
        </w:tc>
        <w:tc>
          <w:tcPr>
            <w:tcW w:w="1315" w:type="dxa"/>
            <w:gridSpan w:val="3"/>
            <w:tcBorders>
              <w:top w:val="nil"/>
              <w:left w:val="nil"/>
              <w:bottom w:val="nil"/>
              <w:right w:val="nil"/>
            </w:tcBorders>
            <w:noWrap/>
            <w:vAlign w:val="center"/>
            <w:hideMark/>
          </w:tcPr>
          <w:p w14:paraId="778A3A30" w14:textId="77777777" w:rsidR="003A1FA1" w:rsidRPr="00D80FBD" w:rsidRDefault="003A1FA1" w:rsidP="003A1FA1">
            <w:pPr>
              <w:jc w:val="right"/>
              <w:rPr>
                <w:sz w:val="20"/>
                <w:szCs w:val="20"/>
              </w:rPr>
            </w:pPr>
          </w:p>
        </w:tc>
      </w:tr>
      <w:tr w:rsidR="00CA78ED" w:rsidRPr="007E659C" w14:paraId="0BC23302" w14:textId="77777777" w:rsidTr="1079040B">
        <w:trPr>
          <w:trHeight w:val="230"/>
        </w:trPr>
        <w:tc>
          <w:tcPr>
            <w:tcW w:w="3544" w:type="dxa"/>
            <w:gridSpan w:val="2"/>
            <w:tcBorders>
              <w:top w:val="nil"/>
              <w:left w:val="nil"/>
              <w:bottom w:val="nil"/>
              <w:right w:val="nil"/>
            </w:tcBorders>
            <w:noWrap/>
            <w:vAlign w:val="center"/>
            <w:hideMark/>
          </w:tcPr>
          <w:p w14:paraId="75F6C984" w14:textId="77777777" w:rsidR="003A1FA1" w:rsidRPr="00D80FBD" w:rsidRDefault="003A1FA1" w:rsidP="003A1FA1">
            <w:pPr>
              <w:rPr>
                <w:rFonts w:ascii="Arial" w:hAnsi="Arial" w:cs="Arial"/>
                <w:b/>
                <w:i/>
                <w:color w:val="000000"/>
                <w:sz w:val="20"/>
                <w:szCs w:val="20"/>
              </w:rPr>
            </w:pPr>
            <w:r w:rsidRPr="00D80FBD">
              <w:rPr>
                <w:rFonts w:ascii="Arial" w:hAnsi="Arial" w:cs="Arial"/>
                <w:b/>
                <w:i/>
                <w:color w:val="000000" w:themeColor="text1"/>
                <w:sz w:val="20"/>
                <w:szCs w:val="20"/>
              </w:rPr>
              <w:t>Borrowing</w:t>
            </w:r>
          </w:p>
        </w:tc>
        <w:tc>
          <w:tcPr>
            <w:tcW w:w="1538" w:type="dxa"/>
            <w:tcBorders>
              <w:top w:val="nil"/>
              <w:left w:val="nil"/>
              <w:bottom w:val="nil"/>
              <w:right w:val="nil"/>
            </w:tcBorders>
            <w:noWrap/>
            <w:vAlign w:val="center"/>
            <w:hideMark/>
          </w:tcPr>
          <w:p w14:paraId="179DBD20" w14:textId="77777777" w:rsidR="003A1FA1" w:rsidRPr="00D80FBD" w:rsidRDefault="003A1FA1" w:rsidP="00423E03">
            <w:pPr>
              <w:jc w:val="right"/>
              <w:rPr>
                <w:rFonts w:ascii="Arial" w:hAnsi="Arial" w:cs="Arial"/>
                <w:b/>
                <w:i/>
                <w:color w:val="000000"/>
                <w:sz w:val="20"/>
                <w:szCs w:val="20"/>
              </w:rPr>
            </w:pPr>
          </w:p>
        </w:tc>
        <w:tc>
          <w:tcPr>
            <w:tcW w:w="1740" w:type="dxa"/>
            <w:gridSpan w:val="3"/>
            <w:tcBorders>
              <w:top w:val="nil"/>
              <w:left w:val="nil"/>
              <w:bottom w:val="nil"/>
              <w:right w:val="nil"/>
            </w:tcBorders>
            <w:noWrap/>
            <w:vAlign w:val="center"/>
            <w:hideMark/>
          </w:tcPr>
          <w:p w14:paraId="196D24F5" w14:textId="77777777" w:rsidR="003A1FA1" w:rsidRPr="00D80FBD" w:rsidRDefault="003A1FA1" w:rsidP="003A1FA1">
            <w:pPr>
              <w:jc w:val="right"/>
              <w:rPr>
                <w:sz w:val="20"/>
                <w:szCs w:val="20"/>
              </w:rPr>
            </w:pPr>
          </w:p>
        </w:tc>
        <w:tc>
          <w:tcPr>
            <w:tcW w:w="1570" w:type="dxa"/>
            <w:gridSpan w:val="2"/>
            <w:tcBorders>
              <w:top w:val="nil"/>
              <w:left w:val="nil"/>
              <w:bottom w:val="nil"/>
              <w:right w:val="nil"/>
            </w:tcBorders>
            <w:noWrap/>
            <w:vAlign w:val="center"/>
            <w:hideMark/>
          </w:tcPr>
          <w:p w14:paraId="0B2F848D" w14:textId="77777777" w:rsidR="003A1FA1" w:rsidRPr="00D80FBD" w:rsidRDefault="003A1FA1" w:rsidP="003A1FA1">
            <w:pPr>
              <w:jc w:val="right"/>
              <w:rPr>
                <w:sz w:val="20"/>
                <w:szCs w:val="20"/>
              </w:rPr>
            </w:pPr>
          </w:p>
        </w:tc>
        <w:tc>
          <w:tcPr>
            <w:tcW w:w="1367" w:type="dxa"/>
            <w:tcBorders>
              <w:top w:val="nil"/>
              <w:left w:val="nil"/>
              <w:bottom w:val="nil"/>
              <w:right w:val="nil"/>
            </w:tcBorders>
            <w:noWrap/>
            <w:vAlign w:val="center"/>
            <w:hideMark/>
          </w:tcPr>
          <w:p w14:paraId="38FCDBE1" w14:textId="77777777" w:rsidR="003A1FA1" w:rsidRPr="00D80FBD" w:rsidRDefault="003A1FA1" w:rsidP="003A1FA1">
            <w:pPr>
              <w:jc w:val="right"/>
              <w:rPr>
                <w:sz w:val="20"/>
                <w:szCs w:val="20"/>
              </w:rPr>
            </w:pPr>
          </w:p>
        </w:tc>
        <w:tc>
          <w:tcPr>
            <w:tcW w:w="1315" w:type="dxa"/>
            <w:gridSpan w:val="3"/>
            <w:tcBorders>
              <w:top w:val="nil"/>
              <w:left w:val="nil"/>
              <w:bottom w:val="nil"/>
              <w:right w:val="nil"/>
            </w:tcBorders>
            <w:noWrap/>
            <w:vAlign w:val="center"/>
            <w:hideMark/>
          </w:tcPr>
          <w:p w14:paraId="578C2B97" w14:textId="77777777" w:rsidR="003A1FA1" w:rsidRPr="00D80FBD" w:rsidRDefault="003A1FA1" w:rsidP="003A1FA1">
            <w:pPr>
              <w:jc w:val="right"/>
              <w:rPr>
                <w:sz w:val="20"/>
                <w:szCs w:val="20"/>
              </w:rPr>
            </w:pPr>
          </w:p>
        </w:tc>
      </w:tr>
      <w:tr w:rsidR="00CA78ED" w:rsidRPr="007E659C" w14:paraId="6E653F84" w14:textId="77777777" w:rsidTr="1079040B">
        <w:trPr>
          <w:trHeight w:val="230"/>
        </w:trPr>
        <w:tc>
          <w:tcPr>
            <w:tcW w:w="3544" w:type="dxa"/>
            <w:gridSpan w:val="2"/>
            <w:tcBorders>
              <w:top w:val="nil"/>
              <w:left w:val="nil"/>
              <w:bottom w:val="nil"/>
              <w:right w:val="nil"/>
            </w:tcBorders>
            <w:noWrap/>
            <w:vAlign w:val="center"/>
            <w:hideMark/>
          </w:tcPr>
          <w:p w14:paraId="342B8C4C" w14:textId="77777777" w:rsidR="003A1FA1" w:rsidRPr="00D80FBD" w:rsidRDefault="003A1FA1" w:rsidP="003A1FA1">
            <w:pPr>
              <w:rPr>
                <w:rFonts w:ascii="Arial" w:hAnsi="Arial" w:cs="Arial"/>
                <w:color w:val="000000"/>
                <w:sz w:val="20"/>
                <w:szCs w:val="20"/>
              </w:rPr>
            </w:pPr>
            <w:r w:rsidRPr="00D80FBD">
              <w:rPr>
                <w:rFonts w:ascii="Arial" w:hAnsi="Arial" w:cs="Arial"/>
                <w:color w:val="000000" w:themeColor="text1"/>
                <w:sz w:val="20"/>
                <w:szCs w:val="20"/>
              </w:rPr>
              <w:t>Opening balance</w:t>
            </w:r>
          </w:p>
        </w:tc>
        <w:tc>
          <w:tcPr>
            <w:tcW w:w="1538" w:type="dxa"/>
            <w:tcBorders>
              <w:top w:val="nil"/>
              <w:left w:val="nil"/>
              <w:bottom w:val="nil"/>
              <w:right w:val="nil"/>
            </w:tcBorders>
            <w:noWrap/>
            <w:vAlign w:val="center"/>
            <w:hideMark/>
          </w:tcPr>
          <w:p w14:paraId="05B21EC6"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740" w:type="dxa"/>
            <w:gridSpan w:val="3"/>
            <w:tcBorders>
              <w:top w:val="nil"/>
              <w:left w:val="nil"/>
              <w:bottom w:val="nil"/>
              <w:right w:val="nil"/>
            </w:tcBorders>
            <w:noWrap/>
            <w:vAlign w:val="center"/>
            <w:hideMark/>
          </w:tcPr>
          <w:p w14:paraId="1D533945"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570" w:type="dxa"/>
            <w:gridSpan w:val="2"/>
            <w:tcBorders>
              <w:top w:val="nil"/>
              <w:left w:val="nil"/>
              <w:bottom w:val="nil"/>
              <w:right w:val="nil"/>
            </w:tcBorders>
            <w:noWrap/>
            <w:vAlign w:val="center"/>
            <w:hideMark/>
          </w:tcPr>
          <w:p w14:paraId="1CC8CD68"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367" w:type="dxa"/>
            <w:tcBorders>
              <w:top w:val="nil"/>
              <w:left w:val="nil"/>
              <w:bottom w:val="nil"/>
              <w:right w:val="nil"/>
            </w:tcBorders>
            <w:noWrap/>
            <w:vAlign w:val="center"/>
            <w:hideMark/>
          </w:tcPr>
          <w:p w14:paraId="5E7CD13E"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315" w:type="dxa"/>
            <w:gridSpan w:val="3"/>
            <w:tcBorders>
              <w:top w:val="nil"/>
              <w:left w:val="nil"/>
              <w:bottom w:val="nil"/>
              <w:right w:val="nil"/>
            </w:tcBorders>
            <w:noWrap/>
            <w:vAlign w:val="center"/>
            <w:hideMark/>
          </w:tcPr>
          <w:p w14:paraId="757415C8"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0</w:t>
            </w:r>
          </w:p>
        </w:tc>
      </w:tr>
      <w:tr w:rsidR="00CA78ED" w:rsidRPr="007E659C" w14:paraId="2EF1C1E0" w14:textId="77777777" w:rsidTr="1079040B">
        <w:trPr>
          <w:trHeight w:val="230"/>
        </w:trPr>
        <w:tc>
          <w:tcPr>
            <w:tcW w:w="3544" w:type="dxa"/>
            <w:gridSpan w:val="2"/>
            <w:tcBorders>
              <w:top w:val="nil"/>
              <w:left w:val="nil"/>
              <w:bottom w:val="nil"/>
              <w:right w:val="nil"/>
            </w:tcBorders>
            <w:noWrap/>
            <w:vAlign w:val="center"/>
            <w:hideMark/>
          </w:tcPr>
          <w:p w14:paraId="3D429641" w14:textId="77777777" w:rsidR="00B923AD" w:rsidRPr="00D80FBD" w:rsidRDefault="00B923AD" w:rsidP="00B923AD">
            <w:pPr>
              <w:rPr>
                <w:rFonts w:ascii="Arial" w:hAnsi="Arial" w:cs="Arial"/>
                <w:color w:val="000000"/>
                <w:sz w:val="20"/>
                <w:szCs w:val="20"/>
              </w:rPr>
            </w:pPr>
            <w:r w:rsidRPr="00D80FBD">
              <w:rPr>
                <w:rFonts w:ascii="Arial" w:hAnsi="Arial" w:cs="Arial"/>
                <w:color w:val="000000" w:themeColor="text1"/>
                <w:sz w:val="20"/>
                <w:szCs w:val="20"/>
              </w:rPr>
              <w:t>Borrowing taken in year</w:t>
            </w:r>
          </w:p>
        </w:tc>
        <w:tc>
          <w:tcPr>
            <w:tcW w:w="1538" w:type="dxa"/>
            <w:tcBorders>
              <w:top w:val="nil"/>
              <w:left w:val="nil"/>
              <w:bottom w:val="nil"/>
              <w:right w:val="nil"/>
            </w:tcBorders>
            <w:noWrap/>
            <w:vAlign w:val="bottom"/>
            <w:hideMark/>
          </w:tcPr>
          <w:p w14:paraId="3E8AFED3" w14:textId="4FFA493D" w:rsidR="00B923AD" w:rsidRPr="00D80FBD" w:rsidRDefault="00B923AD" w:rsidP="00B923AD">
            <w:pPr>
              <w:jc w:val="right"/>
              <w:rPr>
                <w:rFonts w:ascii="Arial" w:hAnsi="Arial" w:cs="Arial"/>
                <w:color w:val="000000"/>
                <w:sz w:val="20"/>
                <w:szCs w:val="20"/>
              </w:rPr>
            </w:pPr>
            <w:r w:rsidRPr="00D80FBD">
              <w:rPr>
                <w:rFonts w:ascii="Arial" w:hAnsi="Arial" w:cs="Arial"/>
                <w:color w:val="000000" w:themeColor="text1"/>
                <w:sz w:val="20"/>
                <w:szCs w:val="20"/>
              </w:rPr>
              <w:t xml:space="preserve">1,564,589 </w:t>
            </w:r>
          </w:p>
        </w:tc>
        <w:tc>
          <w:tcPr>
            <w:tcW w:w="1740" w:type="dxa"/>
            <w:gridSpan w:val="3"/>
            <w:tcBorders>
              <w:top w:val="nil"/>
              <w:left w:val="nil"/>
              <w:bottom w:val="nil"/>
              <w:right w:val="nil"/>
            </w:tcBorders>
            <w:noWrap/>
            <w:vAlign w:val="bottom"/>
            <w:hideMark/>
          </w:tcPr>
          <w:p w14:paraId="755EBBDE" w14:textId="418AD8A3" w:rsidR="00B923AD" w:rsidRPr="00D80FBD" w:rsidRDefault="00B923AD" w:rsidP="00B923AD">
            <w:pPr>
              <w:jc w:val="right"/>
              <w:rPr>
                <w:rFonts w:ascii="Arial" w:hAnsi="Arial" w:cs="Arial"/>
                <w:color w:val="000000"/>
                <w:sz w:val="20"/>
                <w:szCs w:val="20"/>
              </w:rPr>
            </w:pPr>
            <w:r w:rsidRPr="00D80FBD">
              <w:rPr>
                <w:rFonts w:ascii="Arial" w:hAnsi="Arial" w:cs="Arial"/>
                <w:color w:val="000000" w:themeColor="text1"/>
                <w:sz w:val="20"/>
                <w:szCs w:val="20"/>
              </w:rPr>
              <w:t xml:space="preserve">2,752,927 </w:t>
            </w:r>
          </w:p>
        </w:tc>
        <w:tc>
          <w:tcPr>
            <w:tcW w:w="1570" w:type="dxa"/>
            <w:gridSpan w:val="2"/>
            <w:tcBorders>
              <w:top w:val="nil"/>
              <w:left w:val="nil"/>
              <w:bottom w:val="nil"/>
              <w:right w:val="nil"/>
            </w:tcBorders>
            <w:noWrap/>
            <w:vAlign w:val="bottom"/>
            <w:hideMark/>
          </w:tcPr>
          <w:p w14:paraId="4E5A1DF9" w14:textId="1DB6A3BF" w:rsidR="00B923AD" w:rsidRPr="00D80FBD" w:rsidRDefault="00B923AD" w:rsidP="00B923AD">
            <w:pPr>
              <w:jc w:val="right"/>
              <w:rPr>
                <w:rFonts w:ascii="Arial" w:hAnsi="Arial" w:cs="Arial"/>
                <w:color w:val="000000"/>
                <w:sz w:val="20"/>
                <w:szCs w:val="20"/>
              </w:rPr>
            </w:pPr>
            <w:r w:rsidRPr="00D80FBD">
              <w:rPr>
                <w:rFonts w:ascii="Arial" w:hAnsi="Arial" w:cs="Arial"/>
                <w:color w:val="000000" w:themeColor="text1"/>
                <w:sz w:val="20"/>
                <w:szCs w:val="20"/>
              </w:rPr>
              <w:t xml:space="preserve">395,985 </w:t>
            </w:r>
          </w:p>
        </w:tc>
        <w:tc>
          <w:tcPr>
            <w:tcW w:w="1367" w:type="dxa"/>
            <w:tcBorders>
              <w:top w:val="nil"/>
              <w:left w:val="nil"/>
              <w:bottom w:val="nil"/>
              <w:right w:val="nil"/>
            </w:tcBorders>
            <w:noWrap/>
            <w:vAlign w:val="bottom"/>
            <w:hideMark/>
          </w:tcPr>
          <w:p w14:paraId="723CA9B4" w14:textId="6489A467" w:rsidR="00B923AD" w:rsidRPr="00D80FBD" w:rsidRDefault="00B923AD" w:rsidP="00B923AD">
            <w:pPr>
              <w:jc w:val="right"/>
              <w:rPr>
                <w:rFonts w:ascii="Arial" w:hAnsi="Arial" w:cs="Arial"/>
                <w:color w:val="000000"/>
                <w:sz w:val="20"/>
                <w:szCs w:val="20"/>
              </w:rPr>
            </w:pPr>
            <w:r w:rsidRPr="00D80FBD">
              <w:rPr>
                <w:rFonts w:ascii="Arial" w:hAnsi="Arial" w:cs="Arial"/>
                <w:color w:val="000000" w:themeColor="text1"/>
                <w:sz w:val="20"/>
                <w:szCs w:val="20"/>
              </w:rPr>
              <w:t xml:space="preserve">622,383 </w:t>
            </w:r>
          </w:p>
        </w:tc>
        <w:tc>
          <w:tcPr>
            <w:tcW w:w="1315" w:type="dxa"/>
            <w:gridSpan w:val="3"/>
            <w:tcBorders>
              <w:top w:val="nil"/>
              <w:left w:val="nil"/>
              <w:bottom w:val="nil"/>
              <w:right w:val="nil"/>
            </w:tcBorders>
            <w:noWrap/>
            <w:vAlign w:val="bottom"/>
          </w:tcPr>
          <w:p w14:paraId="1C474CD6" w14:textId="1C73ED8A" w:rsidR="00B923AD" w:rsidRPr="00D80FBD" w:rsidRDefault="00B923AD" w:rsidP="00B923AD">
            <w:pPr>
              <w:jc w:val="right"/>
              <w:rPr>
                <w:rFonts w:ascii="Arial" w:hAnsi="Arial" w:cs="Arial"/>
                <w:color w:val="000000"/>
                <w:sz w:val="20"/>
                <w:szCs w:val="20"/>
              </w:rPr>
            </w:pPr>
            <w:r w:rsidRPr="00D80FBD">
              <w:rPr>
                <w:rFonts w:ascii="Arial" w:hAnsi="Arial" w:cs="Arial"/>
                <w:color w:val="000000" w:themeColor="text1"/>
                <w:sz w:val="20"/>
                <w:szCs w:val="20"/>
              </w:rPr>
              <w:t>0</w:t>
            </w:r>
          </w:p>
        </w:tc>
      </w:tr>
      <w:tr w:rsidR="00CA78ED" w:rsidRPr="007E659C" w14:paraId="1A40EB86" w14:textId="77777777" w:rsidTr="1079040B">
        <w:trPr>
          <w:trHeight w:val="239"/>
        </w:trPr>
        <w:tc>
          <w:tcPr>
            <w:tcW w:w="3544" w:type="dxa"/>
            <w:gridSpan w:val="2"/>
            <w:tcBorders>
              <w:top w:val="nil"/>
              <w:left w:val="nil"/>
              <w:bottom w:val="nil"/>
              <w:right w:val="nil"/>
            </w:tcBorders>
            <w:noWrap/>
            <w:vAlign w:val="center"/>
            <w:hideMark/>
          </w:tcPr>
          <w:p w14:paraId="0BA76873" w14:textId="77777777" w:rsidR="00B923AD" w:rsidRPr="00D80FBD" w:rsidRDefault="00B923AD" w:rsidP="00B923AD">
            <w:pPr>
              <w:rPr>
                <w:rFonts w:ascii="Arial" w:hAnsi="Arial" w:cs="Arial"/>
                <w:color w:val="000000"/>
                <w:sz w:val="20"/>
                <w:szCs w:val="20"/>
              </w:rPr>
            </w:pPr>
            <w:r w:rsidRPr="00D80FBD">
              <w:rPr>
                <w:rFonts w:ascii="Arial" w:hAnsi="Arial" w:cs="Arial"/>
                <w:color w:val="000000" w:themeColor="text1"/>
                <w:sz w:val="20"/>
                <w:szCs w:val="20"/>
              </w:rPr>
              <w:t>Used in financing</w:t>
            </w:r>
          </w:p>
        </w:tc>
        <w:tc>
          <w:tcPr>
            <w:tcW w:w="1538" w:type="dxa"/>
            <w:tcBorders>
              <w:top w:val="nil"/>
              <w:left w:val="nil"/>
              <w:bottom w:val="single" w:sz="8" w:space="0" w:color="auto"/>
              <w:right w:val="nil"/>
            </w:tcBorders>
            <w:noWrap/>
            <w:vAlign w:val="bottom"/>
            <w:hideMark/>
          </w:tcPr>
          <w:p w14:paraId="305EAE7D" w14:textId="12B7C5E0" w:rsidR="00B923AD" w:rsidRPr="00D80FBD" w:rsidRDefault="00B923AD" w:rsidP="00B923AD">
            <w:pPr>
              <w:jc w:val="right"/>
              <w:rPr>
                <w:rFonts w:ascii="Arial" w:hAnsi="Arial" w:cs="Arial"/>
                <w:color w:val="000000"/>
                <w:sz w:val="20"/>
                <w:szCs w:val="20"/>
              </w:rPr>
            </w:pPr>
            <w:r w:rsidRPr="00D80FBD">
              <w:rPr>
                <w:rFonts w:ascii="Arial" w:hAnsi="Arial" w:cs="Arial"/>
                <w:color w:val="000000" w:themeColor="text1"/>
                <w:sz w:val="20"/>
                <w:szCs w:val="20"/>
              </w:rPr>
              <w:t>(1,564,589)</w:t>
            </w:r>
          </w:p>
        </w:tc>
        <w:tc>
          <w:tcPr>
            <w:tcW w:w="1740" w:type="dxa"/>
            <w:gridSpan w:val="3"/>
            <w:tcBorders>
              <w:top w:val="nil"/>
              <w:left w:val="nil"/>
              <w:bottom w:val="single" w:sz="8" w:space="0" w:color="auto"/>
              <w:right w:val="nil"/>
            </w:tcBorders>
            <w:noWrap/>
            <w:vAlign w:val="bottom"/>
            <w:hideMark/>
          </w:tcPr>
          <w:p w14:paraId="3B58B96B" w14:textId="36865310" w:rsidR="00B923AD" w:rsidRPr="00D80FBD" w:rsidRDefault="00B923AD" w:rsidP="00B923AD">
            <w:pPr>
              <w:jc w:val="right"/>
              <w:rPr>
                <w:rFonts w:ascii="Arial" w:hAnsi="Arial" w:cs="Arial"/>
                <w:color w:val="000000"/>
                <w:sz w:val="20"/>
                <w:szCs w:val="20"/>
              </w:rPr>
            </w:pPr>
            <w:r w:rsidRPr="00D80FBD">
              <w:rPr>
                <w:rFonts w:ascii="Arial" w:hAnsi="Arial" w:cs="Arial"/>
                <w:color w:val="000000" w:themeColor="text1"/>
                <w:sz w:val="20"/>
                <w:szCs w:val="20"/>
              </w:rPr>
              <w:t>(2,752,927)</w:t>
            </w:r>
          </w:p>
        </w:tc>
        <w:tc>
          <w:tcPr>
            <w:tcW w:w="1570" w:type="dxa"/>
            <w:gridSpan w:val="2"/>
            <w:tcBorders>
              <w:top w:val="nil"/>
              <w:left w:val="nil"/>
              <w:bottom w:val="single" w:sz="8" w:space="0" w:color="auto"/>
              <w:right w:val="nil"/>
            </w:tcBorders>
            <w:noWrap/>
            <w:vAlign w:val="bottom"/>
            <w:hideMark/>
          </w:tcPr>
          <w:p w14:paraId="55CE06B3" w14:textId="17836BFA" w:rsidR="00B923AD" w:rsidRPr="00D80FBD" w:rsidRDefault="00B923AD" w:rsidP="00B923AD">
            <w:pPr>
              <w:jc w:val="right"/>
              <w:rPr>
                <w:rFonts w:ascii="Arial" w:hAnsi="Arial" w:cs="Arial"/>
                <w:color w:val="000000"/>
                <w:sz w:val="20"/>
                <w:szCs w:val="20"/>
              </w:rPr>
            </w:pPr>
            <w:r w:rsidRPr="00D80FBD">
              <w:rPr>
                <w:rFonts w:ascii="Arial" w:hAnsi="Arial" w:cs="Arial"/>
                <w:color w:val="000000" w:themeColor="text1"/>
                <w:sz w:val="20"/>
                <w:szCs w:val="20"/>
              </w:rPr>
              <w:t>(395,985)</w:t>
            </w:r>
          </w:p>
        </w:tc>
        <w:tc>
          <w:tcPr>
            <w:tcW w:w="1367" w:type="dxa"/>
            <w:tcBorders>
              <w:top w:val="nil"/>
              <w:left w:val="nil"/>
              <w:bottom w:val="single" w:sz="8" w:space="0" w:color="auto"/>
              <w:right w:val="nil"/>
            </w:tcBorders>
            <w:noWrap/>
            <w:vAlign w:val="bottom"/>
            <w:hideMark/>
          </w:tcPr>
          <w:p w14:paraId="5BE3F025" w14:textId="412889DB" w:rsidR="00B923AD" w:rsidRPr="00D80FBD" w:rsidRDefault="00B923AD" w:rsidP="00B923AD">
            <w:pPr>
              <w:jc w:val="right"/>
              <w:rPr>
                <w:rFonts w:ascii="Arial" w:hAnsi="Arial" w:cs="Arial"/>
                <w:color w:val="000000"/>
                <w:sz w:val="20"/>
                <w:szCs w:val="20"/>
              </w:rPr>
            </w:pPr>
            <w:r w:rsidRPr="00D80FBD">
              <w:rPr>
                <w:rFonts w:ascii="Arial" w:hAnsi="Arial" w:cs="Arial"/>
                <w:color w:val="000000" w:themeColor="text1"/>
                <w:sz w:val="20"/>
                <w:szCs w:val="20"/>
              </w:rPr>
              <w:t>(622,383)</w:t>
            </w:r>
          </w:p>
        </w:tc>
        <w:tc>
          <w:tcPr>
            <w:tcW w:w="1315" w:type="dxa"/>
            <w:gridSpan w:val="3"/>
            <w:tcBorders>
              <w:top w:val="nil"/>
              <w:left w:val="nil"/>
              <w:bottom w:val="single" w:sz="8" w:space="0" w:color="auto"/>
              <w:right w:val="nil"/>
            </w:tcBorders>
            <w:noWrap/>
            <w:vAlign w:val="bottom"/>
          </w:tcPr>
          <w:p w14:paraId="5280A397" w14:textId="266C8686" w:rsidR="00B923AD" w:rsidRPr="00D80FBD" w:rsidRDefault="00B923AD" w:rsidP="00B923AD">
            <w:pPr>
              <w:jc w:val="right"/>
              <w:rPr>
                <w:rFonts w:ascii="Arial" w:hAnsi="Arial" w:cs="Arial"/>
                <w:color w:val="000000"/>
                <w:sz w:val="20"/>
                <w:szCs w:val="20"/>
              </w:rPr>
            </w:pPr>
            <w:r w:rsidRPr="00D80FBD">
              <w:rPr>
                <w:rFonts w:ascii="Arial" w:hAnsi="Arial" w:cs="Arial"/>
                <w:color w:val="000000" w:themeColor="text1"/>
                <w:sz w:val="20"/>
                <w:szCs w:val="20"/>
              </w:rPr>
              <w:t>0</w:t>
            </w:r>
          </w:p>
        </w:tc>
      </w:tr>
      <w:tr w:rsidR="00CA78ED" w:rsidRPr="007E659C" w14:paraId="096C8F4E" w14:textId="77777777" w:rsidTr="1079040B">
        <w:trPr>
          <w:trHeight w:val="239"/>
        </w:trPr>
        <w:tc>
          <w:tcPr>
            <w:tcW w:w="3544" w:type="dxa"/>
            <w:gridSpan w:val="2"/>
            <w:tcBorders>
              <w:top w:val="nil"/>
              <w:left w:val="nil"/>
              <w:bottom w:val="nil"/>
              <w:right w:val="nil"/>
            </w:tcBorders>
            <w:noWrap/>
            <w:vAlign w:val="center"/>
            <w:hideMark/>
          </w:tcPr>
          <w:p w14:paraId="47983CBC" w14:textId="77777777" w:rsidR="003A1FA1" w:rsidRPr="00D80FBD" w:rsidRDefault="003A1FA1" w:rsidP="003A1FA1">
            <w:pPr>
              <w:rPr>
                <w:rFonts w:ascii="Arial" w:hAnsi="Arial" w:cs="Arial"/>
                <w:color w:val="000000"/>
                <w:sz w:val="20"/>
                <w:szCs w:val="20"/>
              </w:rPr>
            </w:pPr>
            <w:r w:rsidRPr="00D80FBD">
              <w:rPr>
                <w:rFonts w:ascii="Arial" w:hAnsi="Arial" w:cs="Arial"/>
                <w:color w:val="000000" w:themeColor="text1"/>
                <w:sz w:val="20"/>
                <w:szCs w:val="20"/>
              </w:rPr>
              <w:t>Closing balance</w:t>
            </w:r>
          </w:p>
        </w:tc>
        <w:tc>
          <w:tcPr>
            <w:tcW w:w="1538" w:type="dxa"/>
            <w:tcBorders>
              <w:top w:val="nil"/>
              <w:left w:val="nil"/>
              <w:bottom w:val="single" w:sz="8" w:space="0" w:color="auto"/>
              <w:right w:val="nil"/>
            </w:tcBorders>
            <w:noWrap/>
            <w:vAlign w:val="center"/>
            <w:hideMark/>
          </w:tcPr>
          <w:p w14:paraId="365ED5F5"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740" w:type="dxa"/>
            <w:gridSpan w:val="3"/>
            <w:tcBorders>
              <w:top w:val="nil"/>
              <w:left w:val="nil"/>
              <w:bottom w:val="single" w:sz="8" w:space="0" w:color="auto"/>
              <w:right w:val="nil"/>
            </w:tcBorders>
            <w:noWrap/>
            <w:vAlign w:val="center"/>
            <w:hideMark/>
          </w:tcPr>
          <w:p w14:paraId="6F42F3CA"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570" w:type="dxa"/>
            <w:gridSpan w:val="2"/>
            <w:tcBorders>
              <w:top w:val="nil"/>
              <w:left w:val="nil"/>
              <w:bottom w:val="single" w:sz="8" w:space="0" w:color="auto"/>
              <w:right w:val="nil"/>
            </w:tcBorders>
            <w:noWrap/>
            <w:vAlign w:val="center"/>
            <w:hideMark/>
          </w:tcPr>
          <w:p w14:paraId="768F79C6"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367" w:type="dxa"/>
            <w:tcBorders>
              <w:top w:val="nil"/>
              <w:left w:val="nil"/>
              <w:bottom w:val="single" w:sz="8" w:space="0" w:color="auto"/>
              <w:right w:val="nil"/>
            </w:tcBorders>
            <w:noWrap/>
            <w:vAlign w:val="center"/>
            <w:hideMark/>
          </w:tcPr>
          <w:p w14:paraId="793FA89F"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0</w:t>
            </w:r>
          </w:p>
        </w:tc>
        <w:tc>
          <w:tcPr>
            <w:tcW w:w="1315" w:type="dxa"/>
            <w:gridSpan w:val="3"/>
            <w:tcBorders>
              <w:top w:val="nil"/>
              <w:left w:val="nil"/>
              <w:bottom w:val="single" w:sz="8" w:space="0" w:color="auto"/>
              <w:right w:val="nil"/>
            </w:tcBorders>
            <w:noWrap/>
            <w:vAlign w:val="center"/>
            <w:hideMark/>
          </w:tcPr>
          <w:p w14:paraId="1A34DA2B"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0</w:t>
            </w:r>
          </w:p>
        </w:tc>
      </w:tr>
      <w:tr w:rsidR="00CA78ED" w:rsidRPr="007E659C" w14:paraId="01EFC666" w14:textId="77777777" w:rsidTr="1079040B">
        <w:trPr>
          <w:trHeight w:val="239"/>
        </w:trPr>
        <w:tc>
          <w:tcPr>
            <w:tcW w:w="3544" w:type="dxa"/>
            <w:gridSpan w:val="2"/>
            <w:tcBorders>
              <w:top w:val="nil"/>
              <w:left w:val="nil"/>
              <w:bottom w:val="nil"/>
              <w:right w:val="nil"/>
            </w:tcBorders>
            <w:noWrap/>
            <w:vAlign w:val="center"/>
            <w:hideMark/>
          </w:tcPr>
          <w:p w14:paraId="24C2649A" w14:textId="77777777" w:rsidR="003A1FA1" w:rsidRPr="00D80FBD" w:rsidRDefault="003A1FA1" w:rsidP="003A1FA1">
            <w:pPr>
              <w:jc w:val="right"/>
              <w:rPr>
                <w:rFonts w:ascii="Arial" w:hAnsi="Arial" w:cs="Arial"/>
                <w:color w:val="000000"/>
                <w:sz w:val="20"/>
                <w:szCs w:val="20"/>
              </w:rPr>
            </w:pPr>
          </w:p>
        </w:tc>
        <w:tc>
          <w:tcPr>
            <w:tcW w:w="1538" w:type="dxa"/>
            <w:tcBorders>
              <w:top w:val="nil"/>
              <w:left w:val="nil"/>
              <w:bottom w:val="nil"/>
              <w:right w:val="nil"/>
            </w:tcBorders>
            <w:noWrap/>
            <w:vAlign w:val="center"/>
            <w:hideMark/>
          </w:tcPr>
          <w:p w14:paraId="509A2370" w14:textId="77777777" w:rsidR="003A1FA1" w:rsidRPr="00D80FBD" w:rsidRDefault="003A1FA1" w:rsidP="00423E03">
            <w:pPr>
              <w:jc w:val="right"/>
              <w:rPr>
                <w:sz w:val="20"/>
                <w:szCs w:val="20"/>
              </w:rPr>
            </w:pPr>
          </w:p>
        </w:tc>
        <w:tc>
          <w:tcPr>
            <w:tcW w:w="1740" w:type="dxa"/>
            <w:gridSpan w:val="3"/>
            <w:tcBorders>
              <w:top w:val="nil"/>
              <w:left w:val="nil"/>
              <w:bottom w:val="nil"/>
              <w:right w:val="nil"/>
            </w:tcBorders>
            <w:noWrap/>
            <w:vAlign w:val="center"/>
            <w:hideMark/>
          </w:tcPr>
          <w:p w14:paraId="444E6212" w14:textId="77777777" w:rsidR="003A1FA1" w:rsidRPr="00D80FBD" w:rsidRDefault="003A1FA1" w:rsidP="003A1FA1">
            <w:pPr>
              <w:jc w:val="right"/>
              <w:rPr>
                <w:sz w:val="20"/>
                <w:szCs w:val="20"/>
              </w:rPr>
            </w:pPr>
          </w:p>
        </w:tc>
        <w:tc>
          <w:tcPr>
            <w:tcW w:w="1570" w:type="dxa"/>
            <w:gridSpan w:val="2"/>
            <w:tcBorders>
              <w:top w:val="nil"/>
              <w:left w:val="nil"/>
              <w:bottom w:val="nil"/>
              <w:right w:val="nil"/>
            </w:tcBorders>
            <w:noWrap/>
            <w:vAlign w:val="center"/>
            <w:hideMark/>
          </w:tcPr>
          <w:p w14:paraId="0E1512FA" w14:textId="77777777" w:rsidR="003A1FA1" w:rsidRPr="00D80FBD" w:rsidRDefault="003A1FA1" w:rsidP="003A1FA1">
            <w:pPr>
              <w:jc w:val="right"/>
              <w:rPr>
                <w:sz w:val="20"/>
                <w:szCs w:val="20"/>
              </w:rPr>
            </w:pPr>
          </w:p>
        </w:tc>
        <w:tc>
          <w:tcPr>
            <w:tcW w:w="1367" w:type="dxa"/>
            <w:tcBorders>
              <w:top w:val="nil"/>
              <w:left w:val="nil"/>
              <w:bottom w:val="nil"/>
              <w:right w:val="nil"/>
            </w:tcBorders>
            <w:noWrap/>
            <w:vAlign w:val="center"/>
            <w:hideMark/>
          </w:tcPr>
          <w:p w14:paraId="5985AA67" w14:textId="77777777" w:rsidR="003A1FA1" w:rsidRPr="00D80FBD" w:rsidRDefault="003A1FA1" w:rsidP="003A1FA1">
            <w:pPr>
              <w:jc w:val="right"/>
              <w:rPr>
                <w:sz w:val="20"/>
                <w:szCs w:val="20"/>
              </w:rPr>
            </w:pPr>
          </w:p>
        </w:tc>
        <w:tc>
          <w:tcPr>
            <w:tcW w:w="1315" w:type="dxa"/>
            <w:gridSpan w:val="3"/>
            <w:tcBorders>
              <w:top w:val="nil"/>
              <w:left w:val="nil"/>
              <w:bottom w:val="nil"/>
              <w:right w:val="nil"/>
            </w:tcBorders>
            <w:noWrap/>
            <w:vAlign w:val="center"/>
            <w:hideMark/>
          </w:tcPr>
          <w:p w14:paraId="77E72A59" w14:textId="77777777" w:rsidR="003A1FA1" w:rsidRPr="00D80FBD" w:rsidRDefault="003A1FA1" w:rsidP="003A1FA1">
            <w:pPr>
              <w:jc w:val="right"/>
              <w:rPr>
                <w:sz w:val="20"/>
                <w:szCs w:val="20"/>
              </w:rPr>
            </w:pPr>
          </w:p>
        </w:tc>
      </w:tr>
      <w:tr w:rsidR="00CA78ED" w:rsidRPr="007E659C" w14:paraId="79958752" w14:textId="77777777" w:rsidTr="1079040B">
        <w:trPr>
          <w:trHeight w:val="239"/>
        </w:trPr>
        <w:tc>
          <w:tcPr>
            <w:tcW w:w="3544" w:type="dxa"/>
            <w:gridSpan w:val="2"/>
            <w:tcBorders>
              <w:top w:val="nil"/>
              <w:left w:val="nil"/>
              <w:bottom w:val="nil"/>
              <w:right w:val="nil"/>
            </w:tcBorders>
            <w:noWrap/>
            <w:vAlign w:val="center"/>
            <w:hideMark/>
          </w:tcPr>
          <w:p w14:paraId="669AE7FB" w14:textId="77777777" w:rsidR="00BB2CE8" w:rsidRPr="00D80FBD" w:rsidRDefault="00BB2CE8" w:rsidP="00BB2CE8">
            <w:pPr>
              <w:rPr>
                <w:rFonts w:ascii="Arial" w:hAnsi="Arial" w:cs="Arial"/>
                <w:b/>
                <w:color w:val="000000"/>
                <w:sz w:val="20"/>
                <w:szCs w:val="20"/>
              </w:rPr>
            </w:pPr>
            <w:r w:rsidRPr="00D80FBD">
              <w:rPr>
                <w:rFonts w:ascii="Arial" w:hAnsi="Arial" w:cs="Arial"/>
                <w:b/>
                <w:color w:val="000000" w:themeColor="text1"/>
                <w:sz w:val="20"/>
                <w:szCs w:val="20"/>
              </w:rPr>
              <w:t>Total Capital funding utilised</w:t>
            </w:r>
          </w:p>
        </w:tc>
        <w:tc>
          <w:tcPr>
            <w:tcW w:w="1538" w:type="dxa"/>
            <w:tcBorders>
              <w:top w:val="single" w:sz="8" w:space="0" w:color="auto"/>
              <w:left w:val="nil"/>
              <w:bottom w:val="single" w:sz="8" w:space="0" w:color="auto"/>
              <w:right w:val="nil"/>
            </w:tcBorders>
            <w:noWrap/>
            <w:vAlign w:val="bottom"/>
            <w:hideMark/>
          </w:tcPr>
          <w:p w14:paraId="5FC2797A" w14:textId="7743AF17" w:rsidR="0026545D" w:rsidRPr="00D80FBD" w:rsidRDefault="00BB2CE8" w:rsidP="0026545D">
            <w:pPr>
              <w:jc w:val="right"/>
              <w:rPr>
                <w:rFonts w:ascii="Arial" w:hAnsi="Arial" w:cs="Arial"/>
                <w:color w:val="000000" w:themeColor="text1"/>
                <w:sz w:val="20"/>
                <w:szCs w:val="20"/>
              </w:rPr>
            </w:pPr>
            <w:r w:rsidRPr="00D80FBD">
              <w:rPr>
                <w:rFonts w:ascii="Arial" w:hAnsi="Arial" w:cs="Arial"/>
                <w:color w:val="000000" w:themeColor="text1"/>
                <w:sz w:val="20"/>
                <w:szCs w:val="20"/>
              </w:rPr>
              <w:t>2</w:t>
            </w:r>
            <w:r w:rsidR="0026545D" w:rsidRPr="00D80FBD">
              <w:rPr>
                <w:rFonts w:ascii="Arial" w:hAnsi="Arial" w:cs="Arial"/>
                <w:color w:val="000000" w:themeColor="text1"/>
                <w:sz w:val="20"/>
                <w:szCs w:val="20"/>
              </w:rPr>
              <w:t>7,088,102</w:t>
            </w:r>
          </w:p>
        </w:tc>
        <w:tc>
          <w:tcPr>
            <w:tcW w:w="1740" w:type="dxa"/>
            <w:gridSpan w:val="3"/>
            <w:tcBorders>
              <w:top w:val="single" w:sz="8" w:space="0" w:color="auto"/>
              <w:left w:val="nil"/>
              <w:bottom w:val="single" w:sz="8" w:space="0" w:color="auto"/>
              <w:right w:val="nil"/>
            </w:tcBorders>
            <w:noWrap/>
            <w:vAlign w:val="bottom"/>
            <w:hideMark/>
          </w:tcPr>
          <w:p w14:paraId="42BB2060" w14:textId="4AD2EB5D" w:rsidR="00BB2CE8" w:rsidRPr="00D80FBD" w:rsidRDefault="00BB2CE8" w:rsidP="00BB2CE8">
            <w:pPr>
              <w:jc w:val="right"/>
              <w:rPr>
                <w:rFonts w:ascii="Arial" w:hAnsi="Arial" w:cs="Arial"/>
                <w:color w:val="000000"/>
                <w:sz w:val="20"/>
                <w:szCs w:val="20"/>
              </w:rPr>
            </w:pPr>
            <w:r w:rsidRPr="00D80FBD">
              <w:rPr>
                <w:rFonts w:ascii="Arial" w:hAnsi="Arial" w:cs="Arial"/>
                <w:color w:val="000000" w:themeColor="text1"/>
                <w:sz w:val="20"/>
                <w:szCs w:val="20"/>
              </w:rPr>
              <w:t>19,</w:t>
            </w:r>
            <w:r w:rsidR="0026545D" w:rsidRPr="00D80FBD">
              <w:rPr>
                <w:rFonts w:ascii="Arial" w:hAnsi="Arial" w:cs="Arial"/>
                <w:color w:val="000000" w:themeColor="text1"/>
                <w:sz w:val="20"/>
                <w:szCs w:val="20"/>
              </w:rPr>
              <w:t>571,791</w:t>
            </w:r>
          </w:p>
        </w:tc>
        <w:tc>
          <w:tcPr>
            <w:tcW w:w="1570" w:type="dxa"/>
            <w:gridSpan w:val="2"/>
            <w:tcBorders>
              <w:top w:val="single" w:sz="8" w:space="0" w:color="auto"/>
              <w:left w:val="nil"/>
              <w:bottom w:val="single" w:sz="8" w:space="0" w:color="auto"/>
              <w:right w:val="nil"/>
            </w:tcBorders>
            <w:noWrap/>
            <w:vAlign w:val="bottom"/>
            <w:hideMark/>
          </w:tcPr>
          <w:p w14:paraId="1FD5E1A9" w14:textId="0025A844" w:rsidR="00BB2CE8" w:rsidRPr="00D80FBD" w:rsidRDefault="00BB2CE8" w:rsidP="00BB2CE8">
            <w:pPr>
              <w:jc w:val="right"/>
              <w:rPr>
                <w:rFonts w:ascii="Arial" w:hAnsi="Arial" w:cs="Arial"/>
                <w:color w:val="000000"/>
                <w:sz w:val="20"/>
                <w:szCs w:val="20"/>
              </w:rPr>
            </w:pPr>
            <w:r w:rsidRPr="00D80FBD">
              <w:rPr>
                <w:rFonts w:ascii="Arial" w:hAnsi="Arial" w:cs="Arial"/>
                <w:color w:val="000000" w:themeColor="text1"/>
                <w:sz w:val="20"/>
                <w:szCs w:val="20"/>
              </w:rPr>
              <w:t>13,</w:t>
            </w:r>
            <w:r w:rsidR="0026545D" w:rsidRPr="00D80FBD">
              <w:rPr>
                <w:rFonts w:ascii="Arial" w:hAnsi="Arial" w:cs="Arial"/>
                <w:color w:val="000000" w:themeColor="text1"/>
                <w:sz w:val="20"/>
                <w:szCs w:val="20"/>
              </w:rPr>
              <w:t>567,653</w:t>
            </w:r>
          </w:p>
        </w:tc>
        <w:tc>
          <w:tcPr>
            <w:tcW w:w="1367" w:type="dxa"/>
            <w:tcBorders>
              <w:top w:val="single" w:sz="8" w:space="0" w:color="auto"/>
              <w:left w:val="nil"/>
              <w:bottom w:val="single" w:sz="8" w:space="0" w:color="auto"/>
              <w:right w:val="nil"/>
            </w:tcBorders>
            <w:noWrap/>
            <w:vAlign w:val="bottom"/>
            <w:hideMark/>
          </w:tcPr>
          <w:p w14:paraId="6B3EE19D" w14:textId="3319EC9A" w:rsidR="00BB2CE8" w:rsidRPr="00D80FBD" w:rsidRDefault="00BB2CE8" w:rsidP="00BB2CE8">
            <w:pPr>
              <w:jc w:val="right"/>
              <w:rPr>
                <w:rFonts w:ascii="Arial" w:hAnsi="Arial" w:cs="Arial"/>
                <w:color w:val="000000"/>
                <w:sz w:val="20"/>
                <w:szCs w:val="20"/>
              </w:rPr>
            </w:pPr>
            <w:r w:rsidRPr="00D80FBD">
              <w:rPr>
                <w:rFonts w:ascii="Arial" w:hAnsi="Arial" w:cs="Arial"/>
                <w:color w:val="000000" w:themeColor="text1"/>
                <w:sz w:val="20"/>
                <w:szCs w:val="20"/>
              </w:rPr>
              <w:t>13,</w:t>
            </w:r>
            <w:r w:rsidR="00937D7F" w:rsidRPr="00D80FBD">
              <w:rPr>
                <w:rFonts w:ascii="Arial" w:hAnsi="Arial" w:cs="Arial"/>
                <w:color w:val="000000" w:themeColor="text1"/>
                <w:sz w:val="20"/>
                <w:szCs w:val="20"/>
              </w:rPr>
              <w:t>647,958</w:t>
            </w:r>
          </w:p>
        </w:tc>
        <w:tc>
          <w:tcPr>
            <w:tcW w:w="1315" w:type="dxa"/>
            <w:gridSpan w:val="3"/>
            <w:tcBorders>
              <w:top w:val="single" w:sz="8" w:space="0" w:color="auto"/>
              <w:left w:val="nil"/>
              <w:bottom w:val="single" w:sz="8" w:space="0" w:color="auto"/>
              <w:right w:val="nil"/>
            </w:tcBorders>
            <w:noWrap/>
            <w:vAlign w:val="bottom"/>
            <w:hideMark/>
          </w:tcPr>
          <w:p w14:paraId="66624057" w14:textId="604B1D2B" w:rsidR="00BB2CE8" w:rsidRPr="00D80FBD" w:rsidRDefault="00BB2CE8" w:rsidP="00BB2CE8">
            <w:pPr>
              <w:jc w:val="right"/>
              <w:rPr>
                <w:rFonts w:ascii="Arial" w:hAnsi="Arial" w:cs="Arial"/>
                <w:color w:val="000000"/>
                <w:sz w:val="20"/>
                <w:szCs w:val="20"/>
              </w:rPr>
            </w:pPr>
            <w:r w:rsidRPr="00D80FBD">
              <w:rPr>
                <w:rFonts w:ascii="Arial" w:hAnsi="Arial" w:cs="Arial"/>
                <w:color w:val="000000" w:themeColor="text1"/>
                <w:sz w:val="20"/>
                <w:szCs w:val="20"/>
              </w:rPr>
              <w:t>1</w:t>
            </w:r>
            <w:r w:rsidR="00937D7F" w:rsidRPr="00D80FBD">
              <w:rPr>
                <w:rFonts w:ascii="Arial" w:hAnsi="Arial" w:cs="Arial"/>
                <w:color w:val="000000" w:themeColor="text1"/>
                <w:sz w:val="20"/>
                <w:szCs w:val="20"/>
              </w:rPr>
              <w:t>3,011,750</w:t>
            </w:r>
          </w:p>
        </w:tc>
      </w:tr>
      <w:tr w:rsidR="00CA78ED" w:rsidRPr="007E659C" w14:paraId="19ED3359" w14:textId="77777777" w:rsidTr="1079040B">
        <w:trPr>
          <w:trHeight w:val="239"/>
        </w:trPr>
        <w:tc>
          <w:tcPr>
            <w:tcW w:w="3544" w:type="dxa"/>
            <w:gridSpan w:val="2"/>
            <w:tcBorders>
              <w:top w:val="nil"/>
              <w:left w:val="nil"/>
              <w:bottom w:val="nil"/>
              <w:right w:val="nil"/>
            </w:tcBorders>
            <w:noWrap/>
            <w:vAlign w:val="center"/>
            <w:hideMark/>
          </w:tcPr>
          <w:p w14:paraId="78755823" w14:textId="77777777" w:rsidR="003A1FA1" w:rsidRPr="00D80FBD" w:rsidRDefault="003A1FA1" w:rsidP="003A1FA1">
            <w:pPr>
              <w:jc w:val="right"/>
              <w:rPr>
                <w:rFonts w:ascii="Arial" w:hAnsi="Arial" w:cs="Arial"/>
                <w:color w:val="000000"/>
                <w:sz w:val="20"/>
                <w:szCs w:val="20"/>
              </w:rPr>
            </w:pPr>
          </w:p>
        </w:tc>
        <w:tc>
          <w:tcPr>
            <w:tcW w:w="1538" w:type="dxa"/>
            <w:tcBorders>
              <w:top w:val="nil"/>
              <w:left w:val="nil"/>
              <w:bottom w:val="single" w:sz="8" w:space="0" w:color="auto"/>
              <w:right w:val="nil"/>
            </w:tcBorders>
            <w:noWrap/>
            <w:vAlign w:val="center"/>
            <w:hideMark/>
          </w:tcPr>
          <w:p w14:paraId="48C32097"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 </w:t>
            </w:r>
          </w:p>
        </w:tc>
        <w:tc>
          <w:tcPr>
            <w:tcW w:w="1740" w:type="dxa"/>
            <w:gridSpan w:val="3"/>
            <w:tcBorders>
              <w:top w:val="nil"/>
              <w:left w:val="nil"/>
              <w:bottom w:val="single" w:sz="8" w:space="0" w:color="auto"/>
              <w:right w:val="nil"/>
            </w:tcBorders>
            <w:noWrap/>
            <w:vAlign w:val="center"/>
            <w:hideMark/>
          </w:tcPr>
          <w:p w14:paraId="00C60DA9"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 </w:t>
            </w:r>
          </w:p>
        </w:tc>
        <w:tc>
          <w:tcPr>
            <w:tcW w:w="1570" w:type="dxa"/>
            <w:gridSpan w:val="2"/>
            <w:tcBorders>
              <w:top w:val="nil"/>
              <w:left w:val="nil"/>
              <w:bottom w:val="single" w:sz="8" w:space="0" w:color="auto"/>
              <w:right w:val="nil"/>
            </w:tcBorders>
            <w:noWrap/>
            <w:vAlign w:val="center"/>
            <w:hideMark/>
          </w:tcPr>
          <w:p w14:paraId="4906C6D7"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 </w:t>
            </w:r>
          </w:p>
        </w:tc>
        <w:tc>
          <w:tcPr>
            <w:tcW w:w="1367" w:type="dxa"/>
            <w:tcBorders>
              <w:top w:val="nil"/>
              <w:left w:val="nil"/>
              <w:bottom w:val="single" w:sz="8" w:space="0" w:color="auto"/>
              <w:right w:val="nil"/>
            </w:tcBorders>
            <w:noWrap/>
            <w:vAlign w:val="center"/>
            <w:hideMark/>
          </w:tcPr>
          <w:p w14:paraId="2406F3A9"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 </w:t>
            </w:r>
          </w:p>
        </w:tc>
        <w:tc>
          <w:tcPr>
            <w:tcW w:w="1315" w:type="dxa"/>
            <w:gridSpan w:val="3"/>
            <w:tcBorders>
              <w:top w:val="nil"/>
              <w:left w:val="nil"/>
              <w:bottom w:val="single" w:sz="8" w:space="0" w:color="auto"/>
              <w:right w:val="nil"/>
            </w:tcBorders>
            <w:noWrap/>
            <w:vAlign w:val="center"/>
            <w:hideMark/>
          </w:tcPr>
          <w:p w14:paraId="39BE5943" w14:textId="77777777" w:rsidR="003A1FA1" w:rsidRPr="00D80FBD" w:rsidRDefault="003A1FA1" w:rsidP="003A1FA1">
            <w:pPr>
              <w:jc w:val="right"/>
              <w:rPr>
                <w:rFonts w:ascii="Arial" w:hAnsi="Arial" w:cs="Arial"/>
                <w:color w:val="000000"/>
                <w:sz w:val="20"/>
                <w:szCs w:val="20"/>
              </w:rPr>
            </w:pPr>
            <w:r w:rsidRPr="00D80FBD">
              <w:rPr>
                <w:rFonts w:ascii="Arial" w:hAnsi="Arial" w:cs="Arial"/>
                <w:color w:val="000000" w:themeColor="text1"/>
                <w:sz w:val="20"/>
                <w:szCs w:val="20"/>
              </w:rPr>
              <w:t> </w:t>
            </w:r>
          </w:p>
        </w:tc>
      </w:tr>
      <w:tr w:rsidR="00CA78ED" w14:paraId="1B80C13D" w14:textId="77777777" w:rsidTr="1079040B">
        <w:trPr>
          <w:gridAfter w:val="1"/>
          <w:wAfter w:w="17" w:type="dxa"/>
          <w:trHeight w:val="239"/>
        </w:trPr>
        <w:tc>
          <w:tcPr>
            <w:tcW w:w="3544" w:type="dxa"/>
            <w:gridSpan w:val="2"/>
            <w:tcBorders>
              <w:top w:val="nil"/>
              <w:left w:val="nil"/>
              <w:bottom w:val="nil"/>
              <w:right w:val="nil"/>
            </w:tcBorders>
            <w:noWrap/>
            <w:vAlign w:val="center"/>
            <w:hideMark/>
          </w:tcPr>
          <w:p w14:paraId="3BD797C7" w14:textId="77777777" w:rsidR="002F0CCF" w:rsidRPr="00D80FBD" w:rsidRDefault="002F0CCF" w:rsidP="002F0CCF">
            <w:pPr>
              <w:rPr>
                <w:rFonts w:ascii="Arial" w:hAnsi="Arial" w:cs="Arial"/>
                <w:b/>
                <w:color w:val="000000"/>
                <w:sz w:val="20"/>
                <w:szCs w:val="20"/>
              </w:rPr>
            </w:pPr>
            <w:r w:rsidRPr="00D80FBD">
              <w:rPr>
                <w:rFonts w:ascii="Arial" w:hAnsi="Arial" w:cs="Arial"/>
                <w:b/>
                <w:color w:val="000000" w:themeColor="text1"/>
                <w:sz w:val="20"/>
                <w:szCs w:val="20"/>
              </w:rPr>
              <w:t>Available Resources c/f</w:t>
            </w:r>
          </w:p>
        </w:tc>
        <w:tc>
          <w:tcPr>
            <w:tcW w:w="1559" w:type="dxa"/>
            <w:gridSpan w:val="2"/>
            <w:tcBorders>
              <w:top w:val="nil"/>
              <w:left w:val="nil"/>
              <w:bottom w:val="single" w:sz="8" w:space="0" w:color="auto"/>
              <w:right w:val="nil"/>
            </w:tcBorders>
            <w:noWrap/>
            <w:vAlign w:val="bottom"/>
            <w:hideMark/>
          </w:tcPr>
          <w:p w14:paraId="069E518D" w14:textId="54EDE4FC" w:rsidR="002F0CCF" w:rsidRPr="00D80FBD" w:rsidRDefault="002F0CCF" w:rsidP="002F0CCF">
            <w:pPr>
              <w:jc w:val="right"/>
              <w:rPr>
                <w:rFonts w:ascii="Arial" w:eastAsia="Arial" w:hAnsi="Arial" w:cs="Arial"/>
                <w:b/>
                <w:bCs/>
                <w:sz w:val="20"/>
                <w:szCs w:val="20"/>
              </w:rPr>
            </w:pPr>
            <w:r>
              <w:rPr>
                <w:rFonts w:ascii="Arial" w:hAnsi="Arial" w:cs="Arial"/>
                <w:b/>
                <w:bCs/>
                <w:sz w:val="20"/>
                <w:szCs w:val="20"/>
              </w:rPr>
              <w:t xml:space="preserve">22,162,113 </w:t>
            </w:r>
          </w:p>
        </w:tc>
        <w:tc>
          <w:tcPr>
            <w:tcW w:w="1701" w:type="dxa"/>
            <w:tcBorders>
              <w:top w:val="nil"/>
              <w:left w:val="nil"/>
              <w:bottom w:val="single" w:sz="8" w:space="0" w:color="auto"/>
              <w:right w:val="nil"/>
            </w:tcBorders>
            <w:noWrap/>
            <w:vAlign w:val="bottom"/>
            <w:hideMark/>
          </w:tcPr>
          <w:p w14:paraId="2F0DFDF4" w14:textId="6DB1C012" w:rsidR="002F0CCF" w:rsidRPr="00D80FBD" w:rsidRDefault="002F0CCF" w:rsidP="002F0CCF">
            <w:pPr>
              <w:jc w:val="right"/>
              <w:rPr>
                <w:rFonts w:ascii="Arial" w:eastAsia="Arial" w:hAnsi="Arial" w:cs="Arial"/>
                <w:b/>
                <w:bCs/>
                <w:sz w:val="20"/>
                <w:szCs w:val="20"/>
              </w:rPr>
            </w:pPr>
            <w:r>
              <w:rPr>
                <w:rFonts w:ascii="Arial" w:hAnsi="Arial" w:cs="Arial"/>
                <w:b/>
                <w:bCs/>
                <w:sz w:val="20"/>
                <w:szCs w:val="20"/>
              </w:rPr>
              <w:t xml:space="preserve">24,107,276 </w:t>
            </w:r>
          </w:p>
        </w:tc>
        <w:tc>
          <w:tcPr>
            <w:tcW w:w="1560" w:type="dxa"/>
            <w:gridSpan w:val="2"/>
            <w:tcBorders>
              <w:top w:val="nil"/>
              <w:left w:val="nil"/>
              <w:bottom w:val="single" w:sz="8" w:space="0" w:color="auto"/>
              <w:right w:val="nil"/>
            </w:tcBorders>
            <w:noWrap/>
            <w:vAlign w:val="bottom"/>
            <w:hideMark/>
          </w:tcPr>
          <w:p w14:paraId="6F88D663" w14:textId="5F119AC6" w:rsidR="002F0CCF" w:rsidRPr="00D80FBD" w:rsidRDefault="002F0CCF" w:rsidP="002F0CCF">
            <w:pPr>
              <w:jc w:val="right"/>
              <w:rPr>
                <w:rFonts w:ascii="Arial" w:eastAsia="Arial" w:hAnsi="Arial" w:cs="Arial"/>
                <w:b/>
                <w:bCs/>
                <w:sz w:val="20"/>
                <w:szCs w:val="20"/>
              </w:rPr>
            </w:pPr>
            <w:r>
              <w:rPr>
                <w:rFonts w:ascii="Arial" w:hAnsi="Arial" w:cs="Arial"/>
                <w:b/>
                <w:bCs/>
                <w:sz w:val="20"/>
                <w:szCs w:val="20"/>
              </w:rPr>
              <w:t xml:space="preserve">28,269,536 </w:t>
            </w:r>
          </w:p>
        </w:tc>
        <w:tc>
          <w:tcPr>
            <w:tcW w:w="1417" w:type="dxa"/>
            <w:gridSpan w:val="3"/>
            <w:tcBorders>
              <w:top w:val="nil"/>
              <w:left w:val="nil"/>
              <w:bottom w:val="single" w:sz="8" w:space="0" w:color="auto"/>
              <w:right w:val="nil"/>
            </w:tcBorders>
            <w:noWrap/>
            <w:vAlign w:val="bottom"/>
            <w:hideMark/>
          </w:tcPr>
          <w:p w14:paraId="56E87DF8" w14:textId="53152FC8" w:rsidR="002F0CCF" w:rsidRPr="00D80FBD" w:rsidRDefault="002F0CCF" w:rsidP="002F0CCF">
            <w:pPr>
              <w:jc w:val="right"/>
              <w:rPr>
                <w:rFonts w:ascii="Arial" w:eastAsia="Arial" w:hAnsi="Arial" w:cs="Arial"/>
                <w:b/>
                <w:bCs/>
                <w:sz w:val="20"/>
                <w:szCs w:val="20"/>
              </w:rPr>
            </w:pPr>
            <w:r>
              <w:rPr>
                <w:rFonts w:ascii="Arial" w:hAnsi="Arial" w:cs="Arial"/>
                <w:b/>
                <w:bCs/>
                <w:sz w:val="20"/>
                <w:szCs w:val="20"/>
              </w:rPr>
              <w:t xml:space="preserve">32,825,876 </w:t>
            </w:r>
          </w:p>
        </w:tc>
        <w:tc>
          <w:tcPr>
            <w:tcW w:w="1276" w:type="dxa"/>
            <w:tcBorders>
              <w:top w:val="nil"/>
              <w:left w:val="nil"/>
              <w:bottom w:val="single" w:sz="8" w:space="0" w:color="auto"/>
              <w:right w:val="nil"/>
            </w:tcBorders>
            <w:noWrap/>
            <w:vAlign w:val="bottom"/>
            <w:hideMark/>
          </w:tcPr>
          <w:p w14:paraId="4B45CA6F" w14:textId="382EEB40" w:rsidR="002F0CCF" w:rsidRPr="00D80FBD" w:rsidRDefault="002F0CCF" w:rsidP="002F0CCF">
            <w:pPr>
              <w:jc w:val="right"/>
              <w:rPr>
                <w:rFonts w:ascii="Arial" w:eastAsia="Arial" w:hAnsi="Arial" w:cs="Arial"/>
                <w:b/>
                <w:bCs/>
                <w:sz w:val="20"/>
                <w:szCs w:val="20"/>
              </w:rPr>
            </w:pPr>
            <w:r w:rsidRPr="1079040B">
              <w:rPr>
                <w:rFonts w:ascii="Arial" w:hAnsi="Arial" w:cs="Arial"/>
                <w:b/>
                <w:bCs/>
                <w:sz w:val="20"/>
                <w:szCs w:val="20"/>
              </w:rPr>
              <w:t>37,630,782</w:t>
            </w:r>
          </w:p>
        </w:tc>
      </w:tr>
    </w:tbl>
    <w:p w14:paraId="7996731B" w14:textId="77777777" w:rsidR="00384776" w:rsidRDefault="00384776">
      <w:pPr>
        <w:rPr>
          <w:rFonts w:ascii="Arial" w:hAnsi="Arial" w:cs="Arial"/>
          <w:b/>
          <w:bCs/>
          <w:color w:val="0000FF"/>
          <w:sz w:val="16"/>
        </w:rPr>
      </w:pPr>
    </w:p>
    <w:p w14:paraId="1BCAC91F" w14:textId="77777777" w:rsidR="00384776" w:rsidRPr="005C6861" w:rsidRDefault="00384776">
      <w:pPr>
        <w:rPr>
          <w:rFonts w:ascii="Arial" w:hAnsi="Arial" w:cs="Arial"/>
          <w:b/>
          <w:bCs/>
          <w:color w:val="0000FF"/>
          <w:sz w:val="16"/>
        </w:rPr>
        <w:sectPr w:rsidR="00384776" w:rsidRPr="005C6861" w:rsidSect="00963B6A">
          <w:headerReference w:type="default" r:id="rId32"/>
          <w:pgSz w:w="11906" w:h="16838" w:code="9"/>
          <w:pgMar w:top="1440" w:right="1106" w:bottom="1440" w:left="680" w:header="709" w:footer="709" w:gutter="0"/>
          <w:pgBorders w:offsetFrom="page">
            <w:bottom w:val="single" w:sz="4" w:space="24" w:color="auto"/>
          </w:pgBorders>
          <w:cols w:space="708"/>
          <w:docGrid w:linePitch="360"/>
        </w:sectPr>
      </w:pPr>
    </w:p>
    <w:tbl>
      <w:tblPr>
        <w:tblW w:w="1540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2108"/>
        <w:gridCol w:w="3420"/>
        <w:gridCol w:w="1980"/>
        <w:gridCol w:w="1926"/>
        <w:gridCol w:w="5276"/>
      </w:tblGrid>
      <w:tr w:rsidR="00672B0C" w:rsidRPr="005C6861" w14:paraId="6BD8B6D3" w14:textId="77777777" w:rsidTr="00A550C9">
        <w:tc>
          <w:tcPr>
            <w:tcW w:w="693" w:type="dxa"/>
            <w:vMerge w:val="restart"/>
          </w:tcPr>
          <w:p w14:paraId="2063C1C9" w14:textId="77777777" w:rsidR="002C6F97" w:rsidRPr="00707F09" w:rsidRDefault="002C6F97" w:rsidP="00005654">
            <w:pPr>
              <w:jc w:val="center"/>
              <w:rPr>
                <w:rFonts w:ascii="Arial" w:hAnsi="Arial" w:cs="Arial"/>
                <w:b/>
                <w:sz w:val="22"/>
              </w:rPr>
            </w:pPr>
            <w:r w:rsidRPr="00707F09">
              <w:rPr>
                <w:rFonts w:ascii="Arial" w:hAnsi="Arial" w:cs="Arial"/>
                <w:b/>
                <w:sz w:val="22"/>
              </w:rPr>
              <w:t>No.</w:t>
            </w:r>
          </w:p>
          <w:p w14:paraId="2E0E0CA5" w14:textId="77777777" w:rsidR="002C6F97" w:rsidRPr="00707F09" w:rsidRDefault="002C6F97" w:rsidP="00005654">
            <w:pPr>
              <w:jc w:val="center"/>
              <w:rPr>
                <w:rFonts w:ascii="Arial" w:hAnsi="Arial" w:cs="Arial"/>
                <w:b/>
                <w:sz w:val="22"/>
              </w:rPr>
            </w:pPr>
          </w:p>
        </w:tc>
        <w:tc>
          <w:tcPr>
            <w:tcW w:w="2108" w:type="dxa"/>
            <w:vMerge w:val="restart"/>
          </w:tcPr>
          <w:p w14:paraId="6C07DA80" w14:textId="77777777" w:rsidR="002C6F97" w:rsidRPr="00707F09" w:rsidRDefault="002C6F97" w:rsidP="00005654">
            <w:pPr>
              <w:jc w:val="center"/>
              <w:rPr>
                <w:rFonts w:ascii="Arial" w:hAnsi="Arial" w:cs="Arial"/>
                <w:b/>
                <w:sz w:val="22"/>
              </w:rPr>
            </w:pPr>
            <w:r w:rsidRPr="00707F09">
              <w:rPr>
                <w:rFonts w:ascii="Arial" w:hAnsi="Arial" w:cs="Arial"/>
                <w:b/>
                <w:sz w:val="22"/>
              </w:rPr>
              <w:t>Budget Item</w:t>
            </w:r>
          </w:p>
          <w:p w14:paraId="04564210" w14:textId="77777777" w:rsidR="002C6F97" w:rsidRPr="00707F09" w:rsidRDefault="002C6F97" w:rsidP="00005654">
            <w:pPr>
              <w:jc w:val="center"/>
              <w:rPr>
                <w:rFonts w:ascii="Arial" w:hAnsi="Arial" w:cs="Arial"/>
                <w:b/>
                <w:sz w:val="22"/>
              </w:rPr>
            </w:pPr>
          </w:p>
        </w:tc>
        <w:tc>
          <w:tcPr>
            <w:tcW w:w="3420" w:type="dxa"/>
            <w:vMerge w:val="restart"/>
          </w:tcPr>
          <w:p w14:paraId="7C31001A" w14:textId="77777777" w:rsidR="002C6F97" w:rsidRPr="00707F09" w:rsidRDefault="002C6F97" w:rsidP="00005654">
            <w:pPr>
              <w:jc w:val="center"/>
              <w:rPr>
                <w:rFonts w:ascii="Arial" w:hAnsi="Arial" w:cs="Arial"/>
                <w:b/>
                <w:sz w:val="22"/>
              </w:rPr>
            </w:pPr>
            <w:r w:rsidRPr="00707F09">
              <w:rPr>
                <w:rFonts w:ascii="Arial" w:hAnsi="Arial" w:cs="Arial"/>
                <w:b/>
                <w:sz w:val="22"/>
              </w:rPr>
              <w:t>Risk</w:t>
            </w:r>
          </w:p>
        </w:tc>
        <w:tc>
          <w:tcPr>
            <w:tcW w:w="1980" w:type="dxa"/>
          </w:tcPr>
          <w:p w14:paraId="7EDDF0A9" w14:textId="31F9CB8A" w:rsidR="002C6F97" w:rsidRPr="00707F09" w:rsidRDefault="003656E1" w:rsidP="00005654">
            <w:pPr>
              <w:tabs>
                <w:tab w:val="left" w:pos="930"/>
                <w:tab w:val="center" w:pos="1512"/>
              </w:tabs>
              <w:jc w:val="center"/>
              <w:rPr>
                <w:rFonts w:ascii="Arial" w:hAnsi="Arial" w:cs="Arial"/>
                <w:b/>
                <w:sz w:val="22"/>
              </w:rPr>
            </w:pPr>
            <w:r w:rsidRPr="00707F09">
              <w:rPr>
                <w:rFonts w:ascii="Arial" w:hAnsi="Arial" w:cs="Arial"/>
                <w:b/>
                <w:sz w:val="22"/>
              </w:rPr>
              <w:t>202</w:t>
            </w:r>
            <w:r w:rsidR="00227DD1">
              <w:rPr>
                <w:rFonts w:ascii="Arial" w:hAnsi="Arial" w:cs="Arial"/>
                <w:b/>
                <w:sz w:val="22"/>
              </w:rPr>
              <w:t>6/27</w:t>
            </w:r>
          </w:p>
          <w:p w14:paraId="2366701E" w14:textId="77777777" w:rsidR="002C6F97" w:rsidRPr="00707F09" w:rsidRDefault="002C6F97" w:rsidP="00005654">
            <w:pPr>
              <w:tabs>
                <w:tab w:val="left" w:pos="930"/>
                <w:tab w:val="center" w:pos="1512"/>
              </w:tabs>
              <w:jc w:val="center"/>
              <w:rPr>
                <w:rFonts w:ascii="Arial" w:hAnsi="Arial" w:cs="Arial"/>
                <w:b/>
                <w:sz w:val="22"/>
              </w:rPr>
            </w:pPr>
          </w:p>
        </w:tc>
        <w:tc>
          <w:tcPr>
            <w:tcW w:w="1926" w:type="dxa"/>
          </w:tcPr>
          <w:p w14:paraId="7D20294C" w14:textId="11D32D52" w:rsidR="008F3A4A" w:rsidRPr="00707F09" w:rsidRDefault="001E334D" w:rsidP="00F2423E">
            <w:pPr>
              <w:tabs>
                <w:tab w:val="left" w:pos="930"/>
                <w:tab w:val="center" w:pos="1512"/>
              </w:tabs>
              <w:jc w:val="center"/>
              <w:rPr>
                <w:rFonts w:ascii="Arial" w:hAnsi="Arial" w:cs="Arial"/>
                <w:b/>
                <w:sz w:val="22"/>
              </w:rPr>
            </w:pPr>
            <w:r w:rsidRPr="00707F09">
              <w:rPr>
                <w:rFonts w:ascii="Arial" w:hAnsi="Arial" w:cs="Arial"/>
                <w:b/>
                <w:sz w:val="22"/>
              </w:rPr>
              <w:t>20</w:t>
            </w:r>
            <w:r w:rsidR="008F3A4A" w:rsidRPr="00707F09">
              <w:rPr>
                <w:rFonts w:ascii="Arial" w:hAnsi="Arial" w:cs="Arial"/>
                <w:b/>
                <w:sz w:val="22"/>
              </w:rPr>
              <w:t>2</w:t>
            </w:r>
            <w:r w:rsidR="00227DD1">
              <w:rPr>
                <w:rFonts w:ascii="Arial" w:hAnsi="Arial" w:cs="Arial"/>
                <w:b/>
                <w:sz w:val="22"/>
              </w:rPr>
              <w:t>7/28</w:t>
            </w:r>
          </w:p>
          <w:p w14:paraId="2589E1F3" w14:textId="52107823" w:rsidR="008F3A4A" w:rsidRPr="00707F09" w:rsidRDefault="008F3A4A" w:rsidP="00197A60">
            <w:pPr>
              <w:tabs>
                <w:tab w:val="left" w:pos="930"/>
                <w:tab w:val="center" w:pos="1512"/>
              </w:tabs>
              <w:jc w:val="center"/>
              <w:rPr>
                <w:rFonts w:ascii="Arial" w:hAnsi="Arial" w:cs="Arial"/>
                <w:b/>
                <w:sz w:val="22"/>
              </w:rPr>
            </w:pPr>
            <w:r w:rsidRPr="00707F09">
              <w:rPr>
                <w:rFonts w:ascii="Arial" w:hAnsi="Arial" w:cs="Arial"/>
                <w:b/>
                <w:sz w:val="22"/>
              </w:rPr>
              <w:t>20</w:t>
            </w:r>
            <w:r w:rsidR="0096060C">
              <w:rPr>
                <w:rFonts w:ascii="Arial" w:hAnsi="Arial" w:cs="Arial"/>
                <w:b/>
                <w:sz w:val="22"/>
              </w:rPr>
              <w:t>30</w:t>
            </w:r>
            <w:r w:rsidR="009B2899">
              <w:rPr>
                <w:rFonts w:ascii="Arial" w:hAnsi="Arial" w:cs="Arial"/>
                <w:b/>
                <w:sz w:val="22"/>
              </w:rPr>
              <w:t>/3</w:t>
            </w:r>
            <w:r w:rsidR="0096060C">
              <w:rPr>
                <w:rFonts w:ascii="Arial" w:hAnsi="Arial" w:cs="Arial"/>
                <w:b/>
                <w:sz w:val="22"/>
              </w:rPr>
              <w:t>1</w:t>
            </w:r>
          </w:p>
        </w:tc>
        <w:tc>
          <w:tcPr>
            <w:tcW w:w="5276" w:type="dxa"/>
          </w:tcPr>
          <w:p w14:paraId="35ADE937" w14:textId="77777777" w:rsidR="002C6F97" w:rsidRPr="005C6861" w:rsidRDefault="002C6F97" w:rsidP="00005654">
            <w:pPr>
              <w:jc w:val="center"/>
              <w:rPr>
                <w:rFonts w:ascii="Arial" w:hAnsi="Arial" w:cs="Arial"/>
                <w:b/>
                <w:bCs/>
                <w:sz w:val="22"/>
              </w:rPr>
            </w:pPr>
            <w:r w:rsidRPr="00707F09">
              <w:rPr>
                <w:rFonts w:ascii="Arial" w:hAnsi="Arial" w:cs="Arial"/>
                <w:b/>
                <w:sz w:val="22"/>
              </w:rPr>
              <w:t>Containment</w:t>
            </w:r>
          </w:p>
        </w:tc>
      </w:tr>
      <w:tr w:rsidR="00D87221" w:rsidRPr="005C6861" w14:paraId="4283CBF7" w14:textId="77777777" w:rsidTr="00A550C9">
        <w:trPr>
          <w:tblHeader/>
        </w:trPr>
        <w:tc>
          <w:tcPr>
            <w:tcW w:w="693" w:type="dxa"/>
            <w:vMerge/>
          </w:tcPr>
          <w:p w14:paraId="73EAA04E" w14:textId="77777777" w:rsidR="009A36E6" w:rsidRPr="005C6861" w:rsidRDefault="009A36E6" w:rsidP="00005654">
            <w:pPr>
              <w:rPr>
                <w:rFonts w:ascii="Arial" w:hAnsi="Arial" w:cs="Arial"/>
                <w:sz w:val="22"/>
              </w:rPr>
            </w:pPr>
          </w:p>
        </w:tc>
        <w:tc>
          <w:tcPr>
            <w:tcW w:w="2108" w:type="dxa"/>
            <w:vMerge/>
          </w:tcPr>
          <w:p w14:paraId="0B14C0A8" w14:textId="77777777" w:rsidR="009A36E6" w:rsidRPr="005C6861" w:rsidRDefault="009A36E6" w:rsidP="00005654">
            <w:pPr>
              <w:rPr>
                <w:rFonts w:ascii="Arial" w:hAnsi="Arial" w:cs="Arial"/>
                <w:sz w:val="22"/>
              </w:rPr>
            </w:pPr>
          </w:p>
        </w:tc>
        <w:tc>
          <w:tcPr>
            <w:tcW w:w="3420" w:type="dxa"/>
            <w:vMerge/>
          </w:tcPr>
          <w:p w14:paraId="362FAB4C" w14:textId="77777777" w:rsidR="009A36E6" w:rsidRPr="005C6861" w:rsidRDefault="009A36E6" w:rsidP="00005654">
            <w:pPr>
              <w:rPr>
                <w:rFonts w:ascii="Arial" w:hAnsi="Arial" w:cs="Arial"/>
                <w:sz w:val="22"/>
              </w:rPr>
            </w:pPr>
          </w:p>
        </w:tc>
        <w:tc>
          <w:tcPr>
            <w:tcW w:w="1980" w:type="dxa"/>
            <w:tcBorders>
              <w:bottom w:val="single" w:sz="4" w:space="0" w:color="auto"/>
            </w:tcBorders>
          </w:tcPr>
          <w:p w14:paraId="5DCB5A46" w14:textId="7F060852" w:rsidR="009A36E6" w:rsidRPr="005C6861" w:rsidRDefault="001E334D" w:rsidP="00197A60">
            <w:pPr>
              <w:ind w:left="-108"/>
              <w:jc w:val="center"/>
              <w:rPr>
                <w:rFonts w:ascii="Arial" w:hAnsi="Arial" w:cs="Arial"/>
                <w:b/>
                <w:sz w:val="22"/>
                <w:szCs w:val="22"/>
              </w:rPr>
            </w:pPr>
            <w:r w:rsidRPr="005C6861">
              <w:rPr>
                <w:rFonts w:ascii="Arial" w:hAnsi="Arial" w:cs="Arial"/>
                <w:b/>
                <w:sz w:val="22"/>
                <w:szCs w:val="22"/>
              </w:rPr>
              <w:t xml:space="preserve">Risk </w:t>
            </w:r>
            <w:r w:rsidR="00197A60">
              <w:rPr>
                <w:rFonts w:ascii="Arial" w:hAnsi="Arial" w:cs="Arial"/>
                <w:b/>
                <w:sz w:val="22"/>
                <w:szCs w:val="22"/>
              </w:rPr>
              <w:t>S</w:t>
            </w:r>
            <w:r w:rsidRPr="005C6861">
              <w:rPr>
                <w:rFonts w:ascii="Arial" w:hAnsi="Arial" w:cs="Arial"/>
                <w:b/>
                <w:sz w:val="22"/>
                <w:szCs w:val="22"/>
              </w:rPr>
              <w:t>core</w:t>
            </w:r>
          </w:p>
        </w:tc>
        <w:tc>
          <w:tcPr>
            <w:tcW w:w="1926" w:type="dxa"/>
            <w:tcBorders>
              <w:bottom w:val="single" w:sz="4" w:space="0" w:color="auto"/>
            </w:tcBorders>
          </w:tcPr>
          <w:p w14:paraId="5D531D33" w14:textId="77777777" w:rsidR="009A36E6" w:rsidRPr="005C6861" w:rsidRDefault="001E334D" w:rsidP="00197A60">
            <w:pPr>
              <w:jc w:val="center"/>
              <w:rPr>
                <w:rFonts w:ascii="Arial" w:hAnsi="Arial" w:cs="Arial"/>
                <w:b/>
                <w:sz w:val="22"/>
                <w:szCs w:val="22"/>
              </w:rPr>
            </w:pPr>
            <w:r w:rsidRPr="005C6861">
              <w:rPr>
                <w:rFonts w:ascii="Arial" w:hAnsi="Arial" w:cs="Arial"/>
                <w:b/>
                <w:sz w:val="22"/>
                <w:szCs w:val="22"/>
              </w:rPr>
              <w:t>Risk Score</w:t>
            </w:r>
          </w:p>
        </w:tc>
        <w:tc>
          <w:tcPr>
            <w:tcW w:w="5276" w:type="dxa"/>
          </w:tcPr>
          <w:p w14:paraId="58940B56" w14:textId="77777777" w:rsidR="009A36E6" w:rsidRPr="005C6861" w:rsidRDefault="009A36E6" w:rsidP="00005654">
            <w:pPr>
              <w:ind w:left="113"/>
              <w:rPr>
                <w:rFonts w:ascii="Arial" w:hAnsi="Arial" w:cs="Arial"/>
                <w:sz w:val="22"/>
              </w:rPr>
            </w:pPr>
          </w:p>
        </w:tc>
      </w:tr>
      <w:tr w:rsidR="00E94C11" w:rsidRPr="005C6861" w14:paraId="5D71C38D" w14:textId="77777777" w:rsidTr="00991DA6">
        <w:trPr>
          <w:tblHeader/>
        </w:trPr>
        <w:tc>
          <w:tcPr>
            <w:tcW w:w="693" w:type="dxa"/>
          </w:tcPr>
          <w:p w14:paraId="751F1567" w14:textId="7675366D" w:rsidR="00D601D5" w:rsidRPr="00EB2204" w:rsidRDefault="00AF3DCD" w:rsidP="00D5019B">
            <w:pPr>
              <w:rPr>
                <w:rFonts w:ascii="Arial" w:hAnsi="Arial" w:cs="Arial"/>
                <w:sz w:val="22"/>
              </w:rPr>
            </w:pPr>
            <w:r>
              <w:rPr>
                <w:rFonts w:ascii="Arial" w:hAnsi="Arial" w:cs="Arial"/>
                <w:sz w:val="22"/>
              </w:rPr>
              <w:t>1</w:t>
            </w:r>
          </w:p>
        </w:tc>
        <w:tc>
          <w:tcPr>
            <w:tcW w:w="2108" w:type="dxa"/>
          </w:tcPr>
          <w:p w14:paraId="4484F4AC" w14:textId="77777777" w:rsidR="00D601D5" w:rsidRDefault="00D601D5" w:rsidP="00D5019B">
            <w:pPr>
              <w:rPr>
                <w:rFonts w:ascii="Arial" w:hAnsi="Arial" w:cs="Arial"/>
                <w:sz w:val="22"/>
              </w:rPr>
            </w:pPr>
            <w:r>
              <w:rPr>
                <w:rFonts w:ascii="Arial" w:hAnsi="Arial" w:cs="Arial"/>
                <w:sz w:val="22"/>
              </w:rPr>
              <w:t>Local Government Reorganisation</w:t>
            </w:r>
          </w:p>
          <w:p w14:paraId="3BAB45D3" w14:textId="77777777" w:rsidR="00D601D5" w:rsidRDefault="00D601D5" w:rsidP="00D5019B">
            <w:pPr>
              <w:rPr>
                <w:rFonts w:ascii="Arial" w:hAnsi="Arial" w:cs="Arial"/>
                <w:sz w:val="22"/>
              </w:rPr>
            </w:pPr>
          </w:p>
          <w:p w14:paraId="34A2733D" w14:textId="77777777" w:rsidR="00D601D5" w:rsidRDefault="00D601D5" w:rsidP="00D5019B">
            <w:pPr>
              <w:rPr>
                <w:rFonts w:ascii="Arial" w:hAnsi="Arial" w:cs="Arial"/>
                <w:sz w:val="22"/>
              </w:rPr>
            </w:pPr>
          </w:p>
          <w:p w14:paraId="572BBEDB" w14:textId="77777777" w:rsidR="00D601D5" w:rsidRDefault="00D601D5" w:rsidP="00D5019B">
            <w:pPr>
              <w:rPr>
                <w:rFonts w:ascii="Arial" w:hAnsi="Arial" w:cs="Arial"/>
                <w:sz w:val="22"/>
              </w:rPr>
            </w:pPr>
          </w:p>
        </w:tc>
        <w:tc>
          <w:tcPr>
            <w:tcW w:w="3420" w:type="dxa"/>
            <w:shd w:val="clear" w:color="auto" w:fill="FFFFFF" w:themeFill="background1"/>
          </w:tcPr>
          <w:p w14:paraId="4445AD47" w14:textId="77777777" w:rsidR="00D601D5" w:rsidRDefault="00D601D5" w:rsidP="00D5019B">
            <w:pPr>
              <w:rPr>
                <w:rFonts w:ascii="Arial" w:hAnsi="Arial" w:cs="Arial"/>
                <w:sz w:val="22"/>
                <w:szCs w:val="22"/>
              </w:rPr>
            </w:pPr>
            <w:r>
              <w:rPr>
                <w:rFonts w:ascii="Arial" w:hAnsi="Arial" w:cs="Arial"/>
                <w:sz w:val="22"/>
                <w:szCs w:val="22"/>
              </w:rPr>
              <w:t>Opportunity cost forgone from allocation resources to transitional and preparatory works</w:t>
            </w:r>
          </w:p>
          <w:p w14:paraId="40154ED7" w14:textId="77777777" w:rsidR="00D601D5" w:rsidRDefault="00D601D5" w:rsidP="00D5019B">
            <w:pPr>
              <w:rPr>
                <w:rFonts w:ascii="Arial" w:hAnsi="Arial" w:cs="Arial"/>
                <w:sz w:val="22"/>
                <w:szCs w:val="22"/>
              </w:rPr>
            </w:pPr>
          </w:p>
          <w:p w14:paraId="0C7E63FA" w14:textId="77777777" w:rsidR="00D601D5" w:rsidRDefault="00D601D5" w:rsidP="00D5019B">
            <w:pPr>
              <w:rPr>
                <w:rFonts w:ascii="Arial" w:hAnsi="Arial" w:cs="Arial"/>
                <w:sz w:val="22"/>
                <w:szCs w:val="22"/>
              </w:rPr>
            </w:pPr>
            <w:r>
              <w:rPr>
                <w:rFonts w:ascii="Arial" w:hAnsi="Arial" w:cs="Arial"/>
                <w:sz w:val="22"/>
                <w:szCs w:val="22"/>
              </w:rPr>
              <w:t>Insufficient resources to meet the Council internal requirements and contributions to any shared requirements as part of transition programme.</w:t>
            </w:r>
          </w:p>
          <w:p w14:paraId="67CE2770" w14:textId="77777777" w:rsidR="00D601D5" w:rsidRDefault="00D601D5" w:rsidP="00D5019B">
            <w:pPr>
              <w:rPr>
                <w:rFonts w:ascii="Arial" w:hAnsi="Arial" w:cs="Arial"/>
                <w:sz w:val="22"/>
                <w:szCs w:val="22"/>
              </w:rPr>
            </w:pPr>
          </w:p>
          <w:p w14:paraId="6ACBE7AD" w14:textId="77777777" w:rsidR="00D601D5" w:rsidRDefault="00D601D5" w:rsidP="00D5019B">
            <w:pPr>
              <w:rPr>
                <w:rFonts w:ascii="Arial" w:hAnsi="Arial" w:cs="Arial"/>
                <w:sz w:val="22"/>
                <w:szCs w:val="22"/>
              </w:rPr>
            </w:pPr>
            <w:r>
              <w:rPr>
                <w:rFonts w:ascii="Arial" w:hAnsi="Arial" w:cs="Arial"/>
                <w:sz w:val="22"/>
                <w:szCs w:val="22"/>
              </w:rPr>
              <w:t>Capacity requirements to meet both transition timescales while still delivering against Vision 2030 and maintaining services.</w:t>
            </w:r>
          </w:p>
          <w:p w14:paraId="2B83B895" w14:textId="77777777" w:rsidR="00D601D5" w:rsidRDefault="00D601D5" w:rsidP="00D5019B">
            <w:pPr>
              <w:rPr>
                <w:rFonts w:ascii="Arial" w:hAnsi="Arial" w:cs="Arial"/>
                <w:sz w:val="22"/>
                <w:szCs w:val="22"/>
              </w:rPr>
            </w:pPr>
          </w:p>
          <w:p w14:paraId="774CF2C9" w14:textId="77777777" w:rsidR="00D601D5" w:rsidRDefault="00D601D5" w:rsidP="00D5019B">
            <w:pPr>
              <w:rPr>
                <w:rFonts w:ascii="Arial" w:hAnsi="Arial" w:cs="Arial"/>
                <w:sz w:val="22"/>
                <w:szCs w:val="22"/>
              </w:rPr>
            </w:pPr>
            <w:r>
              <w:rPr>
                <w:rFonts w:ascii="Arial" w:hAnsi="Arial" w:cs="Arial"/>
                <w:sz w:val="22"/>
                <w:szCs w:val="22"/>
              </w:rPr>
              <w:t>Disruption to existing budgets, i.e. halting essential investments and service delivery improvements</w:t>
            </w:r>
          </w:p>
          <w:p w14:paraId="5E0AEDDF" w14:textId="77777777" w:rsidR="00D601D5" w:rsidRDefault="00D601D5" w:rsidP="00D5019B">
            <w:pPr>
              <w:rPr>
                <w:rFonts w:ascii="Arial" w:hAnsi="Arial" w:cs="Arial"/>
                <w:sz w:val="22"/>
                <w:szCs w:val="22"/>
              </w:rPr>
            </w:pPr>
          </w:p>
        </w:tc>
        <w:tc>
          <w:tcPr>
            <w:tcW w:w="1980" w:type="dxa"/>
            <w:tcBorders>
              <w:bottom w:val="single" w:sz="4" w:space="0" w:color="auto"/>
            </w:tcBorders>
            <w:shd w:val="clear" w:color="auto" w:fill="EE0000"/>
          </w:tcPr>
          <w:p w14:paraId="645470BB" w14:textId="77777777" w:rsidR="00D601D5" w:rsidRPr="00EB2204" w:rsidRDefault="00D601D5" w:rsidP="00D5019B">
            <w:pPr>
              <w:jc w:val="center"/>
              <w:rPr>
                <w:rFonts w:ascii="Arial" w:hAnsi="Arial" w:cs="Arial"/>
                <w:sz w:val="22"/>
              </w:rPr>
            </w:pPr>
          </w:p>
          <w:p w14:paraId="1675A548" w14:textId="77777777" w:rsidR="00D601D5" w:rsidRPr="00EB2204" w:rsidRDefault="00D601D5" w:rsidP="00D5019B">
            <w:pPr>
              <w:jc w:val="center"/>
              <w:rPr>
                <w:rFonts w:ascii="Arial" w:hAnsi="Arial" w:cs="Arial"/>
                <w:b/>
                <w:sz w:val="22"/>
                <w:szCs w:val="22"/>
              </w:rPr>
            </w:pPr>
            <w:r w:rsidRPr="00EB2204">
              <w:rPr>
                <w:rFonts w:ascii="Arial" w:hAnsi="Arial" w:cs="Arial"/>
                <w:b/>
                <w:sz w:val="22"/>
                <w:szCs w:val="22"/>
              </w:rPr>
              <w:t xml:space="preserve">Total Score: </w:t>
            </w:r>
            <w:r>
              <w:rPr>
                <w:rFonts w:ascii="Arial" w:hAnsi="Arial" w:cs="Arial"/>
                <w:b/>
                <w:sz w:val="22"/>
                <w:szCs w:val="22"/>
              </w:rPr>
              <w:t>16</w:t>
            </w:r>
          </w:p>
          <w:p w14:paraId="3A526B7C" w14:textId="77777777" w:rsidR="00D601D5" w:rsidRPr="00EB2204" w:rsidRDefault="00D601D5" w:rsidP="00D5019B">
            <w:pPr>
              <w:jc w:val="center"/>
              <w:rPr>
                <w:rFonts w:ascii="Arial" w:hAnsi="Arial" w:cs="Arial"/>
                <w:b/>
                <w:sz w:val="22"/>
                <w:szCs w:val="22"/>
              </w:rPr>
            </w:pPr>
          </w:p>
          <w:p w14:paraId="06F253F5" w14:textId="77777777" w:rsidR="00D601D5" w:rsidRPr="00EB2204" w:rsidRDefault="00D601D5" w:rsidP="00D5019B">
            <w:pPr>
              <w:jc w:val="center"/>
              <w:rPr>
                <w:rFonts w:ascii="Arial" w:hAnsi="Arial" w:cs="Arial"/>
                <w:sz w:val="22"/>
                <w:szCs w:val="22"/>
              </w:rPr>
            </w:pPr>
            <w:r w:rsidRPr="00EB2204">
              <w:rPr>
                <w:rFonts w:ascii="Arial" w:hAnsi="Arial" w:cs="Arial"/>
                <w:sz w:val="22"/>
                <w:szCs w:val="22"/>
              </w:rPr>
              <w:t xml:space="preserve">Likelihood: </w:t>
            </w:r>
            <w:r>
              <w:rPr>
                <w:rFonts w:ascii="Arial" w:hAnsi="Arial" w:cs="Arial"/>
                <w:sz w:val="22"/>
                <w:szCs w:val="22"/>
              </w:rPr>
              <w:t>4</w:t>
            </w:r>
          </w:p>
          <w:p w14:paraId="198BA4AA" w14:textId="77777777" w:rsidR="00D601D5" w:rsidRPr="00EB2204" w:rsidRDefault="00D601D5" w:rsidP="00D5019B">
            <w:pPr>
              <w:jc w:val="center"/>
              <w:rPr>
                <w:rFonts w:ascii="Arial" w:hAnsi="Arial" w:cs="Arial"/>
                <w:sz w:val="22"/>
              </w:rPr>
            </w:pPr>
            <w:r w:rsidRPr="00EB2204">
              <w:rPr>
                <w:rFonts w:ascii="Arial" w:hAnsi="Arial" w:cs="Arial"/>
                <w:sz w:val="22"/>
                <w:szCs w:val="22"/>
              </w:rPr>
              <w:t xml:space="preserve">Impact: </w:t>
            </w:r>
            <w:r>
              <w:rPr>
                <w:rFonts w:ascii="Arial" w:hAnsi="Arial" w:cs="Arial"/>
                <w:sz w:val="22"/>
                <w:szCs w:val="22"/>
              </w:rPr>
              <w:t>4</w:t>
            </w:r>
          </w:p>
        </w:tc>
        <w:tc>
          <w:tcPr>
            <w:tcW w:w="1926" w:type="dxa"/>
            <w:tcBorders>
              <w:bottom w:val="single" w:sz="4" w:space="0" w:color="auto"/>
            </w:tcBorders>
            <w:shd w:val="clear" w:color="auto" w:fill="EE0000"/>
          </w:tcPr>
          <w:p w14:paraId="1D38CC40" w14:textId="77777777" w:rsidR="00D601D5" w:rsidRPr="00EB2204" w:rsidRDefault="00D601D5" w:rsidP="00D5019B">
            <w:pPr>
              <w:jc w:val="center"/>
              <w:rPr>
                <w:rFonts w:ascii="Arial" w:hAnsi="Arial" w:cs="Arial"/>
                <w:sz w:val="22"/>
              </w:rPr>
            </w:pPr>
          </w:p>
          <w:p w14:paraId="27007976" w14:textId="77777777" w:rsidR="00D601D5" w:rsidRPr="00EB2204" w:rsidRDefault="00D601D5" w:rsidP="00D5019B">
            <w:pPr>
              <w:jc w:val="center"/>
              <w:rPr>
                <w:rFonts w:ascii="Arial" w:hAnsi="Arial" w:cs="Arial"/>
                <w:b/>
                <w:sz w:val="22"/>
                <w:szCs w:val="22"/>
              </w:rPr>
            </w:pPr>
            <w:r w:rsidRPr="00EB2204">
              <w:rPr>
                <w:rFonts w:ascii="Arial" w:hAnsi="Arial" w:cs="Arial"/>
                <w:b/>
                <w:sz w:val="22"/>
                <w:szCs w:val="22"/>
              </w:rPr>
              <w:t xml:space="preserve">Total Score: </w:t>
            </w:r>
            <w:r>
              <w:rPr>
                <w:rFonts w:ascii="Arial" w:hAnsi="Arial" w:cs="Arial"/>
                <w:b/>
                <w:sz w:val="22"/>
                <w:szCs w:val="22"/>
              </w:rPr>
              <w:t>16</w:t>
            </w:r>
          </w:p>
          <w:p w14:paraId="58405EE9" w14:textId="77777777" w:rsidR="00D601D5" w:rsidRPr="00EB2204" w:rsidRDefault="00D601D5" w:rsidP="00D5019B">
            <w:pPr>
              <w:jc w:val="center"/>
              <w:rPr>
                <w:rFonts w:ascii="Arial" w:hAnsi="Arial" w:cs="Arial"/>
                <w:sz w:val="22"/>
                <w:szCs w:val="22"/>
              </w:rPr>
            </w:pPr>
          </w:p>
          <w:p w14:paraId="3885EF94" w14:textId="77777777" w:rsidR="00D601D5" w:rsidRPr="00EB2204" w:rsidRDefault="00D601D5" w:rsidP="00D5019B">
            <w:pPr>
              <w:jc w:val="center"/>
              <w:rPr>
                <w:rFonts w:ascii="Arial" w:hAnsi="Arial" w:cs="Arial"/>
                <w:sz w:val="22"/>
                <w:szCs w:val="22"/>
              </w:rPr>
            </w:pPr>
            <w:r w:rsidRPr="00EB2204">
              <w:rPr>
                <w:rFonts w:ascii="Arial" w:hAnsi="Arial" w:cs="Arial"/>
                <w:sz w:val="22"/>
                <w:szCs w:val="22"/>
              </w:rPr>
              <w:t xml:space="preserve">Likelihood: </w:t>
            </w:r>
            <w:r>
              <w:rPr>
                <w:rFonts w:ascii="Arial" w:hAnsi="Arial" w:cs="Arial"/>
                <w:sz w:val="22"/>
                <w:szCs w:val="22"/>
              </w:rPr>
              <w:t>4</w:t>
            </w:r>
          </w:p>
          <w:p w14:paraId="0544DFEE" w14:textId="77777777" w:rsidR="00D601D5" w:rsidRPr="00EB2204" w:rsidRDefault="00D601D5" w:rsidP="00D5019B">
            <w:pPr>
              <w:jc w:val="center"/>
              <w:rPr>
                <w:rFonts w:ascii="Arial" w:hAnsi="Arial" w:cs="Arial"/>
                <w:sz w:val="22"/>
              </w:rPr>
            </w:pPr>
            <w:r w:rsidRPr="00EB2204">
              <w:rPr>
                <w:rFonts w:ascii="Arial" w:hAnsi="Arial" w:cs="Arial"/>
                <w:sz w:val="22"/>
                <w:szCs w:val="22"/>
              </w:rPr>
              <w:t xml:space="preserve">Impact: </w:t>
            </w:r>
            <w:r>
              <w:rPr>
                <w:rFonts w:ascii="Arial" w:hAnsi="Arial" w:cs="Arial"/>
                <w:sz w:val="22"/>
                <w:szCs w:val="22"/>
              </w:rPr>
              <w:t>4</w:t>
            </w:r>
          </w:p>
        </w:tc>
        <w:tc>
          <w:tcPr>
            <w:tcW w:w="5276" w:type="dxa"/>
            <w:shd w:val="clear" w:color="auto" w:fill="FFFFFF" w:themeFill="background1"/>
          </w:tcPr>
          <w:p w14:paraId="3E4F54CC" w14:textId="0FA1AAED" w:rsidR="00D601D5" w:rsidRDefault="00D601D5" w:rsidP="00D5019B">
            <w:pPr>
              <w:numPr>
                <w:ilvl w:val="0"/>
                <w:numId w:val="19"/>
              </w:numPr>
              <w:rPr>
                <w:rFonts w:ascii="Arial" w:hAnsi="Arial" w:cs="Arial"/>
                <w:sz w:val="22"/>
              </w:rPr>
            </w:pPr>
            <w:r>
              <w:rPr>
                <w:rFonts w:ascii="Arial" w:hAnsi="Arial" w:cs="Arial"/>
                <w:sz w:val="22"/>
              </w:rPr>
              <w:t>New Future Readiness/Transition Fund in place with £1.</w:t>
            </w:r>
            <w:r w:rsidR="000E2986">
              <w:rPr>
                <w:rFonts w:ascii="Arial" w:hAnsi="Arial" w:cs="Arial"/>
                <w:sz w:val="22"/>
              </w:rPr>
              <w:t>3</w:t>
            </w:r>
            <w:r>
              <w:rPr>
                <w:rFonts w:ascii="Arial" w:hAnsi="Arial" w:cs="Arial"/>
                <w:sz w:val="22"/>
              </w:rPr>
              <w:t>m of resources allocated in MTFS.</w:t>
            </w:r>
          </w:p>
          <w:p w14:paraId="0474FDD0" w14:textId="238AB7D3" w:rsidR="00D601D5" w:rsidRDefault="00D601D5" w:rsidP="00D5019B">
            <w:pPr>
              <w:numPr>
                <w:ilvl w:val="0"/>
                <w:numId w:val="19"/>
              </w:numPr>
              <w:rPr>
                <w:rFonts w:ascii="Arial" w:hAnsi="Arial" w:cs="Arial"/>
                <w:sz w:val="22"/>
              </w:rPr>
            </w:pPr>
            <w:r>
              <w:rPr>
                <w:rFonts w:ascii="Arial" w:hAnsi="Arial" w:cs="Arial"/>
                <w:sz w:val="22"/>
              </w:rPr>
              <w:t xml:space="preserve">Small amount of unallocated General Fund </w:t>
            </w:r>
            <w:r w:rsidR="004C5486">
              <w:rPr>
                <w:rFonts w:ascii="Arial" w:hAnsi="Arial" w:cs="Arial"/>
                <w:sz w:val="22"/>
              </w:rPr>
              <w:t xml:space="preserve">capital </w:t>
            </w:r>
            <w:r>
              <w:rPr>
                <w:rFonts w:ascii="Arial" w:hAnsi="Arial" w:cs="Arial"/>
                <w:sz w:val="22"/>
              </w:rPr>
              <w:t>receipts available</w:t>
            </w:r>
          </w:p>
          <w:p w14:paraId="1739D707" w14:textId="77777777" w:rsidR="00D601D5" w:rsidRDefault="00D601D5" w:rsidP="00D5019B">
            <w:pPr>
              <w:numPr>
                <w:ilvl w:val="0"/>
                <w:numId w:val="19"/>
              </w:numPr>
              <w:rPr>
                <w:rFonts w:ascii="Arial" w:hAnsi="Arial" w:cs="Arial"/>
                <w:sz w:val="22"/>
              </w:rPr>
            </w:pPr>
            <w:r>
              <w:rPr>
                <w:rFonts w:ascii="Arial" w:hAnsi="Arial" w:cs="Arial"/>
                <w:sz w:val="22"/>
              </w:rPr>
              <w:t>Detailed assessment of transitional costs included in the Council’s LGR proposals.</w:t>
            </w:r>
          </w:p>
          <w:p w14:paraId="20FADF71" w14:textId="77777777" w:rsidR="00D601D5" w:rsidRDefault="00D601D5" w:rsidP="00D5019B">
            <w:pPr>
              <w:numPr>
                <w:ilvl w:val="0"/>
                <w:numId w:val="19"/>
              </w:numPr>
              <w:rPr>
                <w:rFonts w:ascii="Arial" w:hAnsi="Arial" w:cs="Arial"/>
                <w:sz w:val="22"/>
              </w:rPr>
            </w:pPr>
            <w:r>
              <w:rPr>
                <w:rFonts w:ascii="Arial" w:hAnsi="Arial" w:cs="Arial"/>
                <w:sz w:val="22"/>
              </w:rPr>
              <w:t>Continue to work with other Lincolnshire authorities on development of transitional plan ahead of formal LGR announcement.</w:t>
            </w:r>
          </w:p>
          <w:p w14:paraId="535AB8DB" w14:textId="77777777" w:rsidR="00D601D5" w:rsidRDefault="00D601D5" w:rsidP="00D5019B">
            <w:pPr>
              <w:numPr>
                <w:ilvl w:val="0"/>
                <w:numId w:val="19"/>
              </w:numPr>
              <w:rPr>
                <w:rFonts w:ascii="Arial" w:hAnsi="Arial" w:cs="Arial"/>
                <w:sz w:val="22"/>
              </w:rPr>
            </w:pPr>
            <w:r>
              <w:rPr>
                <w:rFonts w:ascii="Arial" w:hAnsi="Arial" w:cs="Arial"/>
                <w:sz w:val="22"/>
              </w:rPr>
              <w:t>Review of Vision 2030 scheme in light of capacity requirements.</w:t>
            </w:r>
          </w:p>
          <w:p w14:paraId="5A729C59" w14:textId="77777777" w:rsidR="00D601D5" w:rsidRDefault="00D601D5" w:rsidP="00D5019B">
            <w:pPr>
              <w:numPr>
                <w:ilvl w:val="0"/>
                <w:numId w:val="19"/>
              </w:numPr>
              <w:rPr>
                <w:rFonts w:ascii="Arial" w:hAnsi="Arial" w:cs="Arial"/>
                <w:sz w:val="22"/>
              </w:rPr>
            </w:pPr>
            <w:r>
              <w:rPr>
                <w:rFonts w:ascii="Arial" w:hAnsi="Arial" w:cs="Arial"/>
                <w:sz w:val="22"/>
              </w:rPr>
              <w:t>Requirement for key Executive decisions to consider implications for LGR.</w:t>
            </w:r>
          </w:p>
          <w:p w14:paraId="79E4E6A8" w14:textId="77777777" w:rsidR="00D601D5" w:rsidRDefault="00D601D5" w:rsidP="00D5019B">
            <w:pPr>
              <w:numPr>
                <w:ilvl w:val="0"/>
                <w:numId w:val="19"/>
              </w:numPr>
              <w:rPr>
                <w:rFonts w:ascii="Arial" w:hAnsi="Arial" w:cs="Arial"/>
                <w:sz w:val="22"/>
              </w:rPr>
            </w:pPr>
            <w:r>
              <w:rPr>
                <w:rFonts w:ascii="Arial" w:hAnsi="Arial" w:cs="Arial"/>
                <w:sz w:val="22"/>
              </w:rPr>
              <w:t>Initial review of programme management resources to be undertaken in early 2026</w:t>
            </w:r>
          </w:p>
        </w:tc>
      </w:tr>
      <w:tr w:rsidR="00E94C11" w:rsidRPr="005C6861" w14:paraId="7B330DB2" w14:textId="77777777" w:rsidTr="00AF115F">
        <w:trPr>
          <w:tblHeader/>
        </w:trPr>
        <w:tc>
          <w:tcPr>
            <w:tcW w:w="693" w:type="dxa"/>
          </w:tcPr>
          <w:p w14:paraId="0064EDEC" w14:textId="1539BD25" w:rsidR="001F163B" w:rsidRPr="000A13A9" w:rsidRDefault="00AF3DCD" w:rsidP="00776114">
            <w:pPr>
              <w:rPr>
                <w:rFonts w:ascii="Arial" w:hAnsi="Arial" w:cs="Arial"/>
                <w:sz w:val="22"/>
                <w:szCs w:val="22"/>
              </w:rPr>
            </w:pPr>
            <w:r>
              <w:rPr>
                <w:rFonts w:ascii="Arial" w:hAnsi="Arial" w:cs="Arial"/>
                <w:sz w:val="22"/>
                <w:szCs w:val="22"/>
              </w:rPr>
              <w:t>2</w:t>
            </w:r>
          </w:p>
        </w:tc>
        <w:tc>
          <w:tcPr>
            <w:tcW w:w="2108" w:type="dxa"/>
          </w:tcPr>
          <w:p w14:paraId="3B083107" w14:textId="77777777" w:rsidR="001F163B" w:rsidRPr="000A13A9" w:rsidRDefault="001F163B" w:rsidP="00776114">
            <w:pPr>
              <w:rPr>
                <w:rFonts w:ascii="Arial" w:hAnsi="Arial" w:cs="Arial"/>
                <w:sz w:val="22"/>
                <w:szCs w:val="22"/>
              </w:rPr>
            </w:pPr>
            <w:r w:rsidRPr="40AEEB4D">
              <w:rPr>
                <w:rFonts w:ascii="Arial" w:hAnsi="Arial" w:cs="Arial"/>
                <w:sz w:val="22"/>
                <w:szCs w:val="22"/>
              </w:rPr>
              <w:t>Capital Expenditure</w:t>
            </w:r>
          </w:p>
        </w:tc>
        <w:tc>
          <w:tcPr>
            <w:tcW w:w="3420" w:type="dxa"/>
          </w:tcPr>
          <w:p w14:paraId="444DBF86" w14:textId="20C9C4FA" w:rsidR="001F163B" w:rsidRPr="000A13A9" w:rsidRDefault="00AB061D" w:rsidP="00776114">
            <w:pPr>
              <w:rPr>
                <w:rFonts w:ascii="Arial" w:hAnsi="Arial" w:cs="Arial"/>
                <w:sz w:val="22"/>
                <w:szCs w:val="22"/>
              </w:rPr>
            </w:pPr>
            <w:r w:rsidRPr="40AEEB4D">
              <w:rPr>
                <w:rFonts w:ascii="Arial" w:hAnsi="Arial" w:cs="Arial"/>
                <w:sz w:val="22"/>
                <w:szCs w:val="22"/>
              </w:rPr>
              <w:t>Project s</w:t>
            </w:r>
            <w:r w:rsidR="001F163B" w:rsidRPr="40AEEB4D">
              <w:rPr>
                <w:rFonts w:ascii="Arial" w:hAnsi="Arial" w:cs="Arial"/>
                <w:sz w:val="22"/>
                <w:szCs w:val="22"/>
              </w:rPr>
              <w:t>lippage</w:t>
            </w:r>
          </w:p>
          <w:p w14:paraId="75B941B5" w14:textId="77777777" w:rsidR="001F163B" w:rsidRPr="000A13A9" w:rsidRDefault="001F163B" w:rsidP="00776114">
            <w:pPr>
              <w:rPr>
                <w:rFonts w:ascii="Arial" w:hAnsi="Arial" w:cs="Arial"/>
                <w:sz w:val="22"/>
                <w:szCs w:val="22"/>
              </w:rPr>
            </w:pPr>
          </w:p>
          <w:p w14:paraId="1F378049" w14:textId="603A2C99" w:rsidR="001F163B" w:rsidRPr="000A13A9" w:rsidRDefault="001F163B" w:rsidP="00776114">
            <w:pPr>
              <w:rPr>
                <w:rFonts w:ascii="Arial" w:hAnsi="Arial" w:cs="Arial"/>
                <w:sz w:val="22"/>
                <w:szCs w:val="22"/>
              </w:rPr>
            </w:pPr>
            <w:r w:rsidRPr="40AEEB4D">
              <w:rPr>
                <w:rFonts w:ascii="Arial" w:hAnsi="Arial" w:cs="Arial"/>
                <w:sz w:val="22"/>
                <w:szCs w:val="22"/>
              </w:rPr>
              <w:t>Inflationary</w:t>
            </w:r>
            <w:r w:rsidR="00FE01E8" w:rsidRPr="40AEEB4D">
              <w:rPr>
                <w:rFonts w:ascii="Arial" w:hAnsi="Arial" w:cs="Arial"/>
                <w:sz w:val="22"/>
                <w:szCs w:val="22"/>
              </w:rPr>
              <w:t xml:space="preserve"> </w:t>
            </w:r>
            <w:r w:rsidR="009D6D60">
              <w:rPr>
                <w:rFonts w:ascii="Arial" w:hAnsi="Arial" w:cs="Arial"/>
                <w:sz w:val="22"/>
                <w:szCs w:val="22"/>
              </w:rPr>
              <w:t xml:space="preserve">and </w:t>
            </w:r>
            <w:r w:rsidR="00514124" w:rsidRPr="40AEEB4D">
              <w:rPr>
                <w:rFonts w:ascii="Arial" w:hAnsi="Arial" w:cs="Arial"/>
                <w:sz w:val="22"/>
                <w:szCs w:val="22"/>
              </w:rPr>
              <w:t>increased costs</w:t>
            </w:r>
            <w:r w:rsidR="00AB061D" w:rsidRPr="40AEEB4D">
              <w:rPr>
                <w:rFonts w:ascii="Arial" w:hAnsi="Arial" w:cs="Arial"/>
                <w:sz w:val="22"/>
                <w:szCs w:val="22"/>
              </w:rPr>
              <w:t xml:space="preserve"> </w:t>
            </w:r>
            <w:r w:rsidR="009D6D60">
              <w:rPr>
                <w:rFonts w:ascii="Arial" w:hAnsi="Arial" w:cs="Arial"/>
                <w:sz w:val="22"/>
                <w:szCs w:val="22"/>
              </w:rPr>
              <w:t xml:space="preserve">of </w:t>
            </w:r>
            <w:r w:rsidR="00AB061D" w:rsidRPr="40AEEB4D">
              <w:rPr>
                <w:rFonts w:ascii="Arial" w:hAnsi="Arial" w:cs="Arial"/>
                <w:sz w:val="22"/>
                <w:szCs w:val="22"/>
              </w:rPr>
              <w:t xml:space="preserve">materials and labour </w:t>
            </w:r>
          </w:p>
          <w:p w14:paraId="2F414650" w14:textId="77777777" w:rsidR="001F163B" w:rsidRPr="000A13A9" w:rsidRDefault="001F163B" w:rsidP="00776114">
            <w:pPr>
              <w:rPr>
                <w:rFonts w:ascii="Arial" w:hAnsi="Arial" w:cs="Arial"/>
                <w:sz w:val="22"/>
                <w:szCs w:val="22"/>
              </w:rPr>
            </w:pPr>
          </w:p>
          <w:p w14:paraId="76334413" w14:textId="77777777" w:rsidR="001F163B" w:rsidRDefault="001F163B" w:rsidP="00776114">
            <w:pPr>
              <w:rPr>
                <w:rFonts w:ascii="Arial" w:hAnsi="Arial" w:cs="Arial"/>
                <w:sz w:val="22"/>
                <w:szCs w:val="22"/>
              </w:rPr>
            </w:pPr>
            <w:r w:rsidRPr="40AEEB4D">
              <w:rPr>
                <w:rFonts w:ascii="Arial" w:hAnsi="Arial" w:cs="Arial"/>
                <w:sz w:val="22"/>
                <w:szCs w:val="22"/>
              </w:rPr>
              <w:t>Failure of contractor i.e. contractor goes into liquidation.</w:t>
            </w:r>
          </w:p>
          <w:p w14:paraId="0C0B7F69" w14:textId="77777777" w:rsidR="00A85F40" w:rsidRDefault="00A85F40" w:rsidP="00776114">
            <w:pPr>
              <w:rPr>
                <w:rFonts w:ascii="Arial" w:hAnsi="Arial" w:cs="Arial"/>
                <w:sz w:val="22"/>
                <w:szCs w:val="22"/>
              </w:rPr>
            </w:pPr>
          </w:p>
          <w:p w14:paraId="5F525438" w14:textId="77E763D6" w:rsidR="00A85F40" w:rsidRPr="000A13A9" w:rsidRDefault="00A85F40" w:rsidP="00776114">
            <w:pPr>
              <w:rPr>
                <w:rFonts w:ascii="Arial" w:hAnsi="Arial" w:cs="Arial"/>
                <w:sz w:val="22"/>
                <w:szCs w:val="22"/>
              </w:rPr>
            </w:pPr>
            <w:r>
              <w:rPr>
                <w:rFonts w:ascii="Arial" w:hAnsi="Arial" w:cs="Arial"/>
                <w:sz w:val="22"/>
                <w:szCs w:val="22"/>
              </w:rPr>
              <w:t>Unforeseen issues during project delivery</w:t>
            </w:r>
          </w:p>
          <w:p w14:paraId="5455D317" w14:textId="77777777" w:rsidR="001F163B" w:rsidRPr="000A13A9" w:rsidRDefault="001F163B" w:rsidP="00776114">
            <w:pPr>
              <w:rPr>
                <w:rFonts w:ascii="Arial" w:hAnsi="Arial" w:cs="Arial"/>
              </w:rPr>
            </w:pPr>
          </w:p>
          <w:p w14:paraId="7B900879" w14:textId="77777777" w:rsidR="001F163B" w:rsidRPr="000A13A9" w:rsidRDefault="001F163B" w:rsidP="00776114">
            <w:pPr>
              <w:rPr>
                <w:rFonts w:ascii="Arial" w:hAnsi="Arial" w:cs="Arial"/>
              </w:rPr>
            </w:pPr>
            <w:r w:rsidRPr="40AEEB4D">
              <w:rPr>
                <w:rFonts w:ascii="Arial" w:hAnsi="Arial" w:cs="Arial"/>
                <w:sz w:val="22"/>
                <w:szCs w:val="22"/>
              </w:rPr>
              <w:t>Achieving levels of projected costs in the HRA Business plan</w:t>
            </w:r>
          </w:p>
          <w:p w14:paraId="5FA1F21B" w14:textId="77777777" w:rsidR="001F163B" w:rsidRPr="000A13A9" w:rsidRDefault="001F163B" w:rsidP="00776114">
            <w:pPr>
              <w:rPr>
                <w:rFonts w:ascii="Arial" w:hAnsi="Arial" w:cs="Arial"/>
                <w:sz w:val="22"/>
                <w:szCs w:val="22"/>
              </w:rPr>
            </w:pPr>
          </w:p>
        </w:tc>
        <w:tc>
          <w:tcPr>
            <w:tcW w:w="1980" w:type="dxa"/>
            <w:tcBorders>
              <w:bottom w:val="single" w:sz="4" w:space="0" w:color="auto"/>
            </w:tcBorders>
            <w:shd w:val="clear" w:color="auto" w:fill="EE0000"/>
          </w:tcPr>
          <w:p w14:paraId="3AA0A393" w14:textId="77777777" w:rsidR="00D75525" w:rsidRPr="000A13A9" w:rsidRDefault="00D75525" w:rsidP="00776114">
            <w:pPr>
              <w:jc w:val="center"/>
              <w:rPr>
                <w:rFonts w:ascii="Arial" w:hAnsi="Arial" w:cs="Arial"/>
                <w:b/>
                <w:sz w:val="22"/>
                <w:szCs w:val="22"/>
              </w:rPr>
            </w:pPr>
          </w:p>
          <w:p w14:paraId="62D1E23A" w14:textId="57049F1E" w:rsidR="001F163B" w:rsidRPr="000A13A9" w:rsidRDefault="001F163B" w:rsidP="00776114">
            <w:pPr>
              <w:jc w:val="center"/>
              <w:rPr>
                <w:rFonts w:ascii="Arial" w:hAnsi="Arial" w:cs="Arial"/>
                <w:b/>
                <w:sz w:val="22"/>
                <w:szCs w:val="22"/>
              </w:rPr>
            </w:pPr>
            <w:r w:rsidRPr="40AEEB4D">
              <w:rPr>
                <w:rFonts w:ascii="Arial" w:hAnsi="Arial" w:cs="Arial"/>
                <w:b/>
                <w:sz w:val="22"/>
                <w:szCs w:val="22"/>
              </w:rPr>
              <w:t xml:space="preserve">Total Score: </w:t>
            </w:r>
            <w:r w:rsidR="00AF115F">
              <w:rPr>
                <w:rFonts w:ascii="Arial" w:hAnsi="Arial" w:cs="Arial"/>
                <w:b/>
                <w:sz w:val="22"/>
                <w:szCs w:val="22"/>
              </w:rPr>
              <w:t>12</w:t>
            </w:r>
          </w:p>
          <w:p w14:paraId="28E0C4E8" w14:textId="77777777" w:rsidR="001F163B" w:rsidRPr="000A13A9" w:rsidRDefault="001F163B" w:rsidP="00776114">
            <w:pPr>
              <w:jc w:val="center"/>
              <w:rPr>
                <w:rFonts w:ascii="Arial" w:hAnsi="Arial" w:cs="Arial"/>
                <w:sz w:val="22"/>
                <w:szCs w:val="22"/>
              </w:rPr>
            </w:pPr>
          </w:p>
          <w:p w14:paraId="51EEB918" w14:textId="6B4479BB" w:rsidR="001F163B" w:rsidRPr="000A13A9" w:rsidRDefault="001F163B" w:rsidP="00776114">
            <w:pPr>
              <w:jc w:val="center"/>
              <w:rPr>
                <w:rFonts w:ascii="Arial" w:hAnsi="Arial" w:cs="Arial"/>
                <w:sz w:val="22"/>
                <w:szCs w:val="22"/>
              </w:rPr>
            </w:pPr>
            <w:r w:rsidRPr="40AEEB4D">
              <w:rPr>
                <w:rFonts w:ascii="Arial" w:hAnsi="Arial" w:cs="Arial"/>
                <w:sz w:val="22"/>
                <w:szCs w:val="22"/>
              </w:rPr>
              <w:t xml:space="preserve">Likelihood: </w:t>
            </w:r>
            <w:r w:rsidR="00737F60" w:rsidRPr="40AEEB4D">
              <w:rPr>
                <w:rFonts w:ascii="Arial" w:hAnsi="Arial" w:cs="Arial"/>
                <w:sz w:val="22"/>
                <w:szCs w:val="22"/>
              </w:rPr>
              <w:t>3</w:t>
            </w:r>
          </w:p>
          <w:p w14:paraId="4E3FAC21" w14:textId="5B288667" w:rsidR="001F163B" w:rsidRPr="000A13A9" w:rsidRDefault="001F163B" w:rsidP="00776114">
            <w:pPr>
              <w:jc w:val="center"/>
              <w:rPr>
                <w:rFonts w:ascii="Arial" w:hAnsi="Arial" w:cs="Arial"/>
              </w:rPr>
            </w:pPr>
            <w:r w:rsidRPr="40AEEB4D">
              <w:rPr>
                <w:rFonts w:ascii="Arial" w:hAnsi="Arial" w:cs="Arial"/>
                <w:sz w:val="22"/>
                <w:szCs w:val="22"/>
              </w:rPr>
              <w:t xml:space="preserve">Impact: </w:t>
            </w:r>
            <w:r w:rsidR="00AF115F">
              <w:rPr>
                <w:rFonts w:ascii="Arial" w:hAnsi="Arial" w:cs="Arial"/>
                <w:sz w:val="22"/>
                <w:szCs w:val="22"/>
              </w:rPr>
              <w:t>4</w:t>
            </w:r>
          </w:p>
        </w:tc>
        <w:tc>
          <w:tcPr>
            <w:tcW w:w="1926" w:type="dxa"/>
            <w:tcBorders>
              <w:bottom w:val="single" w:sz="4" w:space="0" w:color="auto"/>
            </w:tcBorders>
            <w:shd w:val="clear" w:color="auto" w:fill="EE0000"/>
          </w:tcPr>
          <w:p w14:paraId="5E491A9B" w14:textId="77777777" w:rsidR="00D75525" w:rsidRPr="000A13A9" w:rsidRDefault="00D75525" w:rsidP="00776114">
            <w:pPr>
              <w:jc w:val="center"/>
              <w:rPr>
                <w:rFonts w:ascii="Arial" w:hAnsi="Arial" w:cs="Arial"/>
                <w:b/>
                <w:sz w:val="22"/>
                <w:szCs w:val="22"/>
              </w:rPr>
            </w:pPr>
          </w:p>
          <w:p w14:paraId="7BBB42BB" w14:textId="047F9511" w:rsidR="001F163B" w:rsidRPr="000A13A9" w:rsidRDefault="001F163B" w:rsidP="00776114">
            <w:pPr>
              <w:jc w:val="center"/>
              <w:rPr>
                <w:rFonts w:ascii="Arial" w:hAnsi="Arial" w:cs="Arial"/>
                <w:b/>
                <w:sz w:val="22"/>
                <w:szCs w:val="22"/>
              </w:rPr>
            </w:pPr>
            <w:r w:rsidRPr="40AEEB4D">
              <w:rPr>
                <w:rFonts w:ascii="Arial" w:hAnsi="Arial" w:cs="Arial"/>
                <w:b/>
                <w:sz w:val="22"/>
                <w:szCs w:val="22"/>
              </w:rPr>
              <w:t xml:space="preserve">Total Score: </w:t>
            </w:r>
            <w:r w:rsidR="00AF115F">
              <w:rPr>
                <w:rFonts w:ascii="Arial" w:hAnsi="Arial" w:cs="Arial"/>
                <w:b/>
                <w:sz w:val="22"/>
                <w:szCs w:val="22"/>
              </w:rPr>
              <w:t>12</w:t>
            </w:r>
          </w:p>
          <w:p w14:paraId="59FBEA7B" w14:textId="77777777" w:rsidR="001F163B" w:rsidRPr="000A13A9" w:rsidRDefault="001F163B" w:rsidP="00776114">
            <w:pPr>
              <w:jc w:val="center"/>
              <w:rPr>
                <w:rFonts w:ascii="Arial" w:hAnsi="Arial" w:cs="Arial"/>
                <w:sz w:val="22"/>
                <w:szCs w:val="22"/>
              </w:rPr>
            </w:pPr>
          </w:p>
          <w:p w14:paraId="305F55EA" w14:textId="18D08F43" w:rsidR="001F163B" w:rsidRPr="000A13A9" w:rsidRDefault="001F163B" w:rsidP="00776114">
            <w:pPr>
              <w:jc w:val="center"/>
              <w:rPr>
                <w:rFonts w:ascii="Arial" w:hAnsi="Arial" w:cs="Arial"/>
                <w:sz w:val="22"/>
                <w:szCs w:val="22"/>
              </w:rPr>
            </w:pPr>
            <w:r w:rsidRPr="40AEEB4D">
              <w:rPr>
                <w:rFonts w:ascii="Arial" w:hAnsi="Arial" w:cs="Arial"/>
                <w:sz w:val="22"/>
                <w:szCs w:val="22"/>
              </w:rPr>
              <w:t xml:space="preserve">Likelihood: </w:t>
            </w:r>
            <w:r w:rsidR="00737F60" w:rsidRPr="40AEEB4D">
              <w:rPr>
                <w:rFonts w:ascii="Arial" w:hAnsi="Arial" w:cs="Arial"/>
                <w:sz w:val="22"/>
                <w:szCs w:val="22"/>
              </w:rPr>
              <w:t>3</w:t>
            </w:r>
          </w:p>
          <w:p w14:paraId="546FB4B1" w14:textId="5FB81CC5" w:rsidR="001F163B" w:rsidRPr="000A13A9" w:rsidRDefault="001F163B" w:rsidP="00776114">
            <w:pPr>
              <w:jc w:val="center"/>
              <w:rPr>
                <w:rFonts w:ascii="Arial" w:hAnsi="Arial" w:cs="Arial"/>
              </w:rPr>
            </w:pPr>
            <w:r w:rsidRPr="40AEEB4D">
              <w:rPr>
                <w:rFonts w:ascii="Arial" w:hAnsi="Arial" w:cs="Arial"/>
                <w:sz w:val="22"/>
                <w:szCs w:val="22"/>
              </w:rPr>
              <w:t xml:space="preserve">Impact: </w:t>
            </w:r>
            <w:r w:rsidR="00AF115F">
              <w:rPr>
                <w:rFonts w:ascii="Arial" w:hAnsi="Arial" w:cs="Arial"/>
                <w:sz w:val="22"/>
                <w:szCs w:val="22"/>
              </w:rPr>
              <w:t>4</w:t>
            </w:r>
          </w:p>
        </w:tc>
        <w:tc>
          <w:tcPr>
            <w:tcW w:w="5276" w:type="dxa"/>
          </w:tcPr>
          <w:p w14:paraId="5C73DD77" w14:textId="3ADDF92A" w:rsidR="001F163B" w:rsidRPr="000A13A9" w:rsidRDefault="001F163B" w:rsidP="00CF25BB">
            <w:pPr>
              <w:numPr>
                <w:ilvl w:val="0"/>
                <w:numId w:val="8"/>
              </w:numPr>
              <w:rPr>
                <w:rFonts w:ascii="Arial" w:hAnsi="Arial" w:cs="Arial"/>
                <w:sz w:val="22"/>
                <w:szCs w:val="22"/>
              </w:rPr>
            </w:pPr>
            <w:r w:rsidRPr="40AEEB4D">
              <w:rPr>
                <w:rFonts w:ascii="Arial" w:hAnsi="Arial" w:cs="Arial"/>
                <w:sz w:val="22"/>
                <w:szCs w:val="22"/>
              </w:rPr>
              <w:t xml:space="preserve">Regular budget monitoring and reporting to </w:t>
            </w:r>
            <w:r w:rsidR="005D2609" w:rsidRPr="40AEEB4D">
              <w:rPr>
                <w:rFonts w:ascii="Arial" w:hAnsi="Arial" w:cs="Arial"/>
                <w:sz w:val="22"/>
                <w:szCs w:val="22"/>
              </w:rPr>
              <w:t>Project Boards, DMT’s and CMT.</w:t>
            </w:r>
          </w:p>
          <w:p w14:paraId="6403FF09" w14:textId="77777777" w:rsidR="001F163B" w:rsidRPr="000A13A9" w:rsidRDefault="001F163B" w:rsidP="00CF25BB">
            <w:pPr>
              <w:numPr>
                <w:ilvl w:val="0"/>
                <w:numId w:val="8"/>
              </w:numPr>
              <w:rPr>
                <w:rFonts w:ascii="Arial" w:hAnsi="Arial" w:cs="Arial"/>
                <w:sz w:val="22"/>
                <w:szCs w:val="22"/>
              </w:rPr>
            </w:pPr>
            <w:r w:rsidRPr="40AEEB4D">
              <w:rPr>
                <w:rFonts w:ascii="Arial" w:hAnsi="Arial" w:cs="Arial"/>
                <w:sz w:val="22"/>
                <w:szCs w:val="22"/>
              </w:rPr>
              <w:t>Ensure correct project management procedures followed (Lincoln Model)</w:t>
            </w:r>
          </w:p>
          <w:p w14:paraId="085BF030" w14:textId="77777777" w:rsidR="001F163B" w:rsidRPr="000A13A9" w:rsidRDefault="001F163B" w:rsidP="00CF25BB">
            <w:pPr>
              <w:numPr>
                <w:ilvl w:val="0"/>
                <w:numId w:val="8"/>
              </w:numPr>
              <w:rPr>
                <w:rFonts w:ascii="Arial" w:hAnsi="Arial" w:cs="Arial"/>
                <w:sz w:val="22"/>
                <w:szCs w:val="22"/>
              </w:rPr>
            </w:pPr>
            <w:r w:rsidRPr="40AEEB4D">
              <w:rPr>
                <w:rFonts w:ascii="Arial" w:hAnsi="Arial" w:cs="Arial"/>
                <w:sz w:val="22"/>
                <w:szCs w:val="22"/>
              </w:rPr>
              <w:t>Quarterly budget monitoring and reporting to Performance Scrutiny and the Executive</w:t>
            </w:r>
          </w:p>
          <w:p w14:paraId="4A1A14D7" w14:textId="77777777" w:rsidR="001F163B" w:rsidRPr="000A13A9" w:rsidRDefault="001F163B" w:rsidP="00CF25BB">
            <w:pPr>
              <w:numPr>
                <w:ilvl w:val="0"/>
                <w:numId w:val="8"/>
              </w:numPr>
              <w:rPr>
                <w:rFonts w:ascii="Arial" w:hAnsi="Arial" w:cs="Arial"/>
                <w:sz w:val="22"/>
                <w:szCs w:val="22"/>
              </w:rPr>
            </w:pPr>
            <w:r w:rsidRPr="40AEEB4D">
              <w:rPr>
                <w:rFonts w:ascii="Arial" w:hAnsi="Arial" w:cs="Arial"/>
                <w:sz w:val="22"/>
                <w:szCs w:val="22"/>
              </w:rPr>
              <w:t>Financial procedure rules are followed, including financially vetting of all contractors</w:t>
            </w:r>
          </w:p>
          <w:p w14:paraId="659E46CF" w14:textId="17576A9B" w:rsidR="001F163B" w:rsidRPr="000A13A9" w:rsidRDefault="001F163B" w:rsidP="00CF25BB">
            <w:pPr>
              <w:numPr>
                <w:ilvl w:val="0"/>
                <w:numId w:val="8"/>
              </w:numPr>
              <w:rPr>
                <w:rFonts w:ascii="Arial" w:hAnsi="Arial" w:cs="Arial"/>
                <w:sz w:val="22"/>
                <w:szCs w:val="22"/>
              </w:rPr>
            </w:pPr>
            <w:r w:rsidRPr="40AEEB4D">
              <w:rPr>
                <w:rFonts w:ascii="Arial" w:hAnsi="Arial" w:cs="Arial"/>
                <w:sz w:val="22"/>
                <w:szCs w:val="22"/>
              </w:rPr>
              <w:t xml:space="preserve">Use of collaborative contracts/framework agreements where possible e.g. </w:t>
            </w:r>
            <w:r w:rsidR="005D2609" w:rsidRPr="40AEEB4D">
              <w:rPr>
                <w:rFonts w:ascii="Arial" w:hAnsi="Arial" w:cs="Arial"/>
                <w:sz w:val="22"/>
                <w:szCs w:val="22"/>
              </w:rPr>
              <w:t>Pagabo</w:t>
            </w:r>
          </w:p>
          <w:p w14:paraId="040F50B7" w14:textId="77777777" w:rsidR="001F163B" w:rsidRPr="000A13A9" w:rsidRDefault="001F163B" w:rsidP="00CF25BB">
            <w:pPr>
              <w:numPr>
                <w:ilvl w:val="0"/>
                <w:numId w:val="8"/>
              </w:numPr>
              <w:rPr>
                <w:rFonts w:ascii="Arial" w:hAnsi="Arial" w:cs="Arial"/>
                <w:sz w:val="22"/>
                <w:szCs w:val="22"/>
              </w:rPr>
            </w:pPr>
            <w:r w:rsidRPr="40AEEB4D">
              <w:rPr>
                <w:rFonts w:ascii="Arial" w:hAnsi="Arial" w:cs="Arial"/>
                <w:sz w:val="22"/>
                <w:szCs w:val="22"/>
              </w:rPr>
              <w:t>Support from Procurement engaged at an early stage</w:t>
            </w:r>
          </w:p>
          <w:p w14:paraId="5A9823F7" w14:textId="77777777" w:rsidR="001F163B" w:rsidRPr="000A13A9" w:rsidRDefault="001F163B" w:rsidP="00CF25BB">
            <w:pPr>
              <w:numPr>
                <w:ilvl w:val="0"/>
                <w:numId w:val="8"/>
              </w:numPr>
              <w:rPr>
                <w:rFonts w:ascii="Arial" w:hAnsi="Arial" w:cs="Arial"/>
                <w:sz w:val="22"/>
                <w:szCs w:val="22"/>
              </w:rPr>
            </w:pPr>
            <w:r w:rsidRPr="40AEEB4D">
              <w:rPr>
                <w:rFonts w:ascii="Arial" w:hAnsi="Arial" w:cs="Arial"/>
                <w:sz w:val="22"/>
                <w:szCs w:val="22"/>
              </w:rPr>
              <w:t>Carry out post implementation reviews</w:t>
            </w:r>
          </w:p>
          <w:p w14:paraId="19A8B05F" w14:textId="10D7EB17" w:rsidR="001F163B" w:rsidRPr="000A13A9" w:rsidRDefault="001F163B" w:rsidP="00CF25BB">
            <w:pPr>
              <w:numPr>
                <w:ilvl w:val="0"/>
                <w:numId w:val="8"/>
              </w:numPr>
              <w:rPr>
                <w:rFonts w:ascii="Arial" w:hAnsi="Arial" w:cs="Arial"/>
                <w:sz w:val="22"/>
                <w:szCs w:val="22"/>
              </w:rPr>
            </w:pPr>
            <w:r w:rsidRPr="40AEEB4D">
              <w:rPr>
                <w:rFonts w:ascii="Arial" w:hAnsi="Arial" w:cs="Arial"/>
                <w:sz w:val="22"/>
                <w:szCs w:val="22"/>
              </w:rPr>
              <w:t>Ensure risk assessments completed for all significant schemes before commencing</w:t>
            </w:r>
            <w:r w:rsidR="00013A5E" w:rsidRPr="40AEEB4D">
              <w:rPr>
                <w:rFonts w:ascii="Arial" w:hAnsi="Arial" w:cs="Arial"/>
                <w:sz w:val="22"/>
                <w:szCs w:val="22"/>
              </w:rPr>
              <w:t xml:space="preserve"> and regularly updated</w:t>
            </w:r>
          </w:p>
          <w:p w14:paraId="7782E6BA" w14:textId="77777777" w:rsidR="001F163B" w:rsidRPr="000A13A9" w:rsidRDefault="001F163B" w:rsidP="00CF25BB">
            <w:pPr>
              <w:numPr>
                <w:ilvl w:val="0"/>
                <w:numId w:val="8"/>
              </w:numPr>
              <w:rPr>
                <w:rFonts w:ascii="Arial" w:hAnsi="Arial" w:cs="Arial"/>
                <w:sz w:val="22"/>
                <w:szCs w:val="22"/>
              </w:rPr>
            </w:pPr>
            <w:r w:rsidRPr="40AEEB4D">
              <w:rPr>
                <w:rFonts w:ascii="Arial" w:hAnsi="Arial" w:cs="Arial"/>
                <w:sz w:val="22"/>
                <w:szCs w:val="22"/>
              </w:rPr>
              <w:t xml:space="preserve">Value engineering used to contain project costs </w:t>
            </w:r>
          </w:p>
          <w:p w14:paraId="73DA72F1" w14:textId="77777777" w:rsidR="001F163B" w:rsidRPr="000A13A9" w:rsidRDefault="001F163B" w:rsidP="00CF25BB">
            <w:pPr>
              <w:numPr>
                <w:ilvl w:val="0"/>
                <w:numId w:val="8"/>
              </w:numPr>
              <w:rPr>
                <w:rFonts w:ascii="Arial" w:hAnsi="Arial" w:cs="Arial"/>
                <w:sz w:val="22"/>
                <w:szCs w:val="22"/>
              </w:rPr>
            </w:pPr>
            <w:r w:rsidRPr="40AEEB4D">
              <w:rPr>
                <w:rFonts w:ascii="Arial" w:hAnsi="Arial" w:cs="Arial"/>
                <w:sz w:val="22"/>
                <w:szCs w:val="22"/>
              </w:rPr>
              <w:t>Cost estimates obtained ahead of procurement exercises.</w:t>
            </w:r>
          </w:p>
          <w:p w14:paraId="1E786DAE" w14:textId="214E6FB0" w:rsidR="001F163B" w:rsidRPr="000A13A9" w:rsidRDefault="001F163B" w:rsidP="00CF25BB">
            <w:pPr>
              <w:numPr>
                <w:ilvl w:val="0"/>
                <w:numId w:val="8"/>
              </w:numPr>
              <w:rPr>
                <w:rFonts w:ascii="Arial" w:hAnsi="Arial" w:cs="Arial"/>
                <w:sz w:val="22"/>
                <w:szCs w:val="22"/>
              </w:rPr>
            </w:pPr>
            <w:r w:rsidRPr="40AEEB4D">
              <w:rPr>
                <w:rFonts w:ascii="Arial" w:hAnsi="Arial" w:cs="Arial"/>
                <w:sz w:val="22"/>
                <w:szCs w:val="22"/>
              </w:rPr>
              <w:t>Consideration of Fixed Price Contracts and/or Risk Sharing</w:t>
            </w:r>
            <w:r w:rsidR="00516547">
              <w:rPr>
                <w:rFonts w:ascii="Arial" w:hAnsi="Arial" w:cs="Arial"/>
                <w:sz w:val="22"/>
                <w:szCs w:val="22"/>
              </w:rPr>
              <w:t xml:space="preserve"> with sufficient contingencies</w:t>
            </w:r>
          </w:p>
          <w:p w14:paraId="0D1475DE" w14:textId="77777777" w:rsidR="001F163B" w:rsidRPr="000A13A9" w:rsidRDefault="001F163B" w:rsidP="00CF25BB">
            <w:pPr>
              <w:numPr>
                <w:ilvl w:val="0"/>
                <w:numId w:val="8"/>
              </w:numPr>
              <w:rPr>
                <w:rFonts w:ascii="Arial" w:hAnsi="Arial" w:cs="Arial"/>
                <w:sz w:val="22"/>
                <w:szCs w:val="22"/>
              </w:rPr>
            </w:pPr>
            <w:r w:rsidRPr="40AEEB4D">
              <w:rPr>
                <w:rFonts w:ascii="Arial" w:hAnsi="Arial" w:cs="Arial"/>
                <w:sz w:val="22"/>
                <w:szCs w:val="22"/>
              </w:rPr>
              <w:t>Consideration of alternative/cheaper materials</w:t>
            </w:r>
          </w:p>
          <w:p w14:paraId="114C6D9A" w14:textId="77777777" w:rsidR="005D2609" w:rsidRPr="000A13A9" w:rsidRDefault="001F163B" w:rsidP="00CF25BB">
            <w:pPr>
              <w:numPr>
                <w:ilvl w:val="0"/>
                <w:numId w:val="8"/>
              </w:numPr>
              <w:rPr>
                <w:rFonts w:ascii="Arial" w:hAnsi="Arial" w:cs="Arial"/>
                <w:sz w:val="22"/>
                <w:szCs w:val="22"/>
              </w:rPr>
            </w:pPr>
            <w:r w:rsidRPr="40AEEB4D">
              <w:rPr>
                <w:rFonts w:ascii="Arial" w:hAnsi="Arial" w:cs="Arial"/>
                <w:sz w:val="22"/>
                <w:szCs w:val="22"/>
              </w:rPr>
              <w:t>PGC’s/Bonds to be obtained on key contracts</w:t>
            </w:r>
          </w:p>
          <w:p w14:paraId="23D309BD" w14:textId="72296AAE" w:rsidR="005D2609" w:rsidRPr="000A13A9" w:rsidRDefault="005D2609" w:rsidP="00CF25BB">
            <w:pPr>
              <w:numPr>
                <w:ilvl w:val="0"/>
                <w:numId w:val="8"/>
              </w:numPr>
              <w:rPr>
                <w:rFonts w:ascii="Arial" w:hAnsi="Arial" w:cs="Arial"/>
                <w:sz w:val="22"/>
                <w:szCs w:val="22"/>
              </w:rPr>
            </w:pPr>
            <w:r w:rsidRPr="40AEEB4D">
              <w:rPr>
                <w:rFonts w:ascii="Arial" w:hAnsi="Arial" w:cs="Arial"/>
                <w:sz w:val="22"/>
                <w:szCs w:val="22"/>
              </w:rPr>
              <w:t>Use of external PM’s, cost consultants and QS where required.</w:t>
            </w:r>
          </w:p>
          <w:p w14:paraId="7B5DD23C" w14:textId="55B684DD" w:rsidR="00076FFE" w:rsidRPr="000A13A9" w:rsidRDefault="00076FFE" w:rsidP="00CF25BB">
            <w:pPr>
              <w:numPr>
                <w:ilvl w:val="0"/>
                <w:numId w:val="8"/>
              </w:numPr>
              <w:rPr>
                <w:rFonts w:ascii="Arial" w:hAnsi="Arial" w:cs="Arial"/>
                <w:sz w:val="22"/>
                <w:szCs w:val="22"/>
              </w:rPr>
            </w:pPr>
            <w:r w:rsidRPr="40AEEB4D">
              <w:rPr>
                <w:rFonts w:ascii="Arial" w:hAnsi="Arial" w:cs="Arial"/>
                <w:sz w:val="22"/>
                <w:szCs w:val="22"/>
              </w:rPr>
              <w:t xml:space="preserve">Effective contract mgmt. </w:t>
            </w:r>
          </w:p>
          <w:p w14:paraId="64FA8E54" w14:textId="211E55EC" w:rsidR="005D2609" w:rsidRPr="00AC0E0A" w:rsidRDefault="005D2609" w:rsidP="005D2609">
            <w:pPr>
              <w:ind w:left="454"/>
              <w:rPr>
                <w:rFonts w:ascii="Arial" w:hAnsi="Arial" w:cs="Arial"/>
                <w:sz w:val="22"/>
                <w:szCs w:val="22"/>
              </w:rPr>
            </w:pPr>
          </w:p>
        </w:tc>
      </w:tr>
      <w:tr w:rsidR="00E94C11" w:rsidRPr="005C6861" w14:paraId="236DB138" w14:textId="77777777" w:rsidTr="00991DA6">
        <w:trPr>
          <w:tblHeader/>
        </w:trPr>
        <w:tc>
          <w:tcPr>
            <w:tcW w:w="693" w:type="dxa"/>
            <w:tcBorders>
              <w:top w:val="single" w:sz="4" w:space="0" w:color="auto"/>
              <w:left w:val="single" w:sz="4" w:space="0" w:color="auto"/>
              <w:bottom w:val="single" w:sz="4" w:space="0" w:color="auto"/>
              <w:right w:val="single" w:sz="4" w:space="0" w:color="auto"/>
            </w:tcBorders>
          </w:tcPr>
          <w:p w14:paraId="53339CB2" w14:textId="20D319C7" w:rsidR="00D601D5" w:rsidRPr="001A2856" w:rsidRDefault="00AF3DCD" w:rsidP="00D5019B">
            <w:pPr>
              <w:rPr>
                <w:rFonts w:ascii="Arial" w:hAnsi="Arial" w:cs="Arial"/>
                <w:sz w:val="22"/>
                <w:szCs w:val="22"/>
              </w:rPr>
            </w:pPr>
            <w:r>
              <w:rPr>
                <w:rFonts w:ascii="Arial" w:hAnsi="Arial" w:cs="Arial"/>
                <w:sz w:val="22"/>
                <w:szCs w:val="22"/>
              </w:rPr>
              <w:t>3</w:t>
            </w:r>
          </w:p>
        </w:tc>
        <w:tc>
          <w:tcPr>
            <w:tcW w:w="2108" w:type="dxa"/>
            <w:tcBorders>
              <w:top w:val="single" w:sz="4" w:space="0" w:color="auto"/>
              <w:left w:val="single" w:sz="4" w:space="0" w:color="auto"/>
              <w:bottom w:val="single" w:sz="4" w:space="0" w:color="auto"/>
              <w:right w:val="single" w:sz="4" w:space="0" w:color="auto"/>
            </w:tcBorders>
          </w:tcPr>
          <w:p w14:paraId="7E0F4D8C" w14:textId="77777777" w:rsidR="00D601D5" w:rsidRPr="001A2856" w:rsidRDefault="00D601D5" w:rsidP="00D5019B">
            <w:pPr>
              <w:rPr>
                <w:rFonts w:ascii="Arial" w:hAnsi="Arial" w:cs="Arial"/>
                <w:sz w:val="22"/>
                <w:szCs w:val="22"/>
              </w:rPr>
            </w:pPr>
            <w:r w:rsidRPr="368F9600">
              <w:rPr>
                <w:rFonts w:ascii="Arial" w:hAnsi="Arial" w:cs="Arial"/>
                <w:sz w:val="22"/>
                <w:szCs w:val="22"/>
              </w:rPr>
              <w:t>Housing Investment Requirements</w:t>
            </w:r>
          </w:p>
        </w:tc>
        <w:tc>
          <w:tcPr>
            <w:tcW w:w="3420" w:type="dxa"/>
            <w:tcBorders>
              <w:top w:val="single" w:sz="4" w:space="0" w:color="auto"/>
              <w:left w:val="single" w:sz="4" w:space="0" w:color="auto"/>
              <w:bottom w:val="single" w:sz="4" w:space="0" w:color="auto"/>
              <w:right w:val="single" w:sz="4" w:space="0" w:color="auto"/>
            </w:tcBorders>
          </w:tcPr>
          <w:p w14:paraId="2C1F01DA" w14:textId="77777777" w:rsidR="00D601D5" w:rsidRPr="001A2856" w:rsidRDefault="00D601D5" w:rsidP="00D5019B">
            <w:pPr>
              <w:rPr>
                <w:rFonts w:ascii="Arial" w:hAnsi="Arial" w:cs="Arial"/>
                <w:sz w:val="22"/>
                <w:szCs w:val="22"/>
              </w:rPr>
            </w:pPr>
            <w:r w:rsidRPr="368F9600">
              <w:rPr>
                <w:rFonts w:ascii="Arial" w:hAnsi="Arial" w:cs="Arial"/>
                <w:sz w:val="22"/>
                <w:szCs w:val="22"/>
              </w:rPr>
              <w:t>Implications arising from updated Decent Homes Standard as determined by Govt along with refresh of Lincoln Standard.</w:t>
            </w:r>
          </w:p>
          <w:p w14:paraId="3C96C3C4" w14:textId="77777777" w:rsidR="00D601D5" w:rsidRPr="001A2856" w:rsidRDefault="00D601D5" w:rsidP="00D5019B">
            <w:pPr>
              <w:rPr>
                <w:rFonts w:ascii="Arial" w:hAnsi="Arial" w:cs="Arial"/>
                <w:sz w:val="22"/>
                <w:szCs w:val="22"/>
              </w:rPr>
            </w:pPr>
          </w:p>
          <w:p w14:paraId="7EE0F92F" w14:textId="77777777" w:rsidR="00D601D5" w:rsidRPr="001A2856" w:rsidRDefault="00D601D5" w:rsidP="00D5019B">
            <w:pPr>
              <w:rPr>
                <w:rFonts w:ascii="Arial" w:hAnsi="Arial" w:cs="Arial"/>
                <w:sz w:val="22"/>
                <w:szCs w:val="22"/>
              </w:rPr>
            </w:pPr>
            <w:r w:rsidRPr="368F9600">
              <w:rPr>
                <w:rFonts w:ascii="Arial" w:hAnsi="Arial" w:cs="Arial"/>
                <w:sz w:val="22"/>
                <w:szCs w:val="22"/>
              </w:rPr>
              <w:t>Actions arising from Building &amp; Fire Safety Acts.</w:t>
            </w:r>
          </w:p>
          <w:p w14:paraId="17C48F1D" w14:textId="77777777" w:rsidR="00D601D5" w:rsidRPr="001A2856" w:rsidRDefault="00D601D5" w:rsidP="00D5019B">
            <w:pPr>
              <w:rPr>
                <w:rFonts w:ascii="Arial" w:hAnsi="Arial" w:cs="Arial"/>
                <w:sz w:val="22"/>
                <w:szCs w:val="22"/>
              </w:rPr>
            </w:pPr>
          </w:p>
          <w:p w14:paraId="6AB31BEE" w14:textId="77777777" w:rsidR="00D601D5" w:rsidRPr="001A2856" w:rsidRDefault="00D601D5" w:rsidP="00D5019B">
            <w:pPr>
              <w:rPr>
                <w:rFonts w:ascii="Arial" w:hAnsi="Arial" w:cs="Arial"/>
                <w:sz w:val="22"/>
                <w:szCs w:val="22"/>
              </w:rPr>
            </w:pPr>
            <w:r w:rsidRPr="368F9600">
              <w:rPr>
                <w:rFonts w:ascii="Arial" w:hAnsi="Arial" w:cs="Arial"/>
                <w:sz w:val="22"/>
                <w:szCs w:val="22"/>
              </w:rPr>
              <w:t>Any implications arising from Awaabs Law (</w:t>
            </w:r>
            <w:r>
              <w:rPr>
                <w:rFonts w:ascii="Arial" w:hAnsi="Arial" w:cs="Arial"/>
                <w:sz w:val="22"/>
                <w:szCs w:val="22"/>
              </w:rPr>
              <w:t>Social Housing Regulations</w:t>
            </w:r>
            <w:r w:rsidRPr="368F9600">
              <w:rPr>
                <w:rFonts w:ascii="Arial" w:hAnsi="Arial" w:cs="Arial"/>
                <w:sz w:val="22"/>
                <w:szCs w:val="22"/>
              </w:rPr>
              <w:t>).</w:t>
            </w:r>
          </w:p>
          <w:p w14:paraId="744375D7" w14:textId="77777777" w:rsidR="00D601D5" w:rsidRPr="001A2856" w:rsidRDefault="00D601D5" w:rsidP="00D5019B">
            <w:pPr>
              <w:rPr>
                <w:rFonts w:ascii="Arial" w:hAnsi="Arial" w:cs="Arial"/>
                <w:sz w:val="22"/>
                <w:szCs w:val="22"/>
              </w:rPr>
            </w:pPr>
          </w:p>
          <w:p w14:paraId="5B0CA706" w14:textId="77777777" w:rsidR="00D601D5" w:rsidRDefault="00D601D5" w:rsidP="00D5019B">
            <w:pPr>
              <w:rPr>
                <w:rFonts w:ascii="Arial" w:hAnsi="Arial" w:cs="Arial"/>
                <w:sz w:val="22"/>
                <w:szCs w:val="22"/>
              </w:rPr>
            </w:pPr>
            <w:r w:rsidRPr="368F9600">
              <w:rPr>
                <w:rFonts w:ascii="Arial" w:hAnsi="Arial" w:cs="Arial"/>
                <w:sz w:val="22"/>
                <w:szCs w:val="22"/>
              </w:rPr>
              <w:t>Implications arising from the Council’s net zero carbon 2030 commitment.</w:t>
            </w:r>
          </w:p>
          <w:p w14:paraId="0A0E2474" w14:textId="499A4A31" w:rsidR="003A5419" w:rsidRPr="001A2856" w:rsidRDefault="003A5419" w:rsidP="00D5019B">
            <w:pPr>
              <w:rPr>
                <w:rFonts w:ascii="Arial" w:hAnsi="Arial" w:cs="Arial"/>
                <w:sz w:val="22"/>
                <w:szCs w:val="22"/>
              </w:rPr>
            </w:pPr>
            <w:r>
              <w:rPr>
                <w:rFonts w:ascii="Arial" w:hAnsi="Arial" w:cs="Arial"/>
                <w:sz w:val="22"/>
                <w:szCs w:val="22"/>
              </w:rPr>
              <w:t xml:space="preserve">Implications arising from </w:t>
            </w:r>
            <w:r w:rsidR="00E37502">
              <w:rPr>
                <w:rFonts w:ascii="Arial" w:hAnsi="Arial" w:cs="Arial"/>
                <w:sz w:val="22"/>
                <w:szCs w:val="22"/>
              </w:rPr>
              <w:t xml:space="preserve">Minimum Energy Efficiency </w:t>
            </w:r>
            <w:r w:rsidR="009A125A">
              <w:rPr>
                <w:rFonts w:ascii="Arial" w:hAnsi="Arial" w:cs="Arial"/>
                <w:sz w:val="22"/>
                <w:szCs w:val="22"/>
              </w:rPr>
              <w:t xml:space="preserve">Standards </w:t>
            </w:r>
            <w:r w:rsidR="00E37502">
              <w:rPr>
                <w:rFonts w:ascii="Arial" w:hAnsi="Arial" w:cs="Arial"/>
                <w:sz w:val="22"/>
                <w:szCs w:val="22"/>
              </w:rPr>
              <w:t>(</w:t>
            </w:r>
            <w:r w:rsidR="009A125A">
              <w:rPr>
                <w:rFonts w:ascii="Arial" w:hAnsi="Arial" w:cs="Arial"/>
                <w:sz w:val="22"/>
                <w:szCs w:val="22"/>
              </w:rPr>
              <w:t>MEES) for social housing.</w:t>
            </w:r>
          </w:p>
          <w:p w14:paraId="0F707D01" w14:textId="77777777" w:rsidR="00D601D5" w:rsidRPr="001A2856" w:rsidRDefault="00D601D5" w:rsidP="00D5019B">
            <w:pPr>
              <w:rPr>
                <w:rFonts w:ascii="Arial" w:hAnsi="Arial" w:cs="Arial"/>
                <w:sz w:val="22"/>
                <w:szCs w:val="22"/>
              </w:rPr>
            </w:pPr>
          </w:p>
          <w:p w14:paraId="69785173" w14:textId="77777777" w:rsidR="00D601D5" w:rsidRPr="001A2856" w:rsidRDefault="00D601D5" w:rsidP="00D5019B">
            <w:pPr>
              <w:rPr>
                <w:rFonts w:ascii="Arial" w:hAnsi="Arial" w:cs="Arial"/>
                <w:sz w:val="22"/>
                <w:szCs w:val="22"/>
              </w:rPr>
            </w:pPr>
            <w:r w:rsidRPr="368F9600">
              <w:rPr>
                <w:rFonts w:ascii="Arial" w:hAnsi="Arial" w:cs="Arial"/>
                <w:sz w:val="22"/>
                <w:szCs w:val="22"/>
              </w:rPr>
              <w:t>Necessity to undertake any remedial works as a result of the Radon Management Plan.</w:t>
            </w:r>
          </w:p>
          <w:p w14:paraId="47D98A8F" w14:textId="77777777" w:rsidR="00D601D5" w:rsidRPr="001A2856" w:rsidRDefault="00D601D5" w:rsidP="00D5019B">
            <w:pPr>
              <w:rPr>
                <w:rFonts w:ascii="Arial" w:hAnsi="Arial" w:cs="Arial"/>
                <w:sz w:val="22"/>
                <w:szCs w:val="22"/>
              </w:rPr>
            </w:pPr>
          </w:p>
          <w:p w14:paraId="7FA56B5C" w14:textId="77777777" w:rsidR="00D601D5" w:rsidRPr="001A2856" w:rsidRDefault="00D601D5" w:rsidP="00D5019B">
            <w:pPr>
              <w:rPr>
                <w:rFonts w:ascii="Arial" w:hAnsi="Arial" w:cs="Arial"/>
              </w:rPr>
            </w:pPr>
            <w:r w:rsidRPr="368F9600">
              <w:rPr>
                <w:rFonts w:ascii="Arial" w:hAnsi="Arial" w:cs="Arial"/>
                <w:sz w:val="22"/>
                <w:szCs w:val="22"/>
              </w:rPr>
              <w:t>Implications arising from NPPF and mandatory housing targets</w:t>
            </w:r>
            <w:r w:rsidRPr="368F9600">
              <w:rPr>
                <w:rFonts w:ascii="Arial" w:hAnsi="Arial" w:cs="Arial"/>
              </w:rPr>
              <w:t>.</w:t>
            </w:r>
          </w:p>
          <w:p w14:paraId="08149958" w14:textId="77777777" w:rsidR="00D601D5" w:rsidRDefault="00D601D5" w:rsidP="00D5019B">
            <w:pPr>
              <w:rPr>
                <w:rFonts w:ascii="Arial" w:hAnsi="Arial" w:cs="Arial"/>
                <w:sz w:val="22"/>
                <w:szCs w:val="22"/>
              </w:rPr>
            </w:pPr>
          </w:p>
          <w:p w14:paraId="194B6E42" w14:textId="77777777" w:rsidR="00D601D5" w:rsidRPr="001A2856" w:rsidRDefault="00D601D5" w:rsidP="00D5019B">
            <w:pPr>
              <w:rPr>
                <w:rFonts w:ascii="Arial" w:hAnsi="Arial" w:cs="Arial"/>
                <w:sz w:val="22"/>
                <w:szCs w:val="22"/>
              </w:rPr>
            </w:pPr>
            <w:r>
              <w:rPr>
                <w:rFonts w:ascii="Arial" w:hAnsi="Arial" w:cs="Arial"/>
                <w:sz w:val="22"/>
                <w:szCs w:val="22"/>
              </w:rPr>
              <w:t>Implications arising from latest 100% stock condition surveys.</w:t>
            </w:r>
          </w:p>
          <w:p w14:paraId="7DD190AC" w14:textId="77777777" w:rsidR="00D601D5" w:rsidRPr="001A2856" w:rsidRDefault="00D601D5" w:rsidP="00D5019B">
            <w:pPr>
              <w:rPr>
                <w:rFonts w:ascii="Arial" w:hAnsi="Arial" w:cs="Arial"/>
                <w:sz w:val="22"/>
                <w:szCs w:val="22"/>
              </w:rPr>
            </w:pPr>
          </w:p>
          <w:p w14:paraId="6BA80740" w14:textId="77777777" w:rsidR="00D601D5" w:rsidRPr="001A2856" w:rsidRDefault="00D601D5" w:rsidP="00D5019B">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F0000"/>
          </w:tcPr>
          <w:p w14:paraId="282B0A54" w14:textId="77777777" w:rsidR="00D601D5" w:rsidRPr="001A2856" w:rsidRDefault="00D601D5" w:rsidP="00D5019B">
            <w:pPr>
              <w:jc w:val="center"/>
              <w:rPr>
                <w:rFonts w:ascii="Arial" w:hAnsi="Arial" w:cs="Arial"/>
                <w:sz w:val="22"/>
                <w:szCs w:val="22"/>
              </w:rPr>
            </w:pPr>
          </w:p>
          <w:p w14:paraId="1637F788" w14:textId="77777777" w:rsidR="00D601D5" w:rsidRPr="001A2856" w:rsidRDefault="00D601D5" w:rsidP="00D5019B">
            <w:pPr>
              <w:jc w:val="center"/>
              <w:rPr>
                <w:rFonts w:ascii="Arial" w:hAnsi="Arial" w:cs="Arial"/>
                <w:b/>
                <w:sz w:val="22"/>
                <w:szCs w:val="22"/>
              </w:rPr>
            </w:pPr>
            <w:r w:rsidRPr="368F9600">
              <w:rPr>
                <w:rFonts w:ascii="Arial" w:hAnsi="Arial" w:cs="Arial"/>
                <w:b/>
                <w:sz w:val="22"/>
                <w:szCs w:val="22"/>
              </w:rPr>
              <w:t>Total Score: 12</w:t>
            </w:r>
          </w:p>
          <w:p w14:paraId="7C1FED07" w14:textId="77777777" w:rsidR="00D601D5" w:rsidRPr="001A2856" w:rsidRDefault="00D601D5" w:rsidP="00D5019B">
            <w:pPr>
              <w:jc w:val="center"/>
              <w:rPr>
                <w:rFonts w:ascii="Arial" w:hAnsi="Arial" w:cs="Arial"/>
                <w:sz w:val="22"/>
                <w:szCs w:val="22"/>
              </w:rPr>
            </w:pPr>
          </w:p>
          <w:p w14:paraId="6FD51077" w14:textId="77777777" w:rsidR="00D601D5" w:rsidRPr="001A2856" w:rsidRDefault="00D601D5" w:rsidP="00D5019B">
            <w:pPr>
              <w:jc w:val="center"/>
              <w:rPr>
                <w:rFonts w:ascii="Arial" w:hAnsi="Arial" w:cs="Arial"/>
                <w:sz w:val="22"/>
                <w:szCs w:val="22"/>
              </w:rPr>
            </w:pPr>
            <w:r w:rsidRPr="368F9600">
              <w:rPr>
                <w:rFonts w:ascii="Arial" w:hAnsi="Arial" w:cs="Arial"/>
                <w:sz w:val="22"/>
                <w:szCs w:val="22"/>
              </w:rPr>
              <w:t>Likelihood: 3</w:t>
            </w:r>
          </w:p>
          <w:p w14:paraId="5BE586DC" w14:textId="77777777" w:rsidR="00D601D5" w:rsidRPr="001A2856" w:rsidRDefault="00D601D5" w:rsidP="00D5019B">
            <w:pPr>
              <w:jc w:val="center"/>
              <w:rPr>
                <w:rFonts w:ascii="Arial" w:hAnsi="Arial" w:cs="Arial"/>
                <w:sz w:val="22"/>
                <w:szCs w:val="22"/>
              </w:rPr>
            </w:pPr>
            <w:r w:rsidRPr="368F9600">
              <w:rPr>
                <w:rFonts w:ascii="Arial" w:hAnsi="Arial" w:cs="Arial"/>
                <w:sz w:val="22"/>
                <w:szCs w:val="22"/>
              </w:rPr>
              <w:t>Impact: 4</w:t>
            </w:r>
          </w:p>
        </w:tc>
        <w:tc>
          <w:tcPr>
            <w:tcW w:w="1926" w:type="dxa"/>
            <w:tcBorders>
              <w:top w:val="single" w:sz="4" w:space="0" w:color="auto"/>
              <w:left w:val="single" w:sz="4" w:space="0" w:color="auto"/>
              <w:bottom w:val="single" w:sz="4" w:space="0" w:color="auto"/>
              <w:right w:val="single" w:sz="4" w:space="0" w:color="auto"/>
            </w:tcBorders>
            <w:shd w:val="clear" w:color="auto" w:fill="FF0000"/>
          </w:tcPr>
          <w:p w14:paraId="0F7399D7" w14:textId="77777777" w:rsidR="00D601D5" w:rsidRPr="001A2856" w:rsidRDefault="00D601D5" w:rsidP="00D5019B">
            <w:pPr>
              <w:jc w:val="center"/>
              <w:rPr>
                <w:rFonts w:ascii="Arial" w:hAnsi="Arial" w:cs="Arial"/>
                <w:sz w:val="22"/>
                <w:szCs w:val="22"/>
              </w:rPr>
            </w:pPr>
          </w:p>
          <w:p w14:paraId="60E18081" w14:textId="77777777" w:rsidR="00D601D5" w:rsidRPr="001A2856" w:rsidRDefault="00D601D5" w:rsidP="00D5019B">
            <w:pPr>
              <w:jc w:val="center"/>
              <w:rPr>
                <w:rFonts w:ascii="Arial" w:hAnsi="Arial" w:cs="Arial"/>
                <w:b/>
                <w:sz w:val="22"/>
                <w:szCs w:val="22"/>
              </w:rPr>
            </w:pPr>
            <w:r w:rsidRPr="368F9600">
              <w:rPr>
                <w:rFonts w:ascii="Arial" w:hAnsi="Arial" w:cs="Arial"/>
                <w:b/>
                <w:sz w:val="22"/>
                <w:szCs w:val="22"/>
              </w:rPr>
              <w:t>Total Score: 12</w:t>
            </w:r>
          </w:p>
          <w:p w14:paraId="460BC5EE" w14:textId="77777777" w:rsidR="00D601D5" w:rsidRPr="001A2856" w:rsidRDefault="00D601D5" w:rsidP="00D5019B">
            <w:pPr>
              <w:jc w:val="center"/>
              <w:rPr>
                <w:rFonts w:ascii="Arial" w:hAnsi="Arial" w:cs="Arial"/>
                <w:sz w:val="22"/>
                <w:szCs w:val="22"/>
              </w:rPr>
            </w:pPr>
          </w:p>
          <w:p w14:paraId="4CB518F9" w14:textId="77777777" w:rsidR="00D601D5" w:rsidRPr="001A2856" w:rsidRDefault="00D601D5" w:rsidP="00D5019B">
            <w:pPr>
              <w:jc w:val="center"/>
              <w:rPr>
                <w:rFonts w:ascii="Arial" w:hAnsi="Arial" w:cs="Arial"/>
                <w:sz w:val="22"/>
                <w:szCs w:val="22"/>
              </w:rPr>
            </w:pPr>
            <w:r w:rsidRPr="368F9600">
              <w:rPr>
                <w:rFonts w:ascii="Arial" w:hAnsi="Arial" w:cs="Arial"/>
                <w:sz w:val="22"/>
                <w:szCs w:val="22"/>
              </w:rPr>
              <w:t>Likelihood: 3</w:t>
            </w:r>
          </w:p>
          <w:p w14:paraId="5A8BD64E" w14:textId="77777777" w:rsidR="00D601D5" w:rsidRPr="001A2856" w:rsidRDefault="00D601D5" w:rsidP="00D5019B">
            <w:pPr>
              <w:jc w:val="center"/>
              <w:rPr>
                <w:rFonts w:ascii="Arial" w:hAnsi="Arial" w:cs="Arial"/>
                <w:sz w:val="22"/>
                <w:szCs w:val="22"/>
              </w:rPr>
            </w:pPr>
            <w:r w:rsidRPr="368F9600">
              <w:rPr>
                <w:rFonts w:ascii="Arial" w:hAnsi="Arial" w:cs="Arial"/>
                <w:sz w:val="22"/>
                <w:szCs w:val="22"/>
              </w:rPr>
              <w:t>Impact: 4</w:t>
            </w:r>
          </w:p>
        </w:tc>
        <w:tc>
          <w:tcPr>
            <w:tcW w:w="5276" w:type="dxa"/>
            <w:tcBorders>
              <w:top w:val="single" w:sz="4" w:space="0" w:color="auto"/>
              <w:left w:val="single" w:sz="4" w:space="0" w:color="auto"/>
              <w:bottom w:val="single" w:sz="4" w:space="0" w:color="auto"/>
              <w:right w:val="single" w:sz="4" w:space="0" w:color="auto"/>
            </w:tcBorders>
          </w:tcPr>
          <w:p w14:paraId="41A963F9" w14:textId="0331D0F1" w:rsidR="00D601D5" w:rsidRPr="001E56C6" w:rsidRDefault="00D601D5" w:rsidP="00D5019B">
            <w:pPr>
              <w:numPr>
                <w:ilvl w:val="0"/>
                <w:numId w:val="8"/>
              </w:numPr>
              <w:rPr>
                <w:rFonts w:ascii="Arial" w:hAnsi="Arial" w:cs="Arial"/>
                <w:sz w:val="22"/>
                <w:szCs w:val="22"/>
              </w:rPr>
            </w:pPr>
            <w:r w:rsidRPr="001E56C6">
              <w:rPr>
                <w:rFonts w:ascii="Arial" w:hAnsi="Arial" w:cs="Arial"/>
                <w:sz w:val="22"/>
                <w:szCs w:val="22"/>
              </w:rPr>
              <w:t>Assessment of new Decent Homes Standards (</w:t>
            </w:r>
            <w:r w:rsidR="0038146B">
              <w:rPr>
                <w:rFonts w:ascii="Arial" w:hAnsi="Arial" w:cs="Arial"/>
                <w:sz w:val="22"/>
                <w:szCs w:val="22"/>
              </w:rPr>
              <w:t>confirmed in January 2026, to apply from 2035</w:t>
            </w:r>
            <w:r w:rsidRPr="001E56C6">
              <w:rPr>
                <w:rFonts w:ascii="Arial" w:hAnsi="Arial" w:cs="Arial"/>
                <w:sz w:val="22"/>
                <w:szCs w:val="22"/>
              </w:rPr>
              <w:t>).</w:t>
            </w:r>
          </w:p>
          <w:p w14:paraId="1A6D280B" w14:textId="77777777" w:rsidR="00D601D5" w:rsidRDefault="00D601D5" w:rsidP="00D5019B">
            <w:pPr>
              <w:numPr>
                <w:ilvl w:val="0"/>
                <w:numId w:val="8"/>
              </w:numPr>
              <w:rPr>
                <w:rFonts w:ascii="Arial" w:hAnsi="Arial" w:cs="Arial"/>
                <w:sz w:val="22"/>
                <w:szCs w:val="22"/>
              </w:rPr>
            </w:pPr>
            <w:r w:rsidRPr="368F9600">
              <w:rPr>
                <w:rFonts w:ascii="Arial" w:hAnsi="Arial" w:cs="Arial"/>
                <w:sz w:val="22"/>
                <w:szCs w:val="22"/>
              </w:rPr>
              <w:t>Revised Lincoln Standard to be developed following Decent Homes Standards</w:t>
            </w:r>
            <w:r>
              <w:rPr>
                <w:rFonts w:ascii="Arial" w:hAnsi="Arial" w:cs="Arial"/>
                <w:sz w:val="22"/>
                <w:szCs w:val="22"/>
              </w:rPr>
              <w:t>.</w:t>
            </w:r>
          </w:p>
          <w:p w14:paraId="0AD15E60" w14:textId="18BAF8CA" w:rsidR="00394968" w:rsidRPr="007A471F" w:rsidRDefault="00394968" w:rsidP="007A471F">
            <w:pPr>
              <w:numPr>
                <w:ilvl w:val="0"/>
                <w:numId w:val="8"/>
              </w:numPr>
              <w:rPr>
                <w:rFonts w:ascii="Arial" w:hAnsi="Arial" w:cs="Arial"/>
                <w:sz w:val="22"/>
                <w:szCs w:val="22"/>
              </w:rPr>
            </w:pPr>
            <w:r>
              <w:rPr>
                <w:rFonts w:ascii="Arial" w:hAnsi="Arial" w:cs="Arial"/>
                <w:sz w:val="22"/>
                <w:szCs w:val="22"/>
              </w:rPr>
              <w:t>Assessment of</w:t>
            </w:r>
            <w:r w:rsidR="00E2065A">
              <w:rPr>
                <w:rFonts w:ascii="Arial" w:hAnsi="Arial" w:cs="Arial"/>
                <w:sz w:val="22"/>
                <w:szCs w:val="22"/>
              </w:rPr>
              <w:t xml:space="preserve"> impact of </w:t>
            </w:r>
            <w:r w:rsidR="007137C5">
              <w:rPr>
                <w:rFonts w:ascii="Arial" w:hAnsi="Arial" w:cs="Arial"/>
                <w:sz w:val="22"/>
                <w:szCs w:val="22"/>
              </w:rPr>
              <w:t>Minimum Energy Efficiency Standards (MEES)</w:t>
            </w:r>
            <w:r w:rsidR="007A471F">
              <w:rPr>
                <w:rFonts w:ascii="Arial" w:hAnsi="Arial" w:cs="Arial"/>
                <w:sz w:val="22"/>
                <w:szCs w:val="22"/>
              </w:rPr>
              <w:t xml:space="preserve"> for social housing </w:t>
            </w:r>
            <w:r w:rsidR="007A471F" w:rsidRPr="001E56C6">
              <w:rPr>
                <w:rFonts w:ascii="Arial" w:hAnsi="Arial" w:cs="Arial"/>
                <w:sz w:val="22"/>
                <w:szCs w:val="22"/>
              </w:rPr>
              <w:t>(</w:t>
            </w:r>
            <w:r w:rsidR="007A471F">
              <w:rPr>
                <w:rFonts w:ascii="Arial" w:hAnsi="Arial" w:cs="Arial"/>
                <w:sz w:val="22"/>
                <w:szCs w:val="22"/>
              </w:rPr>
              <w:t>confirmed in January 2026, to apply from 2030 and 2039</w:t>
            </w:r>
            <w:r w:rsidR="007A471F" w:rsidRPr="001E56C6">
              <w:rPr>
                <w:rFonts w:ascii="Arial" w:hAnsi="Arial" w:cs="Arial"/>
                <w:sz w:val="22"/>
                <w:szCs w:val="22"/>
              </w:rPr>
              <w:t>).</w:t>
            </w:r>
          </w:p>
          <w:p w14:paraId="68A5E6A4"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Assessment of Building and Fire Safety Acts implications undertaken.</w:t>
            </w:r>
          </w:p>
          <w:p w14:paraId="3F8E07B5"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Assessment of Awaab’s Law</w:t>
            </w:r>
            <w:r>
              <w:rPr>
                <w:rFonts w:ascii="Arial" w:hAnsi="Arial" w:cs="Arial"/>
                <w:sz w:val="22"/>
                <w:szCs w:val="22"/>
              </w:rPr>
              <w:t xml:space="preserve"> undertaken,</w:t>
            </w:r>
          </w:p>
          <w:p w14:paraId="46CA7455"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 xml:space="preserve">Fire Safety assessments of stock (High Rise, Sheltered and Low Rise) </w:t>
            </w:r>
            <w:r>
              <w:rPr>
                <w:rFonts w:ascii="Arial" w:hAnsi="Arial" w:cs="Arial"/>
                <w:sz w:val="22"/>
                <w:szCs w:val="22"/>
              </w:rPr>
              <w:t xml:space="preserve">nearly </w:t>
            </w:r>
            <w:r w:rsidRPr="368F9600">
              <w:rPr>
                <w:rFonts w:ascii="Arial" w:hAnsi="Arial" w:cs="Arial"/>
                <w:sz w:val="22"/>
                <w:szCs w:val="22"/>
              </w:rPr>
              <w:t>complete.</w:t>
            </w:r>
          </w:p>
          <w:p w14:paraId="5FDDC8F4"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La</w:t>
            </w:r>
            <w:r>
              <w:rPr>
                <w:rFonts w:ascii="Arial" w:hAnsi="Arial" w:cs="Arial"/>
                <w:sz w:val="22"/>
                <w:szCs w:val="22"/>
              </w:rPr>
              <w:t>st</w:t>
            </w:r>
            <w:r w:rsidRPr="368F9600">
              <w:rPr>
                <w:rFonts w:ascii="Arial" w:hAnsi="Arial" w:cs="Arial"/>
                <w:sz w:val="22"/>
                <w:szCs w:val="22"/>
              </w:rPr>
              <w:t xml:space="preserve"> stock condition surveys used to develop new 30-year Housing Business Plan</w:t>
            </w:r>
            <w:r>
              <w:rPr>
                <w:rFonts w:ascii="Arial" w:hAnsi="Arial" w:cs="Arial"/>
                <w:sz w:val="22"/>
                <w:szCs w:val="22"/>
              </w:rPr>
              <w:t>.</w:t>
            </w:r>
          </w:p>
          <w:p w14:paraId="5A731DF1" w14:textId="77777777" w:rsidR="00D601D5" w:rsidRPr="001A2856" w:rsidRDefault="00D601D5" w:rsidP="00D5019B">
            <w:pPr>
              <w:numPr>
                <w:ilvl w:val="0"/>
                <w:numId w:val="8"/>
              </w:numPr>
              <w:rPr>
                <w:rFonts w:ascii="Arial" w:hAnsi="Arial" w:cs="Arial"/>
                <w:sz w:val="22"/>
                <w:szCs w:val="22"/>
              </w:rPr>
            </w:pPr>
            <w:r>
              <w:rPr>
                <w:rFonts w:ascii="Arial" w:hAnsi="Arial" w:cs="Arial"/>
                <w:sz w:val="22"/>
                <w:szCs w:val="22"/>
              </w:rPr>
              <w:t>New 100% Stock condition survey to be complete by Spring 2026.</w:t>
            </w:r>
          </w:p>
          <w:p w14:paraId="0D509692"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Retrofit assessment of housing stock to be undertaken</w:t>
            </w:r>
            <w:r>
              <w:rPr>
                <w:rFonts w:ascii="Arial" w:hAnsi="Arial" w:cs="Arial"/>
                <w:sz w:val="22"/>
                <w:szCs w:val="22"/>
              </w:rPr>
              <w:t>.</w:t>
            </w:r>
          </w:p>
          <w:p w14:paraId="67AD27B8"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 xml:space="preserve">Strategy for developing Net Carbon Neutral to be developed </w:t>
            </w:r>
            <w:r>
              <w:rPr>
                <w:rFonts w:ascii="Arial" w:hAnsi="Arial" w:cs="Arial"/>
                <w:sz w:val="22"/>
                <w:szCs w:val="22"/>
              </w:rPr>
              <w:t>.</w:t>
            </w:r>
          </w:p>
          <w:p w14:paraId="78D99F06"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Building Safety Compliance reported regularly to Housing Scrutiny.</w:t>
            </w:r>
          </w:p>
          <w:p w14:paraId="4FB69992"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 xml:space="preserve">Radon testing regime </w:t>
            </w:r>
            <w:r w:rsidRPr="656EA81E">
              <w:rPr>
                <w:rFonts w:ascii="Arial" w:hAnsi="Arial" w:cs="Arial"/>
                <w:sz w:val="22"/>
                <w:szCs w:val="22"/>
              </w:rPr>
              <w:t>commenced</w:t>
            </w:r>
            <w:r w:rsidRPr="368F9600">
              <w:rPr>
                <w:rFonts w:ascii="Arial" w:hAnsi="Arial" w:cs="Arial"/>
                <w:sz w:val="22"/>
                <w:szCs w:val="22"/>
              </w:rPr>
              <w:t>.</w:t>
            </w:r>
          </w:p>
          <w:p w14:paraId="2B2E6190"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Seek and identify alternative funding sources and models and make appropriate grant applications for decarbonisation works.</w:t>
            </w:r>
          </w:p>
          <w:p w14:paraId="2D619DE4"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New HRA Business Plan for 2025-2056 in place and MTFS updated.</w:t>
            </w:r>
          </w:p>
          <w:p w14:paraId="14F2FFBC"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Use of collaborative contracts/framework agreements where possible.</w:t>
            </w:r>
          </w:p>
          <w:p w14:paraId="494982D9"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Significant surpluses and available resources within Housing Business Plan.</w:t>
            </w:r>
          </w:p>
          <w:p w14:paraId="242D9779"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Ensure risk assessments completed for all significant schemes before commencing</w:t>
            </w:r>
            <w:r>
              <w:rPr>
                <w:rFonts w:ascii="Arial" w:hAnsi="Arial" w:cs="Arial"/>
                <w:sz w:val="22"/>
                <w:szCs w:val="22"/>
              </w:rPr>
              <w:t>.</w:t>
            </w:r>
          </w:p>
          <w:p w14:paraId="0418D23B"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Value engineering used to contain project costs</w:t>
            </w:r>
            <w:r>
              <w:rPr>
                <w:rFonts w:ascii="Arial" w:hAnsi="Arial" w:cs="Arial"/>
                <w:sz w:val="22"/>
                <w:szCs w:val="22"/>
              </w:rPr>
              <w:t>.</w:t>
            </w:r>
          </w:p>
          <w:p w14:paraId="4745C9AC" w14:textId="77777777" w:rsidR="00D601D5" w:rsidRPr="001A2856" w:rsidRDefault="00D601D5" w:rsidP="00D5019B">
            <w:pPr>
              <w:numPr>
                <w:ilvl w:val="0"/>
                <w:numId w:val="8"/>
              </w:numPr>
              <w:rPr>
                <w:rFonts w:ascii="Arial" w:hAnsi="Arial" w:cs="Arial"/>
                <w:sz w:val="22"/>
                <w:szCs w:val="22"/>
              </w:rPr>
            </w:pPr>
            <w:r w:rsidRPr="368F9600">
              <w:rPr>
                <w:rFonts w:ascii="Arial" w:hAnsi="Arial" w:cs="Arial"/>
                <w:sz w:val="22"/>
                <w:szCs w:val="22"/>
              </w:rPr>
              <w:t>Cost estimates obtained ahead of procurement exercises.</w:t>
            </w:r>
          </w:p>
          <w:p w14:paraId="5B5693B7" w14:textId="77777777" w:rsidR="00D601D5" w:rsidRPr="00983293" w:rsidRDefault="00D601D5" w:rsidP="00D5019B">
            <w:pPr>
              <w:tabs>
                <w:tab w:val="num" w:pos="486"/>
              </w:tabs>
              <w:ind w:left="486" w:hanging="360"/>
              <w:rPr>
                <w:rFonts w:ascii="Arial" w:hAnsi="Arial" w:cs="Arial"/>
                <w:sz w:val="22"/>
                <w:szCs w:val="22"/>
              </w:rPr>
            </w:pPr>
          </w:p>
        </w:tc>
      </w:tr>
      <w:tr w:rsidR="00E94C11" w:rsidRPr="005C6861" w14:paraId="3AF44F22" w14:textId="77777777" w:rsidTr="00991DA6">
        <w:trPr>
          <w:tblHeader/>
        </w:trPr>
        <w:tc>
          <w:tcPr>
            <w:tcW w:w="693" w:type="dxa"/>
          </w:tcPr>
          <w:p w14:paraId="4E472E21" w14:textId="0F68EAEC" w:rsidR="00D601D5" w:rsidRPr="00BB5947" w:rsidRDefault="00AF3DCD" w:rsidP="00D5019B">
            <w:pPr>
              <w:rPr>
                <w:rFonts w:ascii="Arial" w:hAnsi="Arial" w:cs="Arial"/>
                <w:sz w:val="22"/>
              </w:rPr>
            </w:pPr>
            <w:r>
              <w:rPr>
                <w:rFonts w:ascii="Arial" w:hAnsi="Arial" w:cs="Arial"/>
                <w:sz w:val="22"/>
              </w:rPr>
              <w:t>4</w:t>
            </w:r>
          </w:p>
        </w:tc>
        <w:tc>
          <w:tcPr>
            <w:tcW w:w="2108" w:type="dxa"/>
          </w:tcPr>
          <w:p w14:paraId="1BC181C1" w14:textId="77777777" w:rsidR="00D601D5" w:rsidRPr="00BB5947" w:rsidRDefault="00D601D5" w:rsidP="00D5019B">
            <w:pPr>
              <w:rPr>
                <w:rFonts w:ascii="Arial" w:hAnsi="Arial" w:cs="Arial"/>
                <w:sz w:val="22"/>
              </w:rPr>
            </w:pPr>
            <w:r w:rsidRPr="00BB5947">
              <w:rPr>
                <w:rFonts w:ascii="Arial" w:hAnsi="Arial" w:cs="Arial"/>
                <w:sz w:val="22"/>
              </w:rPr>
              <w:t xml:space="preserve">Repairs &amp; Maintenance </w:t>
            </w:r>
            <w:r>
              <w:rPr>
                <w:rFonts w:ascii="Arial" w:hAnsi="Arial" w:cs="Arial"/>
                <w:sz w:val="22"/>
              </w:rPr>
              <w:t xml:space="preserve">and capital investment </w:t>
            </w:r>
            <w:r w:rsidRPr="00BB5947">
              <w:rPr>
                <w:rFonts w:ascii="Arial" w:hAnsi="Arial" w:cs="Arial"/>
                <w:sz w:val="22"/>
              </w:rPr>
              <w:t>on Corporate Properties</w:t>
            </w:r>
          </w:p>
          <w:p w14:paraId="699B93D1" w14:textId="77777777" w:rsidR="00D601D5" w:rsidRPr="00BB5947" w:rsidRDefault="00D601D5" w:rsidP="00D5019B">
            <w:pPr>
              <w:rPr>
                <w:rFonts w:ascii="Arial" w:hAnsi="Arial" w:cs="Arial"/>
                <w:sz w:val="22"/>
              </w:rPr>
            </w:pPr>
          </w:p>
        </w:tc>
        <w:tc>
          <w:tcPr>
            <w:tcW w:w="3420" w:type="dxa"/>
            <w:tcBorders>
              <w:bottom w:val="single" w:sz="4" w:space="0" w:color="auto"/>
            </w:tcBorders>
          </w:tcPr>
          <w:p w14:paraId="10829671" w14:textId="77777777" w:rsidR="00D601D5" w:rsidRPr="00BB5947" w:rsidRDefault="00D601D5" w:rsidP="00D5019B">
            <w:pPr>
              <w:rPr>
                <w:rFonts w:ascii="Arial" w:hAnsi="Arial" w:cs="Arial"/>
                <w:sz w:val="22"/>
              </w:rPr>
            </w:pPr>
            <w:r w:rsidRPr="00BB5947">
              <w:rPr>
                <w:rFonts w:ascii="Arial" w:hAnsi="Arial" w:cs="Arial"/>
                <w:sz w:val="22"/>
              </w:rPr>
              <w:t>Unplanned emergency maintenance is required on the Council’s Corporate Properties</w:t>
            </w:r>
            <w:r>
              <w:rPr>
                <w:rFonts w:ascii="Arial" w:hAnsi="Arial" w:cs="Arial"/>
                <w:sz w:val="22"/>
              </w:rPr>
              <w:t>.</w:t>
            </w:r>
          </w:p>
          <w:p w14:paraId="7CD21489" w14:textId="77777777" w:rsidR="00D601D5" w:rsidRPr="00BB5947" w:rsidRDefault="00D601D5" w:rsidP="00D5019B">
            <w:pPr>
              <w:rPr>
                <w:rFonts w:ascii="Arial" w:hAnsi="Arial" w:cs="Arial"/>
                <w:sz w:val="22"/>
              </w:rPr>
            </w:pPr>
          </w:p>
          <w:p w14:paraId="226AC169" w14:textId="77777777" w:rsidR="00D601D5" w:rsidRPr="00BB5947" w:rsidRDefault="00D601D5" w:rsidP="00D5019B">
            <w:pPr>
              <w:rPr>
                <w:rFonts w:ascii="Arial" w:hAnsi="Arial" w:cs="Arial"/>
                <w:sz w:val="22"/>
              </w:rPr>
            </w:pPr>
            <w:r w:rsidRPr="00BB5947">
              <w:rPr>
                <w:rFonts w:ascii="Arial" w:hAnsi="Arial" w:cs="Arial"/>
                <w:sz w:val="22"/>
              </w:rPr>
              <w:t>Increase in demands to meet statutory requirements and to minimise risks of adverse claims.</w:t>
            </w:r>
          </w:p>
          <w:p w14:paraId="748A9383" w14:textId="77777777" w:rsidR="00D601D5" w:rsidRPr="00BB5947" w:rsidRDefault="00D601D5" w:rsidP="00D5019B">
            <w:pPr>
              <w:rPr>
                <w:rFonts w:ascii="Arial" w:hAnsi="Arial" w:cs="Arial"/>
                <w:sz w:val="22"/>
              </w:rPr>
            </w:pPr>
          </w:p>
          <w:p w14:paraId="0349F58A" w14:textId="77777777" w:rsidR="00D601D5" w:rsidRPr="00BB5947" w:rsidRDefault="00D601D5" w:rsidP="00D5019B">
            <w:pPr>
              <w:rPr>
                <w:rFonts w:ascii="Arial" w:hAnsi="Arial" w:cs="Arial"/>
                <w:sz w:val="22"/>
              </w:rPr>
            </w:pPr>
            <w:r w:rsidRPr="00BB5947">
              <w:rPr>
                <w:rFonts w:ascii="Arial" w:hAnsi="Arial" w:cs="Arial"/>
                <w:sz w:val="22"/>
              </w:rPr>
              <w:t>Increase in demands to maintain operational service assets</w:t>
            </w:r>
            <w:r>
              <w:rPr>
                <w:rFonts w:ascii="Arial" w:hAnsi="Arial" w:cs="Arial"/>
                <w:sz w:val="22"/>
              </w:rPr>
              <w:t>.</w:t>
            </w:r>
          </w:p>
          <w:p w14:paraId="475D66CE" w14:textId="77777777" w:rsidR="00D601D5" w:rsidRPr="00BB5947" w:rsidRDefault="00D601D5" w:rsidP="00D5019B">
            <w:pPr>
              <w:rPr>
                <w:rFonts w:ascii="Arial" w:hAnsi="Arial" w:cs="Arial"/>
                <w:sz w:val="22"/>
              </w:rPr>
            </w:pPr>
          </w:p>
          <w:p w14:paraId="653DC51A" w14:textId="77777777" w:rsidR="00D601D5" w:rsidRPr="00BB5947" w:rsidRDefault="00D601D5" w:rsidP="00D5019B">
            <w:pPr>
              <w:rPr>
                <w:rFonts w:ascii="Arial" w:hAnsi="Arial" w:cs="Arial"/>
                <w:sz w:val="22"/>
              </w:rPr>
            </w:pPr>
            <w:r w:rsidRPr="00BB5947">
              <w:rPr>
                <w:rFonts w:ascii="Arial" w:hAnsi="Arial" w:cs="Arial"/>
                <w:sz w:val="22"/>
              </w:rPr>
              <w:t>Increased investment required in natural assets.</w:t>
            </w:r>
          </w:p>
          <w:p w14:paraId="0DBF663E" w14:textId="77777777" w:rsidR="00D601D5" w:rsidRPr="00BB5947" w:rsidRDefault="00D601D5" w:rsidP="00D5019B">
            <w:pPr>
              <w:rPr>
                <w:rFonts w:ascii="Arial" w:hAnsi="Arial" w:cs="Arial"/>
                <w:sz w:val="22"/>
              </w:rPr>
            </w:pPr>
          </w:p>
          <w:p w14:paraId="02C20C4E" w14:textId="77777777" w:rsidR="00D601D5" w:rsidRPr="00BB5947" w:rsidRDefault="00D601D5" w:rsidP="00D5019B">
            <w:pPr>
              <w:rPr>
                <w:rFonts w:ascii="Arial" w:hAnsi="Arial" w:cs="Arial"/>
                <w:sz w:val="22"/>
              </w:rPr>
            </w:pPr>
            <w:r w:rsidRPr="00BB5947">
              <w:rPr>
                <w:rFonts w:ascii="Arial" w:hAnsi="Arial" w:cs="Arial"/>
                <w:sz w:val="22"/>
              </w:rPr>
              <w:t>Impact of works on income and service delivery.</w:t>
            </w:r>
          </w:p>
          <w:p w14:paraId="695EAD27" w14:textId="77777777" w:rsidR="00D601D5" w:rsidRDefault="00D601D5" w:rsidP="00D5019B">
            <w:pPr>
              <w:rPr>
                <w:rFonts w:ascii="Arial" w:hAnsi="Arial" w:cs="Arial"/>
                <w:sz w:val="22"/>
              </w:rPr>
            </w:pPr>
          </w:p>
          <w:p w14:paraId="7025A070" w14:textId="77777777" w:rsidR="00D601D5" w:rsidRDefault="00D601D5" w:rsidP="00D5019B">
            <w:pPr>
              <w:rPr>
                <w:rFonts w:ascii="Arial" w:hAnsi="Arial" w:cs="Arial"/>
                <w:sz w:val="22"/>
              </w:rPr>
            </w:pPr>
            <w:r>
              <w:rPr>
                <w:rFonts w:ascii="Arial" w:hAnsi="Arial" w:cs="Arial"/>
                <w:sz w:val="22"/>
              </w:rPr>
              <w:t>Impact on capacity due to new repairs turnaround times resulting from legislative changes (i.e. Awaab’s law).</w:t>
            </w:r>
          </w:p>
          <w:p w14:paraId="6E88CF69" w14:textId="77777777" w:rsidR="00D601D5" w:rsidRDefault="00D601D5" w:rsidP="00D5019B">
            <w:pPr>
              <w:rPr>
                <w:rFonts w:ascii="Arial" w:hAnsi="Arial" w:cs="Arial"/>
                <w:sz w:val="22"/>
              </w:rPr>
            </w:pPr>
          </w:p>
          <w:p w14:paraId="1189F08D" w14:textId="77777777" w:rsidR="00D601D5" w:rsidRPr="00730DB4" w:rsidRDefault="00D601D5" w:rsidP="00D5019B">
            <w:pPr>
              <w:rPr>
                <w:rFonts w:ascii="Arial" w:hAnsi="Arial" w:cs="Arial"/>
                <w:sz w:val="22"/>
                <w:szCs w:val="22"/>
              </w:rPr>
            </w:pPr>
            <w:r w:rsidRPr="40AEEB4D">
              <w:rPr>
                <w:rFonts w:ascii="Arial" w:hAnsi="Arial" w:cs="Arial"/>
                <w:sz w:val="22"/>
                <w:szCs w:val="22"/>
              </w:rPr>
              <w:t>Failure of contractor i.e. contractor goes into liquidation.</w:t>
            </w:r>
          </w:p>
          <w:p w14:paraId="73DDF902" w14:textId="77777777" w:rsidR="00D601D5" w:rsidRPr="00BB5947" w:rsidRDefault="00D601D5" w:rsidP="00D5019B">
            <w:pPr>
              <w:rPr>
                <w:rFonts w:ascii="Arial" w:hAnsi="Arial" w:cs="Arial"/>
                <w:sz w:val="22"/>
              </w:rPr>
            </w:pPr>
          </w:p>
        </w:tc>
        <w:tc>
          <w:tcPr>
            <w:tcW w:w="1980" w:type="dxa"/>
            <w:tcBorders>
              <w:bottom w:val="single" w:sz="4" w:space="0" w:color="auto"/>
            </w:tcBorders>
            <w:shd w:val="clear" w:color="auto" w:fill="EE0000"/>
          </w:tcPr>
          <w:p w14:paraId="25A6ACE0" w14:textId="77777777" w:rsidR="00D601D5" w:rsidRPr="00BB5947" w:rsidRDefault="00D601D5" w:rsidP="00D5019B">
            <w:pPr>
              <w:jc w:val="center"/>
              <w:rPr>
                <w:rFonts w:ascii="Arial" w:hAnsi="Arial" w:cs="Arial"/>
                <w:sz w:val="22"/>
              </w:rPr>
            </w:pPr>
          </w:p>
          <w:p w14:paraId="0642DDA1" w14:textId="77777777" w:rsidR="00D601D5" w:rsidRPr="00BB5947" w:rsidRDefault="00D601D5" w:rsidP="00D5019B">
            <w:pPr>
              <w:jc w:val="center"/>
              <w:rPr>
                <w:rFonts w:ascii="Arial" w:hAnsi="Arial" w:cs="Arial"/>
                <w:b/>
                <w:sz w:val="22"/>
                <w:szCs w:val="22"/>
              </w:rPr>
            </w:pPr>
            <w:r w:rsidRPr="00BB5947">
              <w:rPr>
                <w:rFonts w:ascii="Arial" w:hAnsi="Arial" w:cs="Arial"/>
                <w:b/>
                <w:sz w:val="22"/>
                <w:szCs w:val="22"/>
              </w:rPr>
              <w:t xml:space="preserve">Total Score: </w:t>
            </w:r>
            <w:r>
              <w:rPr>
                <w:rFonts w:ascii="Arial" w:hAnsi="Arial" w:cs="Arial"/>
                <w:b/>
                <w:sz w:val="22"/>
                <w:szCs w:val="22"/>
              </w:rPr>
              <w:t>12</w:t>
            </w:r>
          </w:p>
          <w:p w14:paraId="4E3D0B35" w14:textId="77777777" w:rsidR="00D601D5" w:rsidRPr="00BB5947" w:rsidRDefault="00D601D5" w:rsidP="00D5019B">
            <w:pPr>
              <w:jc w:val="center"/>
              <w:rPr>
                <w:rFonts w:ascii="Arial" w:hAnsi="Arial" w:cs="Arial"/>
                <w:sz w:val="22"/>
                <w:szCs w:val="22"/>
              </w:rPr>
            </w:pPr>
          </w:p>
          <w:p w14:paraId="16E3C00E" w14:textId="77777777" w:rsidR="00D601D5" w:rsidRPr="00BB5947" w:rsidRDefault="00D601D5" w:rsidP="00D5019B">
            <w:pPr>
              <w:jc w:val="center"/>
              <w:rPr>
                <w:rFonts w:ascii="Arial" w:hAnsi="Arial" w:cs="Arial"/>
                <w:sz w:val="22"/>
                <w:szCs w:val="22"/>
              </w:rPr>
            </w:pPr>
            <w:r w:rsidRPr="00BB5947">
              <w:rPr>
                <w:rFonts w:ascii="Arial" w:hAnsi="Arial" w:cs="Arial"/>
                <w:sz w:val="22"/>
                <w:szCs w:val="22"/>
              </w:rPr>
              <w:t xml:space="preserve">Likelihood: </w:t>
            </w:r>
            <w:r>
              <w:rPr>
                <w:rFonts w:ascii="Arial" w:hAnsi="Arial" w:cs="Arial"/>
                <w:sz w:val="22"/>
                <w:szCs w:val="22"/>
              </w:rPr>
              <w:t>4</w:t>
            </w:r>
          </w:p>
          <w:p w14:paraId="3A4B9DB9" w14:textId="77777777" w:rsidR="00D601D5" w:rsidRPr="00BB5947" w:rsidRDefault="00D601D5" w:rsidP="00D5019B">
            <w:pPr>
              <w:jc w:val="center"/>
              <w:rPr>
                <w:rFonts w:ascii="Arial" w:hAnsi="Arial" w:cs="Arial"/>
                <w:sz w:val="22"/>
              </w:rPr>
            </w:pPr>
            <w:r w:rsidRPr="00BB5947">
              <w:rPr>
                <w:rFonts w:ascii="Arial" w:hAnsi="Arial" w:cs="Arial"/>
                <w:sz w:val="22"/>
                <w:szCs w:val="22"/>
              </w:rPr>
              <w:t xml:space="preserve">Impact: </w:t>
            </w:r>
            <w:r>
              <w:rPr>
                <w:rFonts w:ascii="Arial" w:hAnsi="Arial" w:cs="Arial"/>
                <w:sz w:val="22"/>
                <w:szCs w:val="22"/>
              </w:rPr>
              <w:t>3</w:t>
            </w:r>
          </w:p>
        </w:tc>
        <w:tc>
          <w:tcPr>
            <w:tcW w:w="1926" w:type="dxa"/>
            <w:tcBorders>
              <w:bottom w:val="single" w:sz="4" w:space="0" w:color="auto"/>
            </w:tcBorders>
            <w:shd w:val="clear" w:color="auto" w:fill="EE0000"/>
          </w:tcPr>
          <w:p w14:paraId="01EE845F" w14:textId="77777777" w:rsidR="00D601D5" w:rsidRPr="00BB5947" w:rsidRDefault="00D601D5" w:rsidP="00D5019B">
            <w:pPr>
              <w:jc w:val="center"/>
              <w:rPr>
                <w:rFonts w:ascii="Arial" w:hAnsi="Arial" w:cs="Arial"/>
                <w:sz w:val="22"/>
              </w:rPr>
            </w:pPr>
          </w:p>
          <w:p w14:paraId="3658F2E6" w14:textId="77777777" w:rsidR="00D601D5" w:rsidRPr="00BB5947" w:rsidRDefault="00D601D5" w:rsidP="00D5019B">
            <w:pPr>
              <w:jc w:val="center"/>
              <w:rPr>
                <w:rFonts w:ascii="Arial" w:hAnsi="Arial" w:cs="Arial"/>
                <w:b/>
                <w:sz w:val="22"/>
                <w:szCs w:val="22"/>
              </w:rPr>
            </w:pPr>
            <w:r w:rsidRPr="00BB5947">
              <w:rPr>
                <w:rFonts w:ascii="Arial" w:hAnsi="Arial" w:cs="Arial"/>
                <w:b/>
                <w:sz w:val="22"/>
                <w:szCs w:val="22"/>
              </w:rPr>
              <w:t xml:space="preserve">Total Score: </w:t>
            </w:r>
            <w:r>
              <w:rPr>
                <w:rFonts w:ascii="Arial" w:hAnsi="Arial" w:cs="Arial"/>
                <w:b/>
                <w:sz w:val="22"/>
                <w:szCs w:val="22"/>
              </w:rPr>
              <w:t>12</w:t>
            </w:r>
          </w:p>
          <w:p w14:paraId="0D6B38DA" w14:textId="77777777" w:rsidR="00D601D5" w:rsidRPr="00BB5947" w:rsidRDefault="00D601D5" w:rsidP="00D5019B">
            <w:pPr>
              <w:jc w:val="center"/>
              <w:rPr>
                <w:rFonts w:ascii="Arial" w:hAnsi="Arial" w:cs="Arial"/>
                <w:sz w:val="22"/>
                <w:szCs w:val="22"/>
              </w:rPr>
            </w:pPr>
          </w:p>
          <w:p w14:paraId="6570BEC3" w14:textId="77777777" w:rsidR="00D601D5" w:rsidRPr="00BB5947" w:rsidRDefault="00D601D5" w:rsidP="00D5019B">
            <w:pPr>
              <w:jc w:val="center"/>
              <w:rPr>
                <w:rFonts w:ascii="Arial" w:hAnsi="Arial" w:cs="Arial"/>
                <w:sz w:val="22"/>
                <w:szCs w:val="22"/>
              </w:rPr>
            </w:pPr>
            <w:r w:rsidRPr="00BB5947">
              <w:rPr>
                <w:rFonts w:ascii="Arial" w:hAnsi="Arial" w:cs="Arial"/>
                <w:sz w:val="22"/>
                <w:szCs w:val="22"/>
              </w:rPr>
              <w:t xml:space="preserve">Likelihood: </w:t>
            </w:r>
            <w:r>
              <w:rPr>
                <w:rFonts w:ascii="Arial" w:hAnsi="Arial" w:cs="Arial"/>
                <w:sz w:val="22"/>
                <w:szCs w:val="22"/>
              </w:rPr>
              <w:t>4</w:t>
            </w:r>
          </w:p>
          <w:p w14:paraId="31532831" w14:textId="77777777" w:rsidR="00D601D5" w:rsidRPr="00BB5947" w:rsidRDefault="00D601D5" w:rsidP="00D5019B">
            <w:pPr>
              <w:jc w:val="center"/>
              <w:rPr>
                <w:rFonts w:ascii="Arial" w:hAnsi="Arial" w:cs="Arial"/>
                <w:sz w:val="22"/>
              </w:rPr>
            </w:pPr>
            <w:r w:rsidRPr="00BB5947">
              <w:rPr>
                <w:rFonts w:ascii="Arial" w:hAnsi="Arial" w:cs="Arial"/>
                <w:sz w:val="22"/>
                <w:szCs w:val="22"/>
              </w:rPr>
              <w:t xml:space="preserve">Impact: </w:t>
            </w:r>
            <w:r>
              <w:rPr>
                <w:rFonts w:ascii="Arial" w:hAnsi="Arial" w:cs="Arial"/>
                <w:sz w:val="22"/>
                <w:szCs w:val="22"/>
              </w:rPr>
              <w:t>3</w:t>
            </w:r>
          </w:p>
        </w:tc>
        <w:tc>
          <w:tcPr>
            <w:tcW w:w="5276" w:type="dxa"/>
            <w:tcBorders>
              <w:bottom w:val="single" w:sz="4" w:space="0" w:color="auto"/>
            </w:tcBorders>
          </w:tcPr>
          <w:p w14:paraId="5E39A21C" w14:textId="77777777" w:rsidR="00D601D5" w:rsidRPr="00BB5947" w:rsidRDefault="00D601D5" w:rsidP="00D5019B">
            <w:pPr>
              <w:numPr>
                <w:ilvl w:val="0"/>
                <w:numId w:val="5"/>
              </w:numPr>
              <w:rPr>
                <w:rFonts w:ascii="Arial" w:hAnsi="Arial" w:cs="Arial"/>
                <w:sz w:val="22"/>
              </w:rPr>
            </w:pPr>
            <w:r w:rsidRPr="00BB5947">
              <w:rPr>
                <w:rFonts w:ascii="Arial" w:hAnsi="Arial" w:cs="Arial"/>
                <w:sz w:val="22"/>
              </w:rPr>
              <w:t xml:space="preserve">Updated stock condition surveys for all corporate properties to be undertaken </w:t>
            </w:r>
            <w:r>
              <w:rPr>
                <w:rFonts w:ascii="Arial" w:hAnsi="Arial" w:cs="Arial"/>
                <w:sz w:val="22"/>
              </w:rPr>
              <w:t>by Spring 2026</w:t>
            </w:r>
            <w:r w:rsidRPr="00BB5947">
              <w:rPr>
                <w:rFonts w:ascii="Arial" w:hAnsi="Arial" w:cs="Arial"/>
                <w:sz w:val="22"/>
              </w:rPr>
              <w:t>.</w:t>
            </w:r>
          </w:p>
          <w:p w14:paraId="640D02DB" w14:textId="77777777" w:rsidR="00D601D5" w:rsidRPr="00BB5947" w:rsidRDefault="00D601D5" w:rsidP="00D5019B">
            <w:pPr>
              <w:numPr>
                <w:ilvl w:val="0"/>
                <w:numId w:val="5"/>
              </w:numPr>
              <w:rPr>
                <w:rFonts w:ascii="Arial" w:hAnsi="Arial" w:cs="Arial"/>
                <w:sz w:val="22"/>
              </w:rPr>
            </w:pPr>
            <w:r w:rsidRPr="00BB5947">
              <w:rPr>
                <w:rFonts w:ascii="Arial" w:hAnsi="Arial" w:cs="Arial"/>
                <w:sz w:val="22"/>
              </w:rPr>
              <w:t>Asset management planning in place (including identifying assets with large repairs and maintenance liabilities for disposal)</w:t>
            </w:r>
            <w:r>
              <w:rPr>
                <w:rFonts w:ascii="Arial" w:hAnsi="Arial" w:cs="Arial"/>
                <w:sz w:val="22"/>
              </w:rPr>
              <w:t>.</w:t>
            </w:r>
          </w:p>
          <w:p w14:paraId="623380F8" w14:textId="77777777" w:rsidR="00D601D5" w:rsidRPr="00BB5947" w:rsidRDefault="00D601D5" w:rsidP="00D5019B">
            <w:pPr>
              <w:numPr>
                <w:ilvl w:val="0"/>
                <w:numId w:val="5"/>
              </w:numPr>
              <w:rPr>
                <w:rFonts w:ascii="Arial" w:hAnsi="Arial" w:cs="Arial"/>
                <w:sz w:val="22"/>
              </w:rPr>
            </w:pPr>
            <w:r w:rsidRPr="00BB5947">
              <w:rPr>
                <w:rFonts w:ascii="Arial" w:hAnsi="Arial" w:cs="Arial"/>
                <w:sz w:val="22"/>
              </w:rPr>
              <w:t>Produce regular budget monitoring reports – report quarterly to Corporate Management Team, Executive and Performance Scrutiny Committee</w:t>
            </w:r>
            <w:r>
              <w:rPr>
                <w:rFonts w:ascii="Arial" w:hAnsi="Arial" w:cs="Arial"/>
                <w:sz w:val="22"/>
              </w:rPr>
              <w:t>.</w:t>
            </w:r>
          </w:p>
          <w:p w14:paraId="6CE79C22" w14:textId="77777777" w:rsidR="00D601D5" w:rsidRPr="00BB5947" w:rsidRDefault="00D601D5" w:rsidP="00D5019B">
            <w:pPr>
              <w:numPr>
                <w:ilvl w:val="0"/>
                <w:numId w:val="5"/>
              </w:numPr>
              <w:rPr>
                <w:rFonts w:ascii="Arial" w:hAnsi="Arial" w:cs="Arial"/>
                <w:sz w:val="22"/>
              </w:rPr>
            </w:pPr>
            <w:r w:rsidRPr="00BB5947">
              <w:rPr>
                <w:rFonts w:ascii="Arial" w:hAnsi="Arial" w:cs="Arial"/>
                <w:sz w:val="22"/>
              </w:rPr>
              <w:t>New capital schemes allow for whole life costing.</w:t>
            </w:r>
          </w:p>
          <w:p w14:paraId="0C5DAFBA" w14:textId="77777777" w:rsidR="00D601D5" w:rsidRPr="00BB5947" w:rsidRDefault="00D601D5" w:rsidP="00D5019B">
            <w:pPr>
              <w:numPr>
                <w:ilvl w:val="0"/>
                <w:numId w:val="5"/>
              </w:numPr>
              <w:rPr>
                <w:rFonts w:ascii="Arial" w:hAnsi="Arial" w:cs="Arial"/>
                <w:sz w:val="22"/>
              </w:rPr>
            </w:pPr>
            <w:r w:rsidRPr="00BB5947">
              <w:rPr>
                <w:rFonts w:ascii="Arial" w:hAnsi="Arial" w:cs="Arial"/>
                <w:sz w:val="22"/>
              </w:rPr>
              <w:t>Responsible Officer system in place.</w:t>
            </w:r>
          </w:p>
          <w:p w14:paraId="012B314A" w14:textId="77777777" w:rsidR="00D601D5" w:rsidRPr="00BB5947" w:rsidRDefault="00D601D5" w:rsidP="00D5019B">
            <w:pPr>
              <w:numPr>
                <w:ilvl w:val="0"/>
                <w:numId w:val="5"/>
              </w:numPr>
              <w:rPr>
                <w:rFonts w:ascii="Arial" w:hAnsi="Arial" w:cs="Arial"/>
                <w:sz w:val="22"/>
              </w:rPr>
            </w:pPr>
            <w:r w:rsidRPr="00BB5947">
              <w:rPr>
                <w:rFonts w:ascii="Arial" w:hAnsi="Arial" w:cs="Arial"/>
                <w:sz w:val="22"/>
              </w:rPr>
              <w:t>Seek and identify external funding opportunities e.g, decarbonisation grants to improve corporate buildings</w:t>
            </w:r>
            <w:r>
              <w:rPr>
                <w:rFonts w:ascii="Arial" w:hAnsi="Arial" w:cs="Arial"/>
                <w:sz w:val="22"/>
              </w:rPr>
              <w:t xml:space="preserve"> and heritage grants for specific buildings.</w:t>
            </w:r>
          </w:p>
          <w:p w14:paraId="710E98A1" w14:textId="77777777" w:rsidR="00D601D5" w:rsidRPr="00BB5947" w:rsidRDefault="00D601D5" w:rsidP="00D5019B">
            <w:pPr>
              <w:numPr>
                <w:ilvl w:val="0"/>
                <w:numId w:val="5"/>
              </w:numPr>
              <w:rPr>
                <w:rFonts w:ascii="Arial" w:hAnsi="Arial" w:cs="Arial"/>
                <w:sz w:val="22"/>
              </w:rPr>
            </w:pPr>
            <w:r w:rsidRPr="00BB5947">
              <w:rPr>
                <w:rFonts w:ascii="Arial" w:hAnsi="Arial" w:cs="Arial"/>
                <w:sz w:val="22"/>
              </w:rPr>
              <w:t>Explore CAT or other alternative lease/MOU arrangements to transfer assets to the third sector.</w:t>
            </w:r>
          </w:p>
          <w:p w14:paraId="580253E5" w14:textId="77777777" w:rsidR="00D601D5" w:rsidRDefault="00D601D5" w:rsidP="00D5019B">
            <w:pPr>
              <w:numPr>
                <w:ilvl w:val="0"/>
                <w:numId w:val="5"/>
              </w:numPr>
              <w:rPr>
                <w:rFonts w:ascii="Arial" w:hAnsi="Arial" w:cs="Arial"/>
                <w:sz w:val="22"/>
              </w:rPr>
            </w:pPr>
            <w:r w:rsidRPr="00BB5947">
              <w:rPr>
                <w:rFonts w:ascii="Arial" w:hAnsi="Arial" w:cs="Arial"/>
                <w:sz w:val="22"/>
              </w:rPr>
              <w:t>Assessments of impact of RAAC undertaken, with no required remediation.</w:t>
            </w:r>
          </w:p>
          <w:p w14:paraId="6C5963DC" w14:textId="77777777" w:rsidR="00D601D5" w:rsidRPr="00BB5947" w:rsidRDefault="00D601D5" w:rsidP="00D5019B">
            <w:pPr>
              <w:numPr>
                <w:ilvl w:val="0"/>
                <w:numId w:val="5"/>
              </w:numPr>
              <w:rPr>
                <w:rFonts w:ascii="Arial" w:hAnsi="Arial" w:cs="Arial"/>
                <w:sz w:val="22"/>
              </w:rPr>
            </w:pPr>
            <w:r>
              <w:rPr>
                <w:rFonts w:ascii="Arial" w:hAnsi="Arial" w:cs="Arial"/>
                <w:sz w:val="22"/>
              </w:rPr>
              <w:t>Robust contract management in place.</w:t>
            </w:r>
          </w:p>
          <w:p w14:paraId="3C58EFCD" w14:textId="77777777" w:rsidR="00D601D5" w:rsidRPr="001E626F" w:rsidRDefault="00D601D5" w:rsidP="00D5019B">
            <w:pPr>
              <w:ind w:left="454"/>
              <w:rPr>
                <w:rFonts w:ascii="Arial" w:hAnsi="Arial" w:cs="Arial"/>
                <w:sz w:val="22"/>
              </w:rPr>
            </w:pPr>
          </w:p>
        </w:tc>
      </w:tr>
      <w:tr w:rsidR="00E94C11" w:rsidRPr="0049601B" w14:paraId="2B207B95" w14:textId="77777777" w:rsidTr="00991DA6">
        <w:trPr>
          <w:tblHeader/>
        </w:trPr>
        <w:tc>
          <w:tcPr>
            <w:tcW w:w="693" w:type="dxa"/>
            <w:tcBorders>
              <w:top w:val="single" w:sz="4" w:space="0" w:color="auto"/>
              <w:left w:val="single" w:sz="4" w:space="0" w:color="auto"/>
              <w:bottom w:val="single" w:sz="4" w:space="0" w:color="auto"/>
              <w:right w:val="single" w:sz="4" w:space="0" w:color="auto"/>
            </w:tcBorders>
          </w:tcPr>
          <w:p w14:paraId="48B73033" w14:textId="446916D0" w:rsidR="00AE657B" w:rsidRPr="0049601B" w:rsidRDefault="00AF3DCD" w:rsidP="00D5019B">
            <w:pPr>
              <w:rPr>
                <w:rFonts w:ascii="Arial" w:hAnsi="Arial" w:cs="Arial"/>
                <w:sz w:val="22"/>
                <w:szCs w:val="22"/>
              </w:rPr>
            </w:pPr>
            <w:r>
              <w:rPr>
                <w:rFonts w:ascii="Arial" w:hAnsi="Arial" w:cs="Arial"/>
                <w:sz w:val="22"/>
                <w:szCs w:val="22"/>
              </w:rPr>
              <w:t>5</w:t>
            </w:r>
          </w:p>
        </w:tc>
        <w:tc>
          <w:tcPr>
            <w:tcW w:w="2108" w:type="dxa"/>
            <w:tcBorders>
              <w:top w:val="single" w:sz="4" w:space="0" w:color="auto"/>
              <w:left w:val="single" w:sz="4" w:space="0" w:color="auto"/>
              <w:bottom w:val="single" w:sz="4" w:space="0" w:color="auto"/>
              <w:right w:val="single" w:sz="4" w:space="0" w:color="auto"/>
            </w:tcBorders>
          </w:tcPr>
          <w:p w14:paraId="36C0FEDA" w14:textId="77777777" w:rsidR="00AE657B" w:rsidRPr="0049601B" w:rsidRDefault="00AE657B" w:rsidP="00D5019B">
            <w:pPr>
              <w:rPr>
                <w:rFonts w:ascii="Arial" w:hAnsi="Arial" w:cs="Arial"/>
                <w:sz w:val="22"/>
                <w:szCs w:val="22"/>
              </w:rPr>
            </w:pPr>
            <w:r w:rsidRPr="63933325">
              <w:rPr>
                <w:rFonts w:ascii="Arial" w:hAnsi="Arial" w:cs="Arial"/>
                <w:sz w:val="22"/>
                <w:szCs w:val="22"/>
              </w:rPr>
              <w:t>External Funding of Capital Programme</w:t>
            </w:r>
          </w:p>
        </w:tc>
        <w:tc>
          <w:tcPr>
            <w:tcW w:w="3420" w:type="dxa"/>
            <w:tcBorders>
              <w:top w:val="single" w:sz="4" w:space="0" w:color="auto"/>
              <w:left w:val="single" w:sz="4" w:space="0" w:color="auto"/>
              <w:bottom w:val="single" w:sz="4" w:space="0" w:color="auto"/>
              <w:right w:val="single" w:sz="4" w:space="0" w:color="auto"/>
            </w:tcBorders>
          </w:tcPr>
          <w:p w14:paraId="24FDC15F" w14:textId="77777777" w:rsidR="00AE657B" w:rsidRPr="0049601B" w:rsidRDefault="00AE657B" w:rsidP="00D5019B">
            <w:pPr>
              <w:rPr>
                <w:rFonts w:ascii="Arial" w:hAnsi="Arial" w:cs="Arial"/>
                <w:sz w:val="22"/>
                <w:szCs w:val="22"/>
              </w:rPr>
            </w:pPr>
            <w:r w:rsidRPr="63933325">
              <w:rPr>
                <w:rFonts w:ascii="Arial" w:hAnsi="Arial" w:cs="Arial"/>
                <w:sz w:val="22"/>
                <w:szCs w:val="22"/>
              </w:rPr>
              <w:t>Inability to attract/gain further external grant funding/partner contributions to deliver schemes priorities in Vision 2030 and future investment plans – potential impact of resources being allocated through Mayoral Combined Authority (i.e Homes England funding)</w:t>
            </w:r>
          </w:p>
          <w:p w14:paraId="35F01AA0" w14:textId="77777777" w:rsidR="00AE657B" w:rsidRPr="0049601B" w:rsidRDefault="00AE657B" w:rsidP="00D5019B">
            <w:pPr>
              <w:rPr>
                <w:rFonts w:ascii="Arial" w:hAnsi="Arial" w:cs="Arial"/>
                <w:sz w:val="22"/>
                <w:szCs w:val="22"/>
              </w:rPr>
            </w:pPr>
          </w:p>
          <w:p w14:paraId="573A400B" w14:textId="77777777" w:rsidR="00AE657B" w:rsidRPr="0049601B" w:rsidRDefault="00AE657B" w:rsidP="00D5019B">
            <w:pPr>
              <w:rPr>
                <w:rFonts w:ascii="Arial" w:hAnsi="Arial" w:cs="Arial"/>
                <w:sz w:val="22"/>
                <w:szCs w:val="22"/>
              </w:rPr>
            </w:pPr>
            <w:r w:rsidRPr="63933325">
              <w:rPr>
                <w:rFonts w:ascii="Arial" w:hAnsi="Arial" w:cs="Arial"/>
                <w:sz w:val="22"/>
                <w:szCs w:val="22"/>
              </w:rPr>
              <w:t>Loss of anticipated external resource to support the capital programme.</w:t>
            </w:r>
          </w:p>
          <w:p w14:paraId="70B7D09E" w14:textId="77777777" w:rsidR="00AE657B" w:rsidRPr="0049601B" w:rsidRDefault="00AE657B" w:rsidP="00D5019B">
            <w:pPr>
              <w:rPr>
                <w:rFonts w:ascii="Arial" w:hAnsi="Arial" w:cs="Arial"/>
                <w:sz w:val="22"/>
                <w:szCs w:val="22"/>
              </w:rPr>
            </w:pPr>
          </w:p>
          <w:p w14:paraId="56CB2972" w14:textId="77777777" w:rsidR="00AE657B" w:rsidRPr="0049601B" w:rsidRDefault="00AE657B" w:rsidP="00D5019B">
            <w:pPr>
              <w:rPr>
                <w:rFonts w:ascii="Arial" w:hAnsi="Arial" w:cs="Arial"/>
                <w:sz w:val="22"/>
                <w:szCs w:val="22"/>
              </w:rPr>
            </w:pPr>
            <w:r w:rsidRPr="63933325">
              <w:rPr>
                <w:rFonts w:ascii="Arial" w:hAnsi="Arial" w:cs="Arial"/>
                <w:sz w:val="22"/>
                <w:szCs w:val="22"/>
              </w:rPr>
              <w:t xml:space="preserve">Changes to the allocation of grant funding for Disabled Facilities Grants (DFG) from the City Council to County Council, while the City Council retains statutory duty to provide services. </w:t>
            </w:r>
          </w:p>
          <w:p w14:paraId="4B01D18E" w14:textId="77777777" w:rsidR="00AE657B" w:rsidRPr="0049601B" w:rsidRDefault="00AE657B" w:rsidP="00D5019B">
            <w:pPr>
              <w:rPr>
                <w:rFonts w:ascii="Arial" w:hAnsi="Arial" w:cs="Arial"/>
                <w:sz w:val="22"/>
                <w:szCs w:val="22"/>
              </w:rPr>
            </w:pPr>
          </w:p>
          <w:p w14:paraId="1FD117F1" w14:textId="77777777" w:rsidR="00AE657B" w:rsidRPr="0049601B" w:rsidRDefault="00AE657B" w:rsidP="00D5019B">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F0000"/>
          </w:tcPr>
          <w:p w14:paraId="33904CD9" w14:textId="77777777" w:rsidR="00AE657B" w:rsidRPr="0049601B" w:rsidRDefault="00AE657B" w:rsidP="00D5019B">
            <w:pPr>
              <w:ind w:left="113"/>
              <w:jc w:val="center"/>
              <w:rPr>
                <w:rFonts w:ascii="Arial" w:hAnsi="Arial" w:cs="Arial"/>
                <w:b/>
                <w:sz w:val="22"/>
                <w:szCs w:val="22"/>
              </w:rPr>
            </w:pPr>
          </w:p>
          <w:p w14:paraId="41E0E192" w14:textId="77777777" w:rsidR="00AE657B" w:rsidRPr="0049601B" w:rsidRDefault="00AE657B" w:rsidP="00D5019B">
            <w:pPr>
              <w:ind w:left="113"/>
              <w:jc w:val="center"/>
              <w:rPr>
                <w:rFonts w:ascii="Arial" w:hAnsi="Arial" w:cs="Arial"/>
                <w:b/>
                <w:sz w:val="22"/>
                <w:szCs w:val="22"/>
              </w:rPr>
            </w:pPr>
            <w:r w:rsidRPr="63933325">
              <w:rPr>
                <w:rFonts w:ascii="Arial" w:hAnsi="Arial" w:cs="Arial"/>
                <w:b/>
                <w:sz w:val="22"/>
                <w:szCs w:val="22"/>
              </w:rPr>
              <w:t>Total Score: 1</w:t>
            </w:r>
            <w:r>
              <w:rPr>
                <w:rFonts w:ascii="Arial" w:hAnsi="Arial" w:cs="Arial"/>
                <w:b/>
                <w:sz w:val="22"/>
                <w:szCs w:val="22"/>
              </w:rPr>
              <w:t>2</w:t>
            </w:r>
          </w:p>
          <w:p w14:paraId="6B3A757A" w14:textId="77777777" w:rsidR="00AE657B" w:rsidRPr="0049601B" w:rsidRDefault="00AE657B" w:rsidP="00D5019B">
            <w:pPr>
              <w:ind w:left="113"/>
              <w:jc w:val="center"/>
              <w:rPr>
                <w:rFonts w:ascii="Arial" w:hAnsi="Arial" w:cs="Arial"/>
                <w:b/>
                <w:sz w:val="22"/>
                <w:szCs w:val="22"/>
              </w:rPr>
            </w:pPr>
          </w:p>
          <w:p w14:paraId="3CB9C88D" w14:textId="77777777" w:rsidR="00AE657B" w:rsidRPr="0049601B" w:rsidRDefault="00AE657B" w:rsidP="00D5019B">
            <w:pPr>
              <w:ind w:left="113"/>
              <w:jc w:val="center"/>
              <w:rPr>
                <w:rFonts w:ascii="Arial" w:hAnsi="Arial" w:cs="Arial"/>
                <w:b/>
                <w:sz w:val="22"/>
                <w:szCs w:val="22"/>
              </w:rPr>
            </w:pPr>
            <w:r w:rsidRPr="63933325">
              <w:rPr>
                <w:rFonts w:ascii="Arial" w:hAnsi="Arial" w:cs="Arial"/>
                <w:b/>
                <w:sz w:val="22"/>
                <w:szCs w:val="22"/>
              </w:rPr>
              <w:t xml:space="preserve">Likelihood: </w:t>
            </w:r>
            <w:r>
              <w:rPr>
                <w:rFonts w:ascii="Arial" w:hAnsi="Arial" w:cs="Arial"/>
                <w:b/>
                <w:sz w:val="22"/>
                <w:szCs w:val="22"/>
              </w:rPr>
              <w:t>3</w:t>
            </w:r>
          </w:p>
          <w:p w14:paraId="3E4F8D2F" w14:textId="77777777" w:rsidR="00AE657B" w:rsidRPr="0049601B" w:rsidRDefault="00AE657B" w:rsidP="00D5019B">
            <w:pPr>
              <w:ind w:left="113"/>
              <w:jc w:val="center"/>
              <w:rPr>
                <w:rFonts w:ascii="Arial" w:hAnsi="Arial" w:cs="Arial"/>
                <w:b/>
                <w:sz w:val="22"/>
                <w:szCs w:val="22"/>
              </w:rPr>
            </w:pPr>
            <w:r w:rsidRPr="63933325">
              <w:rPr>
                <w:rFonts w:ascii="Arial" w:hAnsi="Arial" w:cs="Arial"/>
                <w:b/>
                <w:sz w:val="22"/>
                <w:szCs w:val="22"/>
              </w:rPr>
              <w:t>Impact: 4</w:t>
            </w:r>
          </w:p>
        </w:tc>
        <w:tc>
          <w:tcPr>
            <w:tcW w:w="1926" w:type="dxa"/>
            <w:tcBorders>
              <w:top w:val="single" w:sz="4" w:space="0" w:color="auto"/>
              <w:left w:val="single" w:sz="4" w:space="0" w:color="auto"/>
              <w:bottom w:val="single" w:sz="4" w:space="0" w:color="auto"/>
              <w:right w:val="single" w:sz="4" w:space="0" w:color="auto"/>
            </w:tcBorders>
            <w:shd w:val="clear" w:color="auto" w:fill="FF0000"/>
          </w:tcPr>
          <w:p w14:paraId="0CE81440" w14:textId="77777777" w:rsidR="00AE657B" w:rsidRPr="0049601B" w:rsidRDefault="00AE657B" w:rsidP="00D5019B">
            <w:pPr>
              <w:ind w:left="113"/>
              <w:jc w:val="center"/>
              <w:rPr>
                <w:rFonts w:ascii="Arial" w:hAnsi="Arial" w:cs="Arial"/>
                <w:b/>
                <w:sz w:val="22"/>
                <w:szCs w:val="22"/>
              </w:rPr>
            </w:pPr>
          </w:p>
          <w:p w14:paraId="3E5D9C5D" w14:textId="77777777" w:rsidR="00AE657B" w:rsidRPr="0049601B" w:rsidRDefault="00AE657B" w:rsidP="00D5019B">
            <w:pPr>
              <w:ind w:left="113"/>
              <w:jc w:val="center"/>
              <w:rPr>
                <w:rFonts w:ascii="Arial" w:hAnsi="Arial" w:cs="Arial"/>
                <w:b/>
                <w:sz w:val="22"/>
                <w:szCs w:val="22"/>
              </w:rPr>
            </w:pPr>
            <w:r w:rsidRPr="63933325">
              <w:rPr>
                <w:rFonts w:ascii="Arial" w:hAnsi="Arial" w:cs="Arial"/>
                <w:b/>
                <w:sz w:val="22"/>
                <w:szCs w:val="22"/>
              </w:rPr>
              <w:t>Total Score: 12</w:t>
            </w:r>
          </w:p>
          <w:p w14:paraId="28446FB5" w14:textId="77777777" w:rsidR="00AE657B" w:rsidRPr="0049601B" w:rsidRDefault="00AE657B" w:rsidP="00D5019B">
            <w:pPr>
              <w:ind w:left="113"/>
              <w:jc w:val="center"/>
              <w:rPr>
                <w:rFonts w:ascii="Arial" w:hAnsi="Arial" w:cs="Arial"/>
                <w:b/>
                <w:sz w:val="22"/>
                <w:szCs w:val="22"/>
              </w:rPr>
            </w:pPr>
          </w:p>
          <w:p w14:paraId="647E3703" w14:textId="77777777" w:rsidR="00AE657B" w:rsidRPr="0049601B" w:rsidRDefault="00AE657B" w:rsidP="00D5019B">
            <w:pPr>
              <w:ind w:left="113"/>
              <w:jc w:val="center"/>
              <w:rPr>
                <w:rFonts w:ascii="Arial" w:hAnsi="Arial" w:cs="Arial"/>
                <w:b/>
                <w:sz w:val="22"/>
                <w:szCs w:val="22"/>
              </w:rPr>
            </w:pPr>
            <w:r w:rsidRPr="63933325">
              <w:rPr>
                <w:rFonts w:ascii="Arial" w:hAnsi="Arial" w:cs="Arial"/>
                <w:b/>
                <w:sz w:val="22"/>
                <w:szCs w:val="22"/>
              </w:rPr>
              <w:t>Likelihood: 3</w:t>
            </w:r>
          </w:p>
          <w:p w14:paraId="59115A23" w14:textId="77777777" w:rsidR="00AE657B" w:rsidRPr="0049601B" w:rsidRDefault="00AE657B" w:rsidP="00D5019B">
            <w:pPr>
              <w:ind w:left="113"/>
              <w:jc w:val="center"/>
              <w:rPr>
                <w:rFonts w:ascii="Arial" w:hAnsi="Arial" w:cs="Arial"/>
                <w:b/>
                <w:sz w:val="22"/>
                <w:szCs w:val="22"/>
              </w:rPr>
            </w:pPr>
            <w:r w:rsidRPr="63933325">
              <w:rPr>
                <w:rFonts w:ascii="Arial" w:hAnsi="Arial" w:cs="Arial"/>
                <w:b/>
                <w:sz w:val="22"/>
                <w:szCs w:val="22"/>
              </w:rPr>
              <w:t>Impact: 4</w:t>
            </w:r>
          </w:p>
        </w:tc>
        <w:tc>
          <w:tcPr>
            <w:tcW w:w="5276" w:type="dxa"/>
            <w:tcBorders>
              <w:top w:val="single" w:sz="4" w:space="0" w:color="auto"/>
              <w:left w:val="single" w:sz="4" w:space="0" w:color="auto"/>
              <w:bottom w:val="single" w:sz="4" w:space="0" w:color="auto"/>
              <w:right w:val="single" w:sz="4" w:space="0" w:color="auto"/>
            </w:tcBorders>
          </w:tcPr>
          <w:p w14:paraId="09BBC7B6" w14:textId="77777777" w:rsidR="00AE657B" w:rsidRPr="0049601B" w:rsidRDefault="00AE657B" w:rsidP="00D5019B">
            <w:pPr>
              <w:numPr>
                <w:ilvl w:val="0"/>
                <w:numId w:val="8"/>
              </w:numPr>
              <w:rPr>
                <w:rFonts w:ascii="Arial" w:hAnsi="Arial" w:cs="Arial"/>
                <w:sz w:val="22"/>
                <w:szCs w:val="22"/>
              </w:rPr>
            </w:pPr>
            <w:r w:rsidRPr="63933325">
              <w:rPr>
                <w:rFonts w:ascii="Arial" w:hAnsi="Arial" w:cs="Arial"/>
                <w:sz w:val="22"/>
                <w:szCs w:val="22"/>
              </w:rPr>
              <w:t>Ensure grant conditions are complied with throughout scheme</w:t>
            </w:r>
          </w:p>
          <w:p w14:paraId="03E9402D" w14:textId="77777777" w:rsidR="00AE657B" w:rsidRPr="0049601B" w:rsidRDefault="00AE657B" w:rsidP="00D5019B">
            <w:pPr>
              <w:numPr>
                <w:ilvl w:val="0"/>
                <w:numId w:val="8"/>
              </w:numPr>
              <w:rPr>
                <w:rFonts w:ascii="Arial" w:hAnsi="Arial" w:cs="Arial"/>
                <w:sz w:val="22"/>
                <w:szCs w:val="22"/>
              </w:rPr>
            </w:pPr>
            <w:r w:rsidRPr="63933325">
              <w:rPr>
                <w:rFonts w:ascii="Arial" w:hAnsi="Arial" w:cs="Arial"/>
                <w:sz w:val="22"/>
                <w:szCs w:val="22"/>
              </w:rPr>
              <w:t>Continue to seek and identify alternative funding sources and make appropriate grant applications.</w:t>
            </w:r>
          </w:p>
          <w:p w14:paraId="264FB486" w14:textId="77777777" w:rsidR="00AE657B" w:rsidRPr="0049601B" w:rsidRDefault="00AE657B" w:rsidP="00D5019B">
            <w:pPr>
              <w:numPr>
                <w:ilvl w:val="0"/>
                <w:numId w:val="8"/>
              </w:numPr>
              <w:rPr>
                <w:rFonts w:ascii="Arial" w:hAnsi="Arial" w:cs="Arial"/>
                <w:sz w:val="22"/>
                <w:szCs w:val="22"/>
              </w:rPr>
            </w:pPr>
            <w:r w:rsidRPr="63933325">
              <w:rPr>
                <w:rFonts w:ascii="Arial" w:hAnsi="Arial" w:cs="Arial"/>
                <w:sz w:val="22"/>
                <w:szCs w:val="22"/>
              </w:rPr>
              <w:t>Continue to work with partner organisations to secure additional funding opportunities.</w:t>
            </w:r>
          </w:p>
          <w:p w14:paraId="5ACD38AB" w14:textId="77777777" w:rsidR="00AE657B" w:rsidRPr="0049601B" w:rsidRDefault="00AE657B" w:rsidP="00D5019B">
            <w:pPr>
              <w:numPr>
                <w:ilvl w:val="0"/>
                <w:numId w:val="9"/>
              </w:numPr>
              <w:rPr>
                <w:rFonts w:ascii="Arial" w:hAnsi="Arial" w:cs="Arial"/>
                <w:sz w:val="22"/>
                <w:szCs w:val="22"/>
              </w:rPr>
            </w:pPr>
            <w:r w:rsidRPr="63933325">
              <w:rPr>
                <w:rFonts w:ascii="Arial" w:hAnsi="Arial" w:cs="Arial"/>
                <w:sz w:val="22"/>
                <w:szCs w:val="22"/>
              </w:rPr>
              <w:t>Produce regular grant monitoring statements</w:t>
            </w:r>
          </w:p>
          <w:p w14:paraId="0E03D69C" w14:textId="77777777" w:rsidR="00AE657B" w:rsidRPr="0049601B" w:rsidRDefault="00AE657B" w:rsidP="00D5019B">
            <w:pPr>
              <w:numPr>
                <w:ilvl w:val="0"/>
                <w:numId w:val="10"/>
              </w:numPr>
              <w:tabs>
                <w:tab w:val="clear" w:pos="2160"/>
                <w:tab w:val="num" w:pos="473"/>
              </w:tabs>
              <w:ind w:left="454"/>
              <w:rPr>
                <w:rFonts w:ascii="Arial" w:hAnsi="Arial" w:cs="Arial"/>
                <w:sz w:val="22"/>
                <w:szCs w:val="22"/>
              </w:rPr>
            </w:pPr>
            <w:r w:rsidRPr="63933325">
              <w:rPr>
                <w:rFonts w:ascii="Arial" w:hAnsi="Arial" w:cs="Arial"/>
                <w:sz w:val="22"/>
                <w:szCs w:val="22"/>
              </w:rPr>
              <w:t>Regular budget monitoring and reporting to Capital Programme Board</w:t>
            </w:r>
          </w:p>
          <w:p w14:paraId="444CD405" w14:textId="77777777" w:rsidR="00AE657B" w:rsidRPr="0049601B" w:rsidRDefault="00AE657B" w:rsidP="00D5019B">
            <w:pPr>
              <w:numPr>
                <w:ilvl w:val="0"/>
                <w:numId w:val="10"/>
              </w:numPr>
              <w:tabs>
                <w:tab w:val="clear" w:pos="2160"/>
                <w:tab w:val="num" w:pos="473"/>
              </w:tabs>
              <w:ind w:left="454"/>
              <w:rPr>
                <w:rFonts w:ascii="Arial" w:hAnsi="Arial" w:cs="Arial"/>
                <w:sz w:val="22"/>
                <w:szCs w:val="22"/>
              </w:rPr>
            </w:pPr>
            <w:r w:rsidRPr="63933325">
              <w:rPr>
                <w:rFonts w:ascii="Arial" w:hAnsi="Arial" w:cs="Arial"/>
                <w:sz w:val="22"/>
                <w:szCs w:val="22"/>
              </w:rPr>
              <w:t xml:space="preserve">Ongoing discussions with the County Council to ensure the provision of DFG’s meet the Council’s funding requirements.  </w:t>
            </w:r>
          </w:p>
          <w:p w14:paraId="526EAA3E" w14:textId="77777777" w:rsidR="00AE657B" w:rsidRPr="0049601B" w:rsidRDefault="00AE657B" w:rsidP="00D5019B">
            <w:pPr>
              <w:numPr>
                <w:ilvl w:val="0"/>
                <w:numId w:val="10"/>
              </w:numPr>
              <w:tabs>
                <w:tab w:val="clear" w:pos="2160"/>
                <w:tab w:val="num" w:pos="473"/>
              </w:tabs>
              <w:ind w:left="454"/>
              <w:rPr>
                <w:rFonts w:ascii="Arial" w:hAnsi="Arial" w:cs="Arial"/>
                <w:sz w:val="22"/>
                <w:szCs w:val="22"/>
              </w:rPr>
            </w:pPr>
            <w:r w:rsidRPr="63933325">
              <w:rPr>
                <w:rFonts w:ascii="Arial" w:hAnsi="Arial" w:cs="Arial"/>
                <w:sz w:val="22"/>
                <w:szCs w:val="22"/>
              </w:rPr>
              <w:t>Continue discussions/participation with County Council regarding various funding streams.</w:t>
            </w:r>
          </w:p>
          <w:p w14:paraId="7A85F1F9" w14:textId="77777777" w:rsidR="00AE657B" w:rsidRPr="0049601B" w:rsidRDefault="00AE657B" w:rsidP="00D5019B">
            <w:pPr>
              <w:numPr>
                <w:ilvl w:val="0"/>
                <w:numId w:val="10"/>
              </w:numPr>
              <w:tabs>
                <w:tab w:val="clear" w:pos="2160"/>
                <w:tab w:val="num" w:pos="473"/>
              </w:tabs>
              <w:ind w:left="454"/>
              <w:rPr>
                <w:rFonts w:ascii="Arial" w:hAnsi="Arial" w:cs="Arial"/>
                <w:sz w:val="22"/>
                <w:szCs w:val="22"/>
              </w:rPr>
            </w:pPr>
            <w:r w:rsidRPr="63933325">
              <w:rPr>
                <w:rFonts w:ascii="Arial" w:hAnsi="Arial" w:cs="Arial"/>
                <w:sz w:val="22"/>
                <w:szCs w:val="22"/>
              </w:rPr>
              <w:t>Council Leader is a Non-Constituent Member on Greater Lincs Combined County Authority</w:t>
            </w:r>
          </w:p>
          <w:p w14:paraId="7FA0DB68" w14:textId="77777777" w:rsidR="00AE657B" w:rsidRPr="0049601B" w:rsidRDefault="00AE657B" w:rsidP="00D5019B">
            <w:pPr>
              <w:numPr>
                <w:ilvl w:val="0"/>
                <w:numId w:val="10"/>
              </w:numPr>
              <w:tabs>
                <w:tab w:val="clear" w:pos="2160"/>
                <w:tab w:val="num" w:pos="473"/>
              </w:tabs>
              <w:ind w:left="454"/>
              <w:rPr>
                <w:rFonts w:ascii="Arial" w:hAnsi="Arial" w:cs="Arial"/>
                <w:sz w:val="22"/>
                <w:szCs w:val="22"/>
              </w:rPr>
            </w:pPr>
            <w:r w:rsidRPr="63933325">
              <w:rPr>
                <w:rFonts w:ascii="Arial" w:hAnsi="Arial" w:cs="Arial"/>
                <w:sz w:val="22"/>
                <w:szCs w:val="22"/>
              </w:rPr>
              <w:t>Council to be actively involved in the development of the Housing Strategy/Needs Assessment by the MCA to ensure it’s priorities are reflected, to be used to guide future funding allocations.</w:t>
            </w:r>
          </w:p>
          <w:p w14:paraId="590E3205" w14:textId="77777777" w:rsidR="00AE657B" w:rsidRPr="0049601B" w:rsidRDefault="00AE657B" w:rsidP="00D5019B">
            <w:pPr>
              <w:numPr>
                <w:ilvl w:val="0"/>
                <w:numId w:val="10"/>
              </w:numPr>
              <w:tabs>
                <w:tab w:val="clear" w:pos="2160"/>
                <w:tab w:val="num" w:pos="473"/>
              </w:tabs>
              <w:ind w:left="454"/>
              <w:rPr>
                <w:rFonts w:ascii="Arial" w:hAnsi="Arial" w:cs="Arial"/>
                <w:sz w:val="22"/>
                <w:szCs w:val="22"/>
              </w:rPr>
            </w:pPr>
            <w:r w:rsidRPr="63933325">
              <w:rPr>
                <w:rFonts w:ascii="Arial" w:hAnsi="Arial" w:cs="Arial"/>
                <w:sz w:val="22"/>
                <w:szCs w:val="22"/>
              </w:rPr>
              <w:t>New schemes not approved until external funding secured.</w:t>
            </w:r>
          </w:p>
          <w:p w14:paraId="10A1D2CB" w14:textId="77777777" w:rsidR="00AE657B" w:rsidRPr="0049601B" w:rsidRDefault="00AE657B" w:rsidP="00D5019B">
            <w:pPr>
              <w:ind w:left="113"/>
              <w:rPr>
                <w:rFonts w:ascii="Arial" w:hAnsi="Arial" w:cs="Arial"/>
                <w:sz w:val="22"/>
                <w:szCs w:val="22"/>
              </w:rPr>
            </w:pPr>
          </w:p>
        </w:tc>
      </w:tr>
      <w:tr w:rsidR="00E94C11" w:rsidRPr="001A2856" w14:paraId="4F454A6C" w14:textId="77777777" w:rsidTr="00AF115F">
        <w:trPr>
          <w:tblHeader/>
        </w:trPr>
        <w:tc>
          <w:tcPr>
            <w:tcW w:w="693" w:type="dxa"/>
          </w:tcPr>
          <w:p w14:paraId="5205DA16" w14:textId="3798839A" w:rsidR="00E412BF" w:rsidRPr="00E214FE" w:rsidRDefault="00AF3DCD" w:rsidP="0044518D">
            <w:pPr>
              <w:rPr>
                <w:rFonts w:ascii="Arial" w:hAnsi="Arial" w:cs="Arial"/>
                <w:sz w:val="22"/>
              </w:rPr>
            </w:pPr>
            <w:r>
              <w:rPr>
                <w:rFonts w:ascii="Arial" w:hAnsi="Arial" w:cs="Arial"/>
                <w:sz w:val="22"/>
              </w:rPr>
              <w:t>6</w:t>
            </w:r>
          </w:p>
        </w:tc>
        <w:tc>
          <w:tcPr>
            <w:tcW w:w="2108" w:type="dxa"/>
          </w:tcPr>
          <w:p w14:paraId="458C5C1B" w14:textId="77777777" w:rsidR="00E412BF" w:rsidRPr="00E214FE" w:rsidRDefault="00E412BF" w:rsidP="0044518D">
            <w:pPr>
              <w:rPr>
                <w:rFonts w:ascii="Arial" w:hAnsi="Arial" w:cs="Arial"/>
                <w:sz w:val="22"/>
              </w:rPr>
            </w:pPr>
            <w:r w:rsidRPr="00E214FE">
              <w:rPr>
                <w:rFonts w:ascii="Arial" w:hAnsi="Arial" w:cs="Arial"/>
                <w:sz w:val="22"/>
              </w:rPr>
              <w:t xml:space="preserve">Demand for services </w:t>
            </w:r>
          </w:p>
        </w:tc>
        <w:tc>
          <w:tcPr>
            <w:tcW w:w="3420" w:type="dxa"/>
            <w:tcBorders>
              <w:bottom w:val="single" w:sz="4" w:space="0" w:color="auto"/>
            </w:tcBorders>
          </w:tcPr>
          <w:p w14:paraId="5D6DB405" w14:textId="043D3B37" w:rsidR="004414AB" w:rsidRPr="00E214FE" w:rsidRDefault="00E412BF" w:rsidP="0044518D">
            <w:pPr>
              <w:ind w:firstLine="3"/>
              <w:rPr>
                <w:rFonts w:ascii="Arial" w:hAnsi="Arial" w:cs="Arial"/>
                <w:sz w:val="22"/>
              </w:rPr>
            </w:pPr>
            <w:r w:rsidRPr="00E214FE">
              <w:rPr>
                <w:rFonts w:ascii="Arial" w:hAnsi="Arial" w:cs="Arial"/>
                <w:sz w:val="22"/>
              </w:rPr>
              <w:t xml:space="preserve">Impact of </w:t>
            </w:r>
            <w:r w:rsidR="001D396B" w:rsidRPr="00E214FE">
              <w:rPr>
                <w:rFonts w:ascii="Arial" w:hAnsi="Arial" w:cs="Arial"/>
                <w:sz w:val="22"/>
              </w:rPr>
              <w:t>c</w:t>
            </w:r>
            <w:r w:rsidR="00CD28EC" w:rsidRPr="00E214FE">
              <w:rPr>
                <w:rFonts w:ascii="Arial" w:hAnsi="Arial" w:cs="Arial"/>
                <w:sz w:val="22"/>
              </w:rPr>
              <w:t>ost-of-</w:t>
            </w:r>
            <w:r w:rsidR="001D396B" w:rsidRPr="00E214FE">
              <w:rPr>
                <w:rFonts w:ascii="Arial" w:hAnsi="Arial" w:cs="Arial"/>
                <w:sz w:val="22"/>
              </w:rPr>
              <w:t>l</w:t>
            </w:r>
            <w:r w:rsidR="00CD28EC" w:rsidRPr="00E214FE">
              <w:rPr>
                <w:rFonts w:ascii="Arial" w:hAnsi="Arial" w:cs="Arial"/>
                <w:sz w:val="22"/>
              </w:rPr>
              <w:t>iving</w:t>
            </w:r>
            <w:r w:rsidRPr="00E214FE">
              <w:rPr>
                <w:rFonts w:ascii="Arial" w:hAnsi="Arial" w:cs="Arial"/>
                <w:sz w:val="22"/>
              </w:rPr>
              <w:t xml:space="preserve"> crisis on service demands, e.g. homelessness</w:t>
            </w:r>
            <w:r w:rsidR="00201678" w:rsidRPr="00E214FE">
              <w:rPr>
                <w:rFonts w:ascii="Arial" w:hAnsi="Arial" w:cs="Arial"/>
                <w:sz w:val="22"/>
              </w:rPr>
              <w:t xml:space="preserve"> (temp accommodation)</w:t>
            </w:r>
            <w:r w:rsidRPr="00E214FE">
              <w:rPr>
                <w:rFonts w:ascii="Arial" w:hAnsi="Arial" w:cs="Arial"/>
                <w:sz w:val="22"/>
              </w:rPr>
              <w:t>, revenues and benefits, customer services, council housing etc</w:t>
            </w:r>
            <w:r w:rsidR="00EB1109">
              <w:rPr>
                <w:rFonts w:ascii="Arial" w:hAnsi="Arial" w:cs="Arial"/>
                <w:sz w:val="22"/>
              </w:rPr>
              <w:t>.</w:t>
            </w:r>
            <w:r w:rsidR="003A7B04" w:rsidRPr="00E214FE">
              <w:rPr>
                <w:rFonts w:ascii="Arial" w:hAnsi="Arial" w:cs="Arial"/>
                <w:sz w:val="22"/>
              </w:rPr>
              <w:t xml:space="preserve">  </w:t>
            </w:r>
          </w:p>
          <w:p w14:paraId="1D1A166F" w14:textId="77777777" w:rsidR="004414AB" w:rsidRPr="00E214FE" w:rsidRDefault="004414AB" w:rsidP="0044518D">
            <w:pPr>
              <w:ind w:firstLine="3"/>
              <w:rPr>
                <w:rFonts w:ascii="Arial" w:hAnsi="Arial" w:cs="Arial"/>
                <w:sz w:val="22"/>
              </w:rPr>
            </w:pPr>
          </w:p>
          <w:p w14:paraId="34B647AF" w14:textId="4CAD0D1C" w:rsidR="00E412BF" w:rsidRPr="00E214FE" w:rsidRDefault="004414AB" w:rsidP="0044518D">
            <w:pPr>
              <w:ind w:firstLine="3"/>
              <w:rPr>
                <w:rFonts w:ascii="Arial" w:hAnsi="Arial" w:cs="Arial"/>
                <w:sz w:val="22"/>
              </w:rPr>
            </w:pPr>
            <w:r w:rsidRPr="00E214FE">
              <w:rPr>
                <w:rFonts w:ascii="Arial" w:hAnsi="Arial" w:cs="Arial"/>
                <w:sz w:val="22"/>
              </w:rPr>
              <w:t>Impact of</w:t>
            </w:r>
            <w:r w:rsidR="003A7B04" w:rsidRPr="00E214FE">
              <w:rPr>
                <w:rFonts w:ascii="Arial" w:hAnsi="Arial" w:cs="Arial"/>
                <w:sz w:val="22"/>
              </w:rPr>
              <w:t xml:space="preserve"> national housing crisis and shortage of affordable homes</w:t>
            </w:r>
            <w:r w:rsidRPr="00E214FE">
              <w:rPr>
                <w:rFonts w:ascii="Arial" w:hAnsi="Arial" w:cs="Arial"/>
                <w:sz w:val="22"/>
              </w:rPr>
              <w:t>, including</w:t>
            </w:r>
            <w:r w:rsidR="00BB4BDB" w:rsidRPr="00E214FE">
              <w:rPr>
                <w:rFonts w:ascii="Arial" w:hAnsi="Arial" w:cs="Arial"/>
                <w:sz w:val="22"/>
              </w:rPr>
              <w:t xml:space="preserve"> Govt policies around asylum dispersal, early prison release etc</w:t>
            </w:r>
            <w:r w:rsidRPr="00E214FE">
              <w:rPr>
                <w:rFonts w:ascii="Arial" w:hAnsi="Arial" w:cs="Arial"/>
                <w:sz w:val="22"/>
              </w:rPr>
              <w:t>, on housing services.</w:t>
            </w:r>
          </w:p>
          <w:p w14:paraId="4FE8D02D" w14:textId="77777777" w:rsidR="00E412BF" w:rsidRPr="00E214FE" w:rsidRDefault="00E412BF" w:rsidP="0044518D">
            <w:pPr>
              <w:rPr>
                <w:rFonts w:ascii="Arial" w:hAnsi="Arial" w:cs="Arial"/>
                <w:sz w:val="22"/>
              </w:rPr>
            </w:pPr>
          </w:p>
          <w:p w14:paraId="2A36DD26" w14:textId="5DFE711B" w:rsidR="00E412BF" w:rsidRPr="00E214FE" w:rsidRDefault="00E412BF" w:rsidP="0044518D">
            <w:pPr>
              <w:ind w:firstLine="3"/>
              <w:rPr>
                <w:rFonts w:ascii="Arial" w:hAnsi="Arial" w:cs="Arial"/>
                <w:sz w:val="22"/>
              </w:rPr>
            </w:pPr>
            <w:r w:rsidRPr="00E214FE">
              <w:rPr>
                <w:rFonts w:ascii="Arial" w:hAnsi="Arial" w:cs="Arial"/>
                <w:sz w:val="22"/>
              </w:rPr>
              <w:t>The increase in property numbers and development of the City Centre results in additional cost pressures within the Services that have not been built into the budget</w:t>
            </w:r>
            <w:r w:rsidR="00201678" w:rsidRPr="00E214FE">
              <w:rPr>
                <w:rFonts w:ascii="Arial" w:hAnsi="Arial" w:cs="Arial"/>
                <w:sz w:val="22"/>
              </w:rPr>
              <w:t>.</w:t>
            </w:r>
          </w:p>
          <w:p w14:paraId="15CEB121" w14:textId="77777777" w:rsidR="00E412BF" w:rsidRPr="00E214FE" w:rsidRDefault="00E412BF" w:rsidP="0044518D">
            <w:pPr>
              <w:ind w:firstLine="3"/>
              <w:rPr>
                <w:rFonts w:ascii="Arial" w:hAnsi="Arial" w:cs="Arial"/>
                <w:sz w:val="22"/>
              </w:rPr>
            </w:pPr>
          </w:p>
          <w:p w14:paraId="356E0CEA" w14:textId="0545F7BF" w:rsidR="00E412BF" w:rsidRPr="00E214FE" w:rsidRDefault="00E412BF" w:rsidP="0044518D">
            <w:pPr>
              <w:ind w:firstLine="3"/>
              <w:rPr>
                <w:rFonts w:ascii="Arial" w:hAnsi="Arial" w:cs="Arial"/>
                <w:sz w:val="22"/>
              </w:rPr>
            </w:pPr>
            <w:r w:rsidRPr="00E214FE">
              <w:rPr>
                <w:rFonts w:ascii="Arial" w:hAnsi="Arial" w:cs="Arial"/>
                <w:sz w:val="22"/>
              </w:rPr>
              <w:t>Increasing demands for housing tenant support as other providers withdraw services</w:t>
            </w:r>
            <w:r w:rsidR="00201678" w:rsidRPr="00E214FE">
              <w:rPr>
                <w:rFonts w:ascii="Arial" w:hAnsi="Arial" w:cs="Arial"/>
                <w:sz w:val="22"/>
              </w:rPr>
              <w:t>.</w:t>
            </w:r>
          </w:p>
          <w:p w14:paraId="12854C37" w14:textId="77777777" w:rsidR="00434A37" w:rsidRPr="00E214FE" w:rsidRDefault="00434A37" w:rsidP="0044518D">
            <w:pPr>
              <w:ind w:firstLine="3"/>
              <w:rPr>
                <w:rFonts w:ascii="Arial" w:hAnsi="Arial" w:cs="Arial"/>
                <w:sz w:val="22"/>
              </w:rPr>
            </w:pPr>
          </w:p>
          <w:p w14:paraId="5843FECE" w14:textId="77777777" w:rsidR="00F964DE" w:rsidRPr="00E214FE" w:rsidRDefault="00F964DE" w:rsidP="0044518D">
            <w:pPr>
              <w:ind w:firstLine="3"/>
              <w:rPr>
                <w:rFonts w:ascii="Arial" w:hAnsi="Arial" w:cs="Arial"/>
                <w:sz w:val="22"/>
              </w:rPr>
            </w:pPr>
          </w:p>
          <w:p w14:paraId="59F24340" w14:textId="77777777" w:rsidR="00E412BF" w:rsidRPr="00E214FE" w:rsidRDefault="00E412BF" w:rsidP="00227D08">
            <w:pPr>
              <w:ind w:firstLine="3"/>
              <w:rPr>
                <w:rFonts w:ascii="Arial" w:hAnsi="Arial" w:cs="Arial"/>
                <w:sz w:val="22"/>
              </w:rPr>
            </w:pPr>
          </w:p>
        </w:tc>
        <w:tc>
          <w:tcPr>
            <w:tcW w:w="1980" w:type="dxa"/>
            <w:tcBorders>
              <w:bottom w:val="single" w:sz="4" w:space="0" w:color="auto"/>
            </w:tcBorders>
            <w:shd w:val="clear" w:color="auto" w:fill="FFC000"/>
          </w:tcPr>
          <w:p w14:paraId="3E0ACAB6" w14:textId="77777777" w:rsidR="00E412BF" w:rsidRPr="00E214FE" w:rsidRDefault="00E412BF" w:rsidP="0044518D">
            <w:pPr>
              <w:jc w:val="center"/>
              <w:rPr>
                <w:rFonts w:ascii="Arial" w:hAnsi="Arial" w:cs="Arial"/>
                <w:sz w:val="22"/>
              </w:rPr>
            </w:pPr>
          </w:p>
          <w:p w14:paraId="3F0F8780" w14:textId="7FC6E4F6" w:rsidR="00E412BF" w:rsidRPr="00E214FE" w:rsidRDefault="00E412BF" w:rsidP="0044518D">
            <w:pPr>
              <w:jc w:val="center"/>
              <w:rPr>
                <w:rFonts w:ascii="Arial" w:hAnsi="Arial" w:cs="Arial"/>
                <w:b/>
                <w:sz w:val="22"/>
                <w:szCs w:val="22"/>
              </w:rPr>
            </w:pPr>
            <w:r w:rsidRPr="00E214FE">
              <w:rPr>
                <w:rFonts w:ascii="Arial" w:hAnsi="Arial" w:cs="Arial"/>
                <w:b/>
                <w:sz w:val="22"/>
                <w:szCs w:val="22"/>
              </w:rPr>
              <w:t xml:space="preserve">Total Score: </w:t>
            </w:r>
            <w:r w:rsidR="00AF115F">
              <w:rPr>
                <w:rFonts w:ascii="Arial" w:hAnsi="Arial" w:cs="Arial"/>
                <w:b/>
                <w:sz w:val="22"/>
                <w:szCs w:val="22"/>
              </w:rPr>
              <w:t>9</w:t>
            </w:r>
          </w:p>
          <w:p w14:paraId="51CE1C1B" w14:textId="77777777" w:rsidR="00E412BF" w:rsidRPr="00E214FE" w:rsidRDefault="00E412BF" w:rsidP="0044518D">
            <w:pPr>
              <w:jc w:val="center"/>
              <w:rPr>
                <w:rFonts w:ascii="Arial" w:hAnsi="Arial" w:cs="Arial"/>
                <w:sz w:val="22"/>
                <w:szCs w:val="22"/>
              </w:rPr>
            </w:pPr>
          </w:p>
          <w:p w14:paraId="6B191325" w14:textId="3DCC9329" w:rsidR="00E412BF" w:rsidRPr="00E214FE" w:rsidRDefault="00E412BF" w:rsidP="0044518D">
            <w:pPr>
              <w:jc w:val="center"/>
              <w:rPr>
                <w:rFonts w:ascii="Arial" w:hAnsi="Arial" w:cs="Arial"/>
                <w:sz w:val="22"/>
                <w:szCs w:val="22"/>
              </w:rPr>
            </w:pPr>
            <w:r w:rsidRPr="00E214FE">
              <w:rPr>
                <w:rFonts w:ascii="Arial" w:hAnsi="Arial" w:cs="Arial"/>
                <w:sz w:val="22"/>
                <w:szCs w:val="22"/>
              </w:rPr>
              <w:t xml:space="preserve">Likelihood: </w:t>
            </w:r>
            <w:r w:rsidR="00AF115F">
              <w:rPr>
                <w:rFonts w:ascii="Arial" w:hAnsi="Arial" w:cs="Arial"/>
                <w:sz w:val="22"/>
                <w:szCs w:val="22"/>
              </w:rPr>
              <w:t>3</w:t>
            </w:r>
          </w:p>
          <w:p w14:paraId="3C005C64" w14:textId="1A0F1D59" w:rsidR="00E412BF" w:rsidRPr="00E214FE" w:rsidRDefault="00E412BF" w:rsidP="0044518D">
            <w:pPr>
              <w:jc w:val="center"/>
              <w:rPr>
                <w:rFonts w:ascii="Arial" w:hAnsi="Arial" w:cs="Arial"/>
                <w:sz w:val="22"/>
              </w:rPr>
            </w:pPr>
            <w:r w:rsidRPr="00E214FE">
              <w:rPr>
                <w:rFonts w:ascii="Arial" w:hAnsi="Arial" w:cs="Arial"/>
                <w:sz w:val="22"/>
                <w:szCs w:val="22"/>
              </w:rPr>
              <w:t xml:space="preserve">Impact: </w:t>
            </w:r>
            <w:r w:rsidR="00CD28EC" w:rsidRPr="00E214FE">
              <w:rPr>
                <w:rFonts w:ascii="Arial" w:hAnsi="Arial" w:cs="Arial"/>
                <w:sz w:val="22"/>
                <w:szCs w:val="22"/>
              </w:rPr>
              <w:t>3</w:t>
            </w:r>
          </w:p>
        </w:tc>
        <w:tc>
          <w:tcPr>
            <w:tcW w:w="1926" w:type="dxa"/>
            <w:tcBorders>
              <w:bottom w:val="single" w:sz="4" w:space="0" w:color="auto"/>
            </w:tcBorders>
            <w:shd w:val="clear" w:color="auto" w:fill="FFC000" w:themeFill="accent4"/>
          </w:tcPr>
          <w:p w14:paraId="74E53C2C" w14:textId="77777777" w:rsidR="00E412BF" w:rsidRPr="00E214FE" w:rsidRDefault="00E412BF" w:rsidP="0044518D">
            <w:pPr>
              <w:jc w:val="center"/>
              <w:rPr>
                <w:rFonts w:ascii="Arial" w:hAnsi="Arial" w:cs="Arial"/>
                <w:sz w:val="22"/>
              </w:rPr>
            </w:pPr>
          </w:p>
          <w:p w14:paraId="194247A4" w14:textId="06F31BD6" w:rsidR="00E412BF" w:rsidRPr="00E214FE" w:rsidRDefault="00E412BF" w:rsidP="0044518D">
            <w:pPr>
              <w:jc w:val="center"/>
              <w:rPr>
                <w:rFonts w:ascii="Arial" w:hAnsi="Arial" w:cs="Arial"/>
                <w:b/>
                <w:sz w:val="22"/>
                <w:szCs w:val="22"/>
              </w:rPr>
            </w:pPr>
            <w:r w:rsidRPr="00E214FE">
              <w:rPr>
                <w:rFonts w:ascii="Arial" w:hAnsi="Arial" w:cs="Arial"/>
                <w:b/>
                <w:sz w:val="22"/>
                <w:szCs w:val="22"/>
              </w:rPr>
              <w:t xml:space="preserve">Total Score: </w:t>
            </w:r>
            <w:r w:rsidR="00352746">
              <w:rPr>
                <w:rFonts w:ascii="Arial" w:hAnsi="Arial" w:cs="Arial"/>
                <w:b/>
                <w:sz w:val="22"/>
                <w:szCs w:val="22"/>
              </w:rPr>
              <w:t>9</w:t>
            </w:r>
          </w:p>
          <w:p w14:paraId="1EC32889" w14:textId="77777777" w:rsidR="00E412BF" w:rsidRPr="00E214FE" w:rsidRDefault="00E412BF" w:rsidP="0044518D">
            <w:pPr>
              <w:jc w:val="center"/>
              <w:rPr>
                <w:rFonts w:ascii="Arial" w:hAnsi="Arial" w:cs="Arial"/>
                <w:sz w:val="22"/>
                <w:szCs w:val="22"/>
              </w:rPr>
            </w:pPr>
          </w:p>
          <w:p w14:paraId="3FF6CDF6" w14:textId="36EF9CCA" w:rsidR="00E412BF" w:rsidRPr="00E214FE" w:rsidRDefault="00E412BF" w:rsidP="0044518D">
            <w:pPr>
              <w:jc w:val="center"/>
              <w:rPr>
                <w:rFonts w:ascii="Arial" w:hAnsi="Arial" w:cs="Arial"/>
                <w:sz w:val="22"/>
                <w:szCs w:val="22"/>
              </w:rPr>
            </w:pPr>
            <w:r w:rsidRPr="00E214FE">
              <w:rPr>
                <w:rFonts w:ascii="Arial" w:hAnsi="Arial" w:cs="Arial"/>
                <w:sz w:val="22"/>
                <w:szCs w:val="22"/>
              </w:rPr>
              <w:t xml:space="preserve">Likelihood: </w:t>
            </w:r>
            <w:r w:rsidR="00352746">
              <w:rPr>
                <w:rFonts w:ascii="Arial" w:hAnsi="Arial" w:cs="Arial"/>
                <w:sz w:val="22"/>
                <w:szCs w:val="22"/>
              </w:rPr>
              <w:t>3</w:t>
            </w:r>
          </w:p>
          <w:p w14:paraId="7A482710" w14:textId="77777777" w:rsidR="00E412BF" w:rsidRPr="00E214FE" w:rsidRDefault="00E412BF" w:rsidP="0044518D">
            <w:pPr>
              <w:jc w:val="center"/>
              <w:rPr>
                <w:rFonts w:ascii="Arial" w:hAnsi="Arial" w:cs="Arial"/>
                <w:sz w:val="22"/>
              </w:rPr>
            </w:pPr>
            <w:r w:rsidRPr="00E214FE">
              <w:rPr>
                <w:rFonts w:ascii="Arial" w:hAnsi="Arial" w:cs="Arial"/>
                <w:sz w:val="22"/>
                <w:szCs w:val="22"/>
              </w:rPr>
              <w:t>Impact: 3</w:t>
            </w:r>
          </w:p>
        </w:tc>
        <w:tc>
          <w:tcPr>
            <w:tcW w:w="5276" w:type="dxa"/>
            <w:tcBorders>
              <w:bottom w:val="single" w:sz="4" w:space="0" w:color="auto"/>
            </w:tcBorders>
          </w:tcPr>
          <w:p w14:paraId="3D0F82B4" w14:textId="15F67A7B" w:rsidR="00E412BF" w:rsidRPr="00E214FE" w:rsidRDefault="00E412BF" w:rsidP="00CF25BB">
            <w:pPr>
              <w:numPr>
                <w:ilvl w:val="0"/>
                <w:numId w:val="7"/>
              </w:numPr>
              <w:rPr>
                <w:rFonts w:ascii="Arial" w:hAnsi="Arial" w:cs="Arial"/>
                <w:sz w:val="22"/>
              </w:rPr>
            </w:pPr>
            <w:r w:rsidRPr="00E214FE">
              <w:rPr>
                <w:rFonts w:ascii="Arial" w:hAnsi="Arial" w:cs="Arial"/>
                <w:sz w:val="22"/>
              </w:rPr>
              <w:t>Identification and drawdown of additional funding made available from Government and others to support additional demand</w:t>
            </w:r>
            <w:r w:rsidR="00D43C5D" w:rsidRPr="00E214FE">
              <w:rPr>
                <w:rFonts w:ascii="Arial" w:hAnsi="Arial" w:cs="Arial"/>
                <w:sz w:val="22"/>
              </w:rPr>
              <w:t xml:space="preserve"> </w:t>
            </w:r>
            <w:r w:rsidR="009073E7" w:rsidRPr="00E214FE">
              <w:rPr>
                <w:rFonts w:ascii="Arial" w:hAnsi="Arial" w:cs="Arial"/>
                <w:sz w:val="22"/>
              </w:rPr>
              <w:t>e.g. Affordable Homes, Homes England etc</w:t>
            </w:r>
            <w:r w:rsidR="00D43C5D" w:rsidRPr="00E214FE">
              <w:rPr>
                <w:rFonts w:ascii="Arial" w:hAnsi="Arial" w:cs="Arial"/>
                <w:sz w:val="22"/>
              </w:rPr>
              <w:t xml:space="preserve"> </w:t>
            </w:r>
          </w:p>
          <w:p w14:paraId="44905BE6" w14:textId="77777777" w:rsidR="00E412BF" w:rsidRPr="00E214FE" w:rsidRDefault="00E412BF" w:rsidP="00CF25BB">
            <w:pPr>
              <w:numPr>
                <w:ilvl w:val="0"/>
                <w:numId w:val="7"/>
              </w:numPr>
              <w:rPr>
                <w:rFonts w:ascii="Arial" w:hAnsi="Arial" w:cs="Arial"/>
                <w:sz w:val="22"/>
              </w:rPr>
            </w:pPr>
            <w:r w:rsidRPr="00E214FE">
              <w:rPr>
                <w:rFonts w:ascii="Arial" w:hAnsi="Arial" w:cs="Arial"/>
                <w:sz w:val="22"/>
              </w:rPr>
              <w:t>Collaboration and joint working arrangement opportunities identified with local partners to help meet additional service demands</w:t>
            </w:r>
          </w:p>
          <w:p w14:paraId="712259F2" w14:textId="77777777" w:rsidR="00E412BF" w:rsidRPr="00E214FE" w:rsidRDefault="00E412BF" w:rsidP="00CF25BB">
            <w:pPr>
              <w:numPr>
                <w:ilvl w:val="0"/>
                <w:numId w:val="7"/>
              </w:numPr>
              <w:rPr>
                <w:rFonts w:ascii="Arial" w:hAnsi="Arial" w:cs="Arial"/>
                <w:sz w:val="22"/>
              </w:rPr>
            </w:pPr>
            <w:r w:rsidRPr="00E214FE">
              <w:rPr>
                <w:rFonts w:ascii="Arial" w:hAnsi="Arial" w:cs="Arial"/>
                <w:sz w:val="22"/>
              </w:rPr>
              <w:t>Consistent monitoring of service demands and needs of the city through data analysis and key indicators</w:t>
            </w:r>
          </w:p>
          <w:p w14:paraId="63B03A93" w14:textId="67C31E6A" w:rsidR="00E412BF" w:rsidRPr="00E214FE" w:rsidRDefault="00E412BF" w:rsidP="00CF25BB">
            <w:pPr>
              <w:numPr>
                <w:ilvl w:val="0"/>
                <w:numId w:val="7"/>
              </w:numPr>
              <w:rPr>
                <w:rFonts w:ascii="Arial" w:hAnsi="Arial" w:cs="Arial"/>
                <w:sz w:val="22"/>
              </w:rPr>
            </w:pPr>
            <w:r w:rsidRPr="00E214FE">
              <w:rPr>
                <w:rFonts w:ascii="Arial" w:hAnsi="Arial" w:cs="Arial"/>
                <w:sz w:val="22"/>
              </w:rPr>
              <w:t>Report quarterly to Corporate Management Team, Executive and Performance Scrutiny Committee</w:t>
            </w:r>
            <w:r w:rsidR="00B0588B" w:rsidRPr="00E214FE">
              <w:rPr>
                <w:rFonts w:ascii="Arial" w:hAnsi="Arial" w:cs="Arial"/>
                <w:sz w:val="22"/>
              </w:rPr>
              <w:t xml:space="preserve"> and key service performance indicators</w:t>
            </w:r>
          </w:p>
          <w:p w14:paraId="4372B5C1" w14:textId="1708DDD2" w:rsidR="00B0588B" w:rsidRPr="00E214FE" w:rsidRDefault="00E03003" w:rsidP="00CF25BB">
            <w:pPr>
              <w:numPr>
                <w:ilvl w:val="0"/>
                <w:numId w:val="7"/>
              </w:numPr>
              <w:rPr>
                <w:rFonts w:ascii="Arial" w:hAnsi="Arial" w:cs="Arial"/>
                <w:sz w:val="22"/>
              </w:rPr>
            </w:pPr>
            <w:r w:rsidRPr="00E214FE">
              <w:rPr>
                <w:rFonts w:ascii="Arial" w:hAnsi="Arial" w:cs="Arial"/>
                <w:sz w:val="22"/>
              </w:rPr>
              <w:t>Interventions, as part of housing supply, to be developed to respond to temporary accommodation shortage</w:t>
            </w:r>
            <w:r w:rsidR="007B69A2" w:rsidRPr="00E214FE">
              <w:rPr>
                <w:rFonts w:ascii="Arial" w:hAnsi="Arial" w:cs="Arial"/>
                <w:sz w:val="22"/>
              </w:rPr>
              <w:t>s.</w:t>
            </w:r>
          </w:p>
          <w:p w14:paraId="5382F24A" w14:textId="3B3CE738" w:rsidR="00D43C5D" w:rsidRPr="00E214FE" w:rsidRDefault="00D43C5D" w:rsidP="00CF25BB">
            <w:pPr>
              <w:numPr>
                <w:ilvl w:val="0"/>
                <w:numId w:val="7"/>
              </w:numPr>
              <w:rPr>
                <w:rFonts w:ascii="Arial" w:hAnsi="Arial" w:cs="Arial"/>
                <w:sz w:val="22"/>
              </w:rPr>
            </w:pPr>
            <w:r w:rsidRPr="00E214FE">
              <w:rPr>
                <w:rFonts w:ascii="Arial" w:hAnsi="Arial" w:cs="Arial"/>
                <w:sz w:val="22"/>
              </w:rPr>
              <w:t>Council house new build schemes to increase supply of affordable housing.</w:t>
            </w:r>
          </w:p>
          <w:p w14:paraId="4A327DD5" w14:textId="3CFB2953" w:rsidR="007B69A2" w:rsidRPr="00E214FE" w:rsidRDefault="007B69A2" w:rsidP="00CF25BB">
            <w:pPr>
              <w:numPr>
                <w:ilvl w:val="0"/>
                <w:numId w:val="7"/>
              </w:numPr>
              <w:rPr>
                <w:rFonts w:ascii="Arial" w:hAnsi="Arial" w:cs="Arial"/>
                <w:sz w:val="22"/>
              </w:rPr>
            </w:pPr>
            <w:r w:rsidRPr="00E214FE">
              <w:rPr>
                <w:rFonts w:ascii="Arial" w:hAnsi="Arial" w:cs="Arial"/>
                <w:sz w:val="22"/>
              </w:rPr>
              <w:t xml:space="preserve">Key housing developments in the City, e.g. </w:t>
            </w:r>
            <w:r w:rsidR="0011034A" w:rsidRPr="00E214FE">
              <w:rPr>
                <w:rFonts w:ascii="Arial" w:hAnsi="Arial" w:cs="Arial"/>
                <w:sz w:val="22"/>
              </w:rPr>
              <w:t>Charterholme</w:t>
            </w:r>
            <w:r w:rsidRPr="00E214FE">
              <w:rPr>
                <w:rFonts w:ascii="Arial" w:hAnsi="Arial" w:cs="Arial"/>
                <w:sz w:val="22"/>
              </w:rPr>
              <w:t xml:space="preserve"> to be factored into operational service budgets as </w:t>
            </w:r>
            <w:r w:rsidR="006A4138" w:rsidRPr="00E214FE">
              <w:rPr>
                <w:rFonts w:ascii="Arial" w:hAnsi="Arial" w:cs="Arial"/>
                <w:sz w:val="22"/>
              </w:rPr>
              <w:t>homes bought forward.</w:t>
            </w:r>
          </w:p>
          <w:p w14:paraId="4EDD41D6" w14:textId="439121B9" w:rsidR="00776D3E" w:rsidRDefault="002F3425" w:rsidP="00CF25BB">
            <w:pPr>
              <w:numPr>
                <w:ilvl w:val="0"/>
                <w:numId w:val="7"/>
              </w:numPr>
              <w:rPr>
                <w:rFonts w:ascii="Arial" w:hAnsi="Arial" w:cs="Arial"/>
                <w:sz w:val="22"/>
              </w:rPr>
            </w:pPr>
            <w:r>
              <w:rPr>
                <w:rFonts w:ascii="Arial" w:hAnsi="Arial" w:cs="Arial"/>
                <w:sz w:val="22"/>
              </w:rPr>
              <w:t>D</w:t>
            </w:r>
            <w:r w:rsidR="0011034A" w:rsidRPr="00E214FE">
              <w:rPr>
                <w:rFonts w:ascii="Arial" w:hAnsi="Arial" w:cs="Arial"/>
                <w:sz w:val="22"/>
              </w:rPr>
              <w:t>edicated officer r</w:t>
            </w:r>
            <w:r w:rsidR="00B2204D" w:rsidRPr="00E214FE">
              <w:rPr>
                <w:rFonts w:ascii="Arial" w:hAnsi="Arial" w:cs="Arial"/>
                <w:sz w:val="22"/>
              </w:rPr>
              <w:t xml:space="preserve">esource </w:t>
            </w:r>
            <w:r>
              <w:rPr>
                <w:rFonts w:ascii="Arial" w:hAnsi="Arial" w:cs="Arial"/>
                <w:sz w:val="22"/>
              </w:rPr>
              <w:t xml:space="preserve">for cost of living </w:t>
            </w:r>
            <w:r w:rsidR="001D396B" w:rsidRPr="00E214FE">
              <w:rPr>
                <w:rFonts w:ascii="Arial" w:hAnsi="Arial" w:cs="Arial"/>
                <w:sz w:val="22"/>
              </w:rPr>
              <w:t>interventions, including delivery of Government initiatives.</w:t>
            </w:r>
          </w:p>
          <w:p w14:paraId="51A5BA3E" w14:textId="104B951A" w:rsidR="002F3425" w:rsidRPr="00E214FE" w:rsidRDefault="002F3425" w:rsidP="00CF25BB">
            <w:pPr>
              <w:numPr>
                <w:ilvl w:val="0"/>
                <w:numId w:val="7"/>
              </w:numPr>
              <w:rPr>
                <w:rFonts w:ascii="Arial" w:hAnsi="Arial" w:cs="Arial"/>
                <w:sz w:val="22"/>
              </w:rPr>
            </w:pPr>
            <w:r>
              <w:rPr>
                <w:rFonts w:ascii="Arial" w:hAnsi="Arial" w:cs="Arial"/>
                <w:sz w:val="22"/>
              </w:rPr>
              <w:t xml:space="preserve">New Anti-Poverty Strategy </w:t>
            </w:r>
            <w:r w:rsidR="00E21895">
              <w:rPr>
                <w:rFonts w:ascii="Arial" w:hAnsi="Arial" w:cs="Arial"/>
                <w:sz w:val="22"/>
              </w:rPr>
              <w:t>being developed and launched in early 2026</w:t>
            </w:r>
          </w:p>
          <w:p w14:paraId="4050FD3A" w14:textId="60D67460" w:rsidR="00776D3E" w:rsidRPr="00E214FE" w:rsidRDefault="00776D3E" w:rsidP="00CF25BB">
            <w:pPr>
              <w:numPr>
                <w:ilvl w:val="0"/>
                <w:numId w:val="7"/>
              </w:numPr>
              <w:rPr>
                <w:rFonts w:ascii="Arial" w:hAnsi="Arial" w:cs="Arial"/>
                <w:sz w:val="22"/>
              </w:rPr>
            </w:pPr>
            <w:r w:rsidRPr="00E214FE">
              <w:rPr>
                <w:rFonts w:ascii="Arial" w:hAnsi="Arial" w:cs="Arial"/>
                <w:sz w:val="22"/>
              </w:rPr>
              <w:t>Continue to work with public sector partners</w:t>
            </w:r>
            <w:r w:rsidR="00480825" w:rsidRPr="00E214FE">
              <w:rPr>
                <w:rFonts w:ascii="Arial" w:hAnsi="Arial" w:cs="Arial"/>
                <w:sz w:val="22"/>
              </w:rPr>
              <w:t xml:space="preserve">, </w:t>
            </w:r>
            <w:r w:rsidR="00FD0092" w:rsidRPr="00E214FE">
              <w:rPr>
                <w:rFonts w:ascii="Arial" w:hAnsi="Arial" w:cs="Arial"/>
                <w:sz w:val="22"/>
              </w:rPr>
              <w:t>particularly</w:t>
            </w:r>
            <w:r w:rsidR="00480825" w:rsidRPr="00E214FE">
              <w:rPr>
                <w:rFonts w:ascii="Arial" w:hAnsi="Arial" w:cs="Arial"/>
                <w:sz w:val="22"/>
              </w:rPr>
              <w:t xml:space="preserve"> across Central Lincolnshire </w:t>
            </w:r>
            <w:r w:rsidR="00BF44B8" w:rsidRPr="00E214FE">
              <w:rPr>
                <w:rFonts w:ascii="Arial" w:hAnsi="Arial" w:cs="Arial"/>
                <w:sz w:val="22"/>
              </w:rPr>
              <w:t>around housing issues.</w:t>
            </w:r>
          </w:p>
          <w:p w14:paraId="32802A4C" w14:textId="6EDF16E1" w:rsidR="00EA0B43" w:rsidRPr="00E214FE" w:rsidRDefault="00EA0B43" w:rsidP="00CF25BB">
            <w:pPr>
              <w:numPr>
                <w:ilvl w:val="0"/>
                <w:numId w:val="7"/>
              </w:numPr>
              <w:rPr>
                <w:rFonts w:ascii="Arial" w:hAnsi="Arial" w:cs="Arial"/>
                <w:sz w:val="22"/>
              </w:rPr>
            </w:pPr>
            <w:r w:rsidRPr="00E214FE">
              <w:rPr>
                <w:rFonts w:ascii="Arial" w:hAnsi="Arial" w:cs="Arial"/>
                <w:sz w:val="22"/>
              </w:rPr>
              <w:t>Continue to lobby Governmen</w:t>
            </w:r>
            <w:r w:rsidR="00D43C5D" w:rsidRPr="00E214FE">
              <w:rPr>
                <w:rFonts w:ascii="Arial" w:hAnsi="Arial" w:cs="Arial"/>
                <w:sz w:val="22"/>
              </w:rPr>
              <w:t>t</w:t>
            </w:r>
            <w:r w:rsidRPr="00E214FE">
              <w:rPr>
                <w:rFonts w:ascii="Arial" w:hAnsi="Arial" w:cs="Arial"/>
                <w:sz w:val="22"/>
              </w:rPr>
              <w:t xml:space="preserve">, alongside other LA’s, in respect of costs of and funding for temporary </w:t>
            </w:r>
            <w:r w:rsidR="00B2204D" w:rsidRPr="00E214FE">
              <w:rPr>
                <w:rFonts w:ascii="Arial" w:hAnsi="Arial" w:cs="Arial"/>
                <w:sz w:val="22"/>
              </w:rPr>
              <w:t>and support/exempt accommodation</w:t>
            </w:r>
            <w:r w:rsidR="00D43C5D" w:rsidRPr="00E214FE">
              <w:rPr>
                <w:rFonts w:ascii="Arial" w:hAnsi="Arial" w:cs="Arial"/>
                <w:sz w:val="22"/>
              </w:rPr>
              <w:t>.</w:t>
            </w:r>
          </w:p>
          <w:p w14:paraId="11109A76" w14:textId="592A3E79" w:rsidR="00B2204D" w:rsidRPr="00E214FE" w:rsidRDefault="00B2204D" w:rsidP="00CF25BB">
            <w:pPr>
              <w:numPr>
                <w:ilvl w:val="0"/>
                <w:numId w:val="7"/>
              </w:numPr>
              <w:rPr>
                <w:rFonts w:ascii="Arial" w:hAnsi="Arial" w:cs="Arial"/>
                <w:sz w:val="22"/>
              </w:rPr>
            </w:pPr>
            <w:r w:rsidRPr="00E214FE">
              <w:rPr>
                <w:rFonts w:ascii="Arial" w:hAnsi="Arial" w:cs="Arial"/>
                <w:sz w:val="22"/>
              </w:rPr>
              <w:t>Support to housing providers to gain Registered Social Landlord status.</w:t>
            </w:r>
          </w:p>
          <w:p w14:paraId="7AC41422" w14:textId="77777777" w:rsidR="00E412BF" w:rsidRPr="00E214FE" w:rsidRDefault="00E412BF" w:rsidP="0044518D">
            <w:pPr>
              <w:ind w:left="454"/>
              <w:rPr>
                <w:rFonts w:ascii="Arial" w:hAnsi="Arial" w:cs="Arial"/>
                <w:sz w:val="22"/>
              </w:rPr>
            </w:pPr>
          </w:p>
        </w:tc>
      </w:tr>
      <w:tr w:rsidR="00E94C11" w:rsidRPr="001A2856" w14:paraId="0176BBA3" w14:textId="77777777" w:rsidTr="005D4071">
        <w:trPr>
          <w:tblHeader/>
        </w:trPr>
        <w:tc>
          <w:tcPr>
            <w:tcW w:w="693" w:type="dxa"/>
          </w:tcPr>
          <w:p w14:paraId="3319747F" w14:textId="4643E291" w:rsidR="00F263DA" w:rsidRPr="00DD4DE9" w:rsidRDefault="00AF3DCD" w:rsidP="0044518D">
            <w:pPr>
              <w:rPr>
                <w:rFonts w:ascii="Arial" w:hAnsi="Arial" w:cs="Arial"/>
                <w:sz w:val="22"/>
              </w:rPr>
            </w:pPr>
            <w:r>
              <w:rPr>
                <w:rFonts w:ascii="Arial" w:hAnsi="Arial" w:cs="Arial"/>
                <w:sz w:val="22"/>
              </w:rPr>
              <w:t>7</w:t>
            </w:r>
          </w:p>
        </w:tc>
        <w:tc>
          <w:tcPr>
            <w:tcW w:w="2108" w:type="dxa"/>
          </w:tcPr>
          <w:p w14:paraId="72970AEB" w14:textId="77777777" w:rsidR="00F263DA" w:rsidRPr="00DD4DE9" w:rsidRDefault="00F263DA" w:rsidP="0044518D">
            <w:pPr>
              <w:rPr>
                <w:rFonts w:ascii="Arial" w:hAnsi="Arial" w:cs="Arial"/>
                <w:sz w:val="22"/>
              </w:rPr>
            </w:pPr>
            <w:r w:rsidRPr="00DD4DE9">
              <w:rPr>
                <w:rFonts w:ascii="Arial" w:hAnsi="Arial" w:cs="Arial"/>
                <w:sz w:val="22"/>
              </w:rPr>
              <w:t>HRA Repairs and Maintenance Costs</w:t>
            </w:r>
          </w:p>
        </w:tc>
        <w:tc>
          <w:tcPr>
            <w:tcW w:w="3420" w:type="dxa"/>
            <w:tcBorders>
              <w:bottom w:val="single" w:sz="4" w:space="0" w:color="auto"/>
            </w:tcBorders>
          </w:tcPr>
          <w:p w14:paraId="278AD0F5" w14:textId="77777777" w:rsidR="00F263DA" w:rsidRPr="00DD4DE9" w:rsidRDefault="00F263DA" w:rsidP="0044518D">
            <w:pPr>
              <w:rPr>
                <w:rFonts w:ascii="Arial" w:hAnsi="Arial" w:cs="Arial"/>
                <w:sz w:val="22"/>
              </w:rPr>
            </w:pPr>
            <w:r w:rsidRPr="00DD4DE9">
              <w:rPr>
                <w:rFonts w:ascii="Arial" w:hAnsi="Arial" w:cs="Arial"/>
                <w:sz w:val="22"/>
              </w:rPr>
              <w:t>Reduced ability to recruit and retain skilled workforce in HRS, increased reliance on sub-contractors</w:t>
            </w:r>
          </w:p>
          <w:p w14:paraId="4714168E" w14:textId="77777777" w:rsidR="003F0EAE" w:rsidRPr="00DD4DE9" w:rsidRDefault="003F0EAE" w:rsidP="0044518D">
            <w:pPr>
              <w:rPr>
                <w:rFonts w:ascii="Arial" w:hAnsi="Arial" w:cs="Arial"/>
                <w:sz w:val="22"/>
              </w:rPr>
            </w:pPr>
          </w:p>
          <w:p w14:paraId="663B4D24" w14:textId="1A6C0A2D" w:rsidR="009871FA" w:rsidRPr="00DD4DE9" w:rsidRDefault="009871FA" w:rsidP="009871FA">
            <w:pPr>
              <w:rPr>
                <w:rFonts w:ascii="Arial" w:hAnsi="Arial" w:cs="Arial"/>
                <w:sz w:val="22"/>
              </w:rPr>
            </w:pPr>
            <w:r w:rsidRPr="00DD4DE9">
              <w:rPr>
                <w:rFonts w:ascii="Arial" w:hAnsi="Arial" w:cs="Arial"/>
                <w:sz w:val="22"/>
              </w:rPr>
              <w:t>I</w:t>
            </w:r>
            <w:r>
              <w:rPr>
                <w:rFonts w:ascii="Arial" w:hAnsi="Arial" w:cs="Arial"/>
                <w:sz w:val="22"/>
              </w:rPr>
              <w:t xml:space="preserve">mpact of changes in </w:t>
            </w:r>
            <w:r w:rsidRPr="00DD4DE9">
              <w:rPr>
                <w:rFonts w:ascii="Arial" w:hAnsi="Arial" w:cs="Arial"/>
                <w:sz w:val="22"/>
              </w:rPr>
              <w:t xml:space="preserve">legislation </w:t>
            </w:r>
            <w:r w:rsidR="00ED33A5">
              <w:rPr>
                <w:rFonts w:ascii="Arial" w:hAnsi="Arial" w:cs="Arial"/>
                <w:sz w:val="22"/>
              </w:rPr>
              <w:t xml:space="preserve">on capacity and demand </w:t>
            </w:r>
            <w:r w:rsidRPr="00DD4DE9">
              <w:rPr>
                <w:rFonts w:ascii="Arial" w:hAnsi="Arial" w:cs="Arial"/>
                <w:sz w:val="22"/>
              </w:rPr>
              <w:t>(i.e. Awaab’s law</w:t>
            </w:r>
            <w:r w:rsidR="004F7FA9">
              <w:rPr>
                <w:rFonts w:ascii="Arial" w:hAnsi="Arial" w:cs="Arial"/>
                <w:sz w:val="22"/>
              </w:rPr>
              <w:t>, new Decent Homes Standard</w:t>
            </w:r>
            <w:r w:rsidRPr="00DD4DE9">
              <w:rPr>
                <w:rFonts w:ascii="Arial" w:hAnsi="Arial" w:cs="Arial"/>
                <w:sz w:val="22"/>
              </w:rPr>
              <w:t>)</w:t>
            </w:r>
            <w:r>
              <w:rPr>
                <w:rFonts w:ascii="Arial" w:hAnsi="Arial" w:cs="Arial"/>
                <w:sz w:val="22"/>
              </w:rPr>
              <w:t>.</w:t>
            </w:r>
          </w:p>
          <w:p w14:paraId="0C0B5C56" w14:textId="77777777" w:rsidR="00F263DA" w:rsidRPr="00DD4DE9" w:rsidRDefault="00F263DA" w:rsidP="0044518D">
            <w:pPr>
              <w:rPr>
                <w:rFonts w:ascii="Arial" w:hAnsi="Arial" w:cs="Arial"/>
                <w:sz w:val="22"/>
              </w:rPr>
            </w:pPr>
          </w:p>
          <w:p w14:paraId="0E8656DE" w14:textId="366C47ED" w:rsidR="00F263DA" w:rsidRPr="00DD4DE9" w:rsidRDefault="00F263DA" w:rsidP="0044518D">
            <w:pPr>
              <w:rPr>
                <w:rFonts w:ascii="Arial" w:hAnsi="Arial" w:cs="Arial"/>
                <w:sz w:val="22"/>
              </w:rPr>
            </w:pPr>
            <w:r w:rsidRPr="00DD4DE9">
              <w:rPr>
                <w:rFonts w:ascii="Arial" w:hAnsi="Arial" w:cs="Arial"/>
                <w:sz w:val="22"/>
              </w:rPr>
              <w:t>Sub-contractors prices significantly increasing</w:t>
            </w:r>
            <w:r w:rsidR="007E0A13">
              <w:rPr>
                <w:rFonts w:ascii="Arial" w:hAnsi="Arial" w:cs="Arial"/>
                <w:sz w:val="22"/>
              </w:rPr>
              <w:t>.</w:t>
            </w:r>
          </w:p>
          <w:p w14:paraId="3B0E0E28" w14:textId="2541F138" w:rsidR="00456BDF" w:rsidRPr="00DD4DE9" w:rsidRDefault="00456BDF" w:rsidP="0044518D">
            <w:pPr>
              <w:rPr>
                <w:rFonts w:ascii="Arial" w:hAnsi="Arial" w:cs="Arial"/>
                <w:sz w:val="22"/>
              </w:rPr>
            </w:pPr>
          </w:p>
          <w:p w14:paraId="6DCFBF44" w14:textId="25A33AED" w:rsidR="00456BDF" w:rsidRPr="00DD4DE9" w:rsidRDefault="00456BDF" w:rsidP="0044518D">
            <w:pPr>
              <w:rPr>
                <w:rFonts w:ascii="Arial" w:hAnsi="Arial" w:cs="Arial"/>
                <w:sz w:val="22"/>
              </w:rPr>
            </w:pPr>
            <w:r w:rsidRPr="00DD4DE9">
              <w:rPr>
                <w:rFonts w:ascii="Arial" w:hAnsi="Arial" w:cs="Arial"/>
                <w:sz w:val="22"/>
              </w:rPr>
              <w:t>Sub-contractor unable to meet demands.</w:t>
            </w:r>
          </w:p>
          <w:p w14:paraId="52BF4C27" w14:textId="77777777" w:rsidR="00F263DA" w:rsidRPr="00DD4DE9" w:rsidRDefault="00F263DA" w:rsidP="0044518D">
            <w:pPr>
              <w:rPr>
                <w:rFonts w:ascii="Arial" w:hAnsi="Arial" w:cs="Arial"/>
                <w:sz w:val="22"/>
              </w:rPr>
            </w:pPr>
          </w:p>
          <w:p w14:paraId="0FD95547" w14:textId="31110883" w:rsidR="00F263DA" w:rsidRPr="00DD4DE9" w:rsidRDefault="00F263DA" w:rsidP="0044518D">
            <w:pPr>
              <w:rPr>
                <w:rFonts w:ascii="Arial" w:hAnsi="Arial" w:cs="Arial"/>
                <w:sz w:val="22"/>
              </w:rPr>
            </w:pPr>
            <w:r w:rsidRPr="00DD4DE9">
              <w:rPr>
                <w:rFonts w:ascii="Arial" w:hAnsi="Arial" w:cs="Arial"/>
                <w:sz w:val="22"/>
              </w:rPr>
              <w:t xml:space="preserve">Increased cost of materials </w:t>
            </w:r>
          </w:p>
          <w:p w14:paraId="7D4DA50C" w14:textId="26C1BE2A" w:rsidR="00456BDF" w:rsidRPr="00DD4DE9" w:rsidRDefault="00456BDF" w:rsidP="0044518D">
            <w:pPr>
              <w:rPr>
                <w:rFonts w:ascii="Arial" w:hAnsi="Arial" w:cs="Arial"/>
                <w:sz w:val="22"/>
              </w:rPr>
            </w:pPr>
          </w:p>
          <w:p w14:paraId="3C7EF090" w14:textId="07CCCF39" w:rsidR="00456BDF" w:rsidRPr="00DD4DE9" w:rsidRDefault="00456BDF" w:rsidP="00456BDF">
            <w:pPr>
              <w:rPr>
                <w:rFonts w:ascii="Arial" w:hAnsi="Arial" w:cs="Arial"/>
                <w:sz w:val="22"/>
              </w:rPr>
            </w:pPr>
            <w:r w:rsidRPr="00DD4DE9">
              <w:rPr>
                <w:rFonts w:ascii="Arial" w:hAnsi="Arial" w:cs="Arial"/>
                <w:sz w:val="22"/>
              </w:rPr>
              <w:t>Failure of contractor i.e. contractor goes into liquidation.</w:t>
            </w:r>
          </w:p>
          <w:p w14:paraId="57365FB9" w14:textId="5C0327E1" w:rsidR="001A5F7A" w:rsidRPr="00DD4DE9" w:rsidRDefault="001A5F7A" w:rsidP="00456BDF">
            <w:pPr>
              <w:rPr>
                <w:rFonts w:ascii="Arial" w:hAnsi="Arial" w:cs="Arial"/>
                <w:sz w:val="22"/>
              </w:rPr>
            </w:pPr>
          </w:p>
          <w:p w14:paraId="783CEDFF" w14:textId="77777777" w:rsidR="00F263DA" w:rsidRPr="00DD4DE9" w:rsidRDefault="001A5F7A" w:rsidP="00814C30">
            <w:pPr>
              <w:rPr>
                <w:rFonts w:ascii="Arial" w:hAnsi="Arial" w:cs="Arial"/>
                <w:sz w:val="22"/>
              </w:rPr>
            </w:pPr>
            <w:r w:rsidRPr="00DD4DE9">
              <w:rPr>
                <w:rFonts w:ascii="Arial" w:hAnsi="Arial" w:cs="Arial"/>
                <w:sz w:val="22"/>
              </w:rPr>
              <w:t>Increased demands due to high levels of voids.</w:t>
            </w:r>
          </w:p>
          <w:p w14:paraId="67CA66A4" w14:textId="77777777" w:rsidR="002D7478" w:rsidRPr="00DD4DE9" w:rsidRDefault="002D7478" w:rsidP="00814C30">
            <w:pPr>
              <w:rPr>
                <w:rFonts w:ascii="Arial" w:hAnsi="Arial" w:cs="Arial"/>
                <w:sz w:val="22"/>
              </w:rPr>
            </w:pPr>
          </w:p>
          <w:p w14:paraId="62CACF21" w14:textId="3BCB540E" w:rsidR="00227D08" w:rsidRPr="00DD4DE9" w:rsidRDefault="002D7478" w:rsidP="00814C30">
            <w:pPr>
              <w:rPr>
                <w:rFonts w:ascii="Arial" w:hAnsi="Arial" w:cs="Arial"/>
                <w:sz w:val="22"/>
              </w:rPr>
            </w:pPr>
            <w:r w:rsidRPr="00DD4DE9">
              <w:rPr>
                <w:rFonts w:ascii="Arial" w:hAnsi="Arial" w:cs="Arial"/>
                <w:sz w:val="22"/>
              </w:rPr>
              <w:t>Increased demands due to damp and mould remediation.</w:t>
            </w:r>
          </w:p>
          <w:p w14:paraId="60AF50BD" w14:textId="77777777" w:rsidR="002D7478" w:rsidRPr="00DD4DE9" w:rsidRDefault="002D7478" w:rsidP="00814C30">
            <w:pPr>
              <w:rPr>
                <w:rFonts w:ascii="Arial" w:hAnsi="Arial" w:cs="Arial"/>
                <w:sz w:val="22"/>
              </w:rPr>
            </w:pPr>
          </w:p>
          <w:p w14:paraId="038B6676" w14:textId="77777777" w:rsidR="00227D08" w:rsidRDefault="00227D08" w:rsidP="00227D08">
            <w:pPr>
              <w:ind w:firstLine="3"/>
              <w:rPr>
                <w:rFonts w:ascii="Arial" w:hAnsi="Arial" w:cs="Arial"/>
                <w:sz w:val="22"/>
              </w:rPr>
            </w:pPr>
            <w:r w:rsidRPr="00DD4DE9">
              <w:rPr>
                <w:rFonts w:ascii="Arial" w:hAnsi="Arial" w:cs="Arial"/>
                <w:sz w:val="22"/>
              </w:rPr>
              <w:t>Continued increase in number of housing disrepair claims.</w:t>
            </w:r>
          </w:p>
          <w:p w14:paraId="0CE5158E" w14:textId="77777777" w:rsidR="000E2F52" w:rsidRDefault="000E2F52" w:rsidP="00227D08">
            <w:pPr>
              <w:ind w:firstLine="3"/>
              <w:rPr>
                <w:rFonts w:ascii="Arial" w:hAnsi="Arial" w:cs="Arial"/>
                <w:sz w:val="22"/>
              </w:rPr>
            </w:pPr>
          </w:p>
          <w:p w14:paraId="50D63238" w14:textId="77777777" w:rsidR="000E2F52" w:rsidRPr="001A2856" w:rsidRDefault="000E2F52" w:rsidP="000E2F52">
            <w:pPr>
              <w:rPr>
                <w:rFonts w:ascii="Arial" w:hAnsi="Arial" w:cs="Arial"/>
                <w:sz w:val="22"/>
                <w:szCs w:val="22"/>
              </w:rPr>
            </w:pPr>
            <w:r>
              <w:rPr>
                <w:rFonts w:ascii="Arial" w:hAnsi="Arial" w:cs="Arial"/>
                <w:sz w:val="22"/>
                <w:szCs w:val="22"/>
              </w:rPr>
              <w:t>Implications arising from latest 100% stock condition surveys.</w:t>
            </w:r>
          </w:p>
          <w:p w14:paraId="0DEDB550" w14:textId="404FB11D" w:rsidR="00432CB2" w:rsidRPr="00DD4DE9" w:rsidRDefault="00432CB2" w:rsidP="00814C30">
            <w:pPr>
              <w:rPr>
                <w:rFonts w:ascii="Arial" w:hAnsi="Arial" w:cs="Arial"/>
                <w:sz w:val="22"/>
              </w:rPr>
            </w:pPr>
          </w:p>
        </w:tc>
        <w:tc>
          <w:tcPr>
            <w:tcW w:w="1980" w:type="dxa"/>
            <w:tcBorders>
              <w:bottom w:val="single" w:sz="4" w:space="0" w:color="auto"/>
            </w:tcBorders>
            <w:shd w:val="clear" w:color="auto" w:fill="FFC000" w:themeFill="accent4"/>
          </w:tcPr>
          <w:p w14:paraId="05F56F4A" w14:textId="77777777" w:rsidR="00DD4DE9" w:rsidRPr="00DD4DE9" w:rsidRDefault="00DD4DE9" w:rsidP="00DD4DE9">
            <w:pPr>
              <w:jc w:val="center"/>
              <w:rPr>
                <w:rFonts w:ascii="Arial" w:hAnsi="Arial" w:cs="Arial"/>
                <w:sz w:val="22"/>
              </w:rPr>
            </w:pPr>
          </w:p>
          <w:p w14:paraId="33BB1B56" w14:textId="77777777" w:rsidR="00DD4DE9" w:rsidRPr="00DD4DE9" w:rsidRDefault="00DD4DE9" w:rsidP="00DD4DE9">
            <w:pPr>
              <w:jc w:val="center"/>
              <w:rPr>
                <w:rFonts w:ascii="Arial" w:hAnsi="Arial" w:cs="Arial"/>
                <w:b/>
                <w:sz w:val="22"/>
                <w:szCs w:val="22"/>
              </w:rPr>
            </w:pPr>
            <w:r w:rsidRPr="00DD4DE9">
              <w:rPr>
                <w:rFonts w:ascii="Arial" w:hAnsi="Arial" w:cs="Arial"/>
                <w:b/>
                <w:sz w:val="22"/>
                <w:szCs w:val="22"/>
              </w:rPr>
              <w:t>Total Score: 9</w:t>
            </w:r>
          </w:p>
          <w:p w14:paraId="2C148796" w14:textId="77777777" w:rsidR="00DD4DE9" w:rsidRPr="00DD4DE9" w:rsidRDefault="00DD4DE9" w:rsidP="00DD4DE9">
            <w:pPr>
              <w:shd w:val="clear" w:color="auto" w:fill="FFC000"/>
              <w:jc w:val="center"/>
              <w:rPr>
                <w:rFonts w:ascii="Arial" w:hAnsi="Arial" w:cs="Arial"/>
                <w:sz w:val="22"/>
                <w:szCs w:val="22"/>
              </w:rPr>
            </w:pPr>
          </w:p>
          <w:p w14:paraId="2AA25B10" w14:textId="77777777" w:rsidR="00DD4DE9" w:rsidRPr="00DD4DE9" w:rsidRDefault="00DD4DE9" w:rsidP="00DD4DE9">
            <w:pPr>
              <w:shd w:val="clear" w:color="auto" w:fill="FFC000"/>
              <w:jc w:val="center"/>
              <w:rPr>
                <w:rFonts w:ascii="Arial" w:hAnsi="Arial" w:cs="Arial"/>
                <w:sz w:val="22"/>
                <w:szCs w:val="22"/>
              </w:rPr>
            </w:pPr>
            <w:r w:rsidRPr="00DD4DE9">
              <w:rPr>
                <w:rFonts w:ascii="Arial" w:hAnsi="Arial" w:cs="Arial"/>
                <w:sz w:val="22"/>
                <w:szCs w:val="22"/>
              </w:rPr>
              <w:t>Likelihood: 3</w:t>
            </w:r>
          </w:p>
          <w:p w14:paraId="45B1FFF6" w14:textId="4DEDC705" w:rsidR="00F263DA" w:rsidRPr="00DD4DE9" w:rsidRDefault="00F263DA" w:rsidP="00DD4DE9">
            <w:pPr>
              <w:shd w:val="clear" w:color="auto" w:fill="FFC000"/>
              <w:jc w:val="center"/>
              <w:rPr>
                <w:rFonts w:ascii="Arial" w:hAnsi="Arial" w:cs="Arial"/>
                <w:sz w:val="22"/>
              </w:rPr>
            </w:pPr>
            <w:r w:rsidRPr="00DD4DE9">
              <w:rPr>
                <w:rFonts w:ascii="Arial" w:hAnsi="Arial" w:cs="Arial"/>
                <w:sz w:val="22"/>
                <w:szCs w:val="22"/>
              </w:rPr>
              <w:t xml:space="preserve">Impact: </w:t>
            </w:r>
            <w:r w:rsidR="00E412BF" w:rsidRPr="00DD4DE9">
              <w:rPr>
                <w:rFonts w:ascii="Arial" w:hAnsi="Arial" w:cs="Arial"/>
                <w:sz w:val="22"/>
                <w:szCs w:val="22"/>
              </w:rPr>
              <w:t>3</w:t>
            </w:r>
          </w:p>
        </w:tc>
        <w:tc>
          <w:tcPr>
            <w:tcW w:w="1926" w:type="dxa"/>
            <w:tcBorders>
              <w:bottom w:val="single" w:sz="4" w:space="0" w:color="auto"/>
            </w:tcBorders>
            <w:shd w:val="clear" w:color="auto" w:fill="FFC000"/>
          </w:tcPr>
          <w:p w14:paraId="58B5660B" w14:textId="77777777" w:rsidR="00F263DA" w:rsidRPr="00DD4DE9" w:rsidRDefault="00F263DA" w:rsidP="0044518D">
            <w:pPr>
              <w:jc w:val="center"/>
              <w:rPr>
                <w:rFonts w:ascii="Arial" w:hAnsi="Arial" w:cs="Arial"/>
                <w:sz w:val="22"/>
              </w:rPr>
            </w:pPr>
          </w:p>
          <w:p w14:paraId="4218A07E" w14:textId="60DA0BD0" w:rsidR="00F263DA" w:rsidRPr="005D4071" w:rsidRDefault="00F263DA" w:rsidP="005D4071">
            <w:pPr>
              <w:shd w:val="clear" w:color="auto" w:fill="FFC000"/>
              <w:jc w:val="center"/>
              <w:rPr>
                <w:rFonts w:ascii="Arial" w:hAnsi="Arial" w:cs="Arial"/>
                <w:b/>
                <w:sz w:val="22"/>
                <w:szCs w:val="22"/>
              </w:rPr>
            </w:pPr>
            <w:r w:rsidRPr="005D4071">
              <w:rPr>
                <w:rFonts w:ascii="Arial" w:hAnsi="Arial" w:cs="Arial"/>
                <w:b/>
                <w:sz w:val="22"/>
                <w:szCs w:val="22"/>
              </w:rPr>
              <w:t xml:space="preserve">Total Score: </w:t>
            </w:r>
            <w:r w:rsidR="005D4071" w:rsidRPr="005D4071">
              <w:rPr>
                <w:rFonts w:ascii="Arial" w:hAnsi="Arial" w:cs="Arial"/>
                <w:b/>
                <w:sz w:val="22"/>
                <w:szCs w:val="22"/>
              </w:rPr>
              <w:t>9</w:t>
            </w:r>
          </w:p>
          <w:p w14:paraId="45D1DC36" w14:textId="77777777" w:rsidR="00F263DA" w:rsidRPr="005D4071" w:rsidRDefault="00F263DA" w:rsidP="005D4071">
            <w:pPr>
              <w:shd w:val="clear" w:color="auto" w:fill="FFC000"/>
              <w:jc w:val="center"/>
              <w:rPr>
                <w:rFonts w:ascii="Arial" w:hAnsi="Arial" w:cs="Arial"/>
                <w:sz w:val="22"/>
                <w:szCs w:val="22"/>
              </w:rPr>
            </w:pPr>
          </w:p>
          <w:p w14:paraId="1EF9E6AD" w14:textId="12C471B1" w:rsidR="00F263DA" w:rsidRPr="005D4071" w:rsidRDefault="00F263DA" w:rsidP="005D4071">
            <w:pPr>
              <w:shd w:val="clear" w:color="auto" w:fill="FFC000"/>
              <w:jc w:val="center"/>
              <w:rPr>
                <w:rFonts w:ascii="Arial" w:hAnsi="Arial" w:cs="Arial"/>
                <w:sz w:val="22"/>
                <w:szCs w:val="22"/>
              </w:rPr>
            </w:pPr>
            <w:r w:rsidRPr="005D4071">
              <w:rPr>
                <w:rFonts w:ascii="Arial" w:hAnsi="Arial" w:cs="Arial"/>
                <w:sz w:val="22"/>
                <w:szCs w:val="22"/>
              </w:rPr>
              <w:t xml:space="preserve">Likelihood: </w:t>
            </w:r>
            <w:r w:rsidR="005D4071" w:rsidRPr="005D4071">
              <w:rPr>
                <w:rFonts w:ascii="Arial" w:hAnsi="Arial" w:cs="Arial"/>
                <w:sz w:val="22"/>
                <w:szCs w:val="22"/>
              </w:rPr>
              <w:t>3</w:t>
            </w:r>
          </w:p>
          <w:p w14:paraId="74133344" w14:textId="023AAD86" w:rsidR="00F263DA" w:rsidRPr="00DD4DE9" w:rsidRDefault="00F263DA" w:rsidP="005D4071">
            <w:pPr>
              <w:shd w:val="clear" w:color="auto" w:fill="FFC000"/>
              <w:jc w:val="center"/>
              <w:rPr>
                <w:rFonts w:ascii="Arial" w:hAnsi="Arial" w:cs="Arial"/>
                <w:sz w:val="22"/>
              </w:rPr>
            </w:pPr>
            <w:r w:rsidRPr="005D4071">
              <w:rPr>
                <w:rFonts w:ascii="Arial" w:hAnsi="Arial" w:cs="Arial"/>
                <w:sz w:val="22"/>
                <w:szCs w:val="22"/>
              </w:rPr>
              <w:t xml:space="preserve">Impact: </w:t>
            </w:r>
            <w:r w:rsidR="00E412BF" w:rsidRPr="005D4071">
              <w:rPr>
                <w:rFonts w:ascii="Arial" w:hAnsi="Arial" w:cs="Arial"/>
                <w:sz w:val="22"/>
                <w:szCs w:val="22"/>
              </w:rPr>
              <w:t>3</w:t>
            </w:r>
          </w:p>
        </w:tc>
        <w:tc>
          <w:tcPr>
            <w:tcW w:w="5276" w:type="dxa"/>
            <w:tcBorders>
              <w:bottom w:val="single" w:sz="4" w:space="0" w:color="auto"/>
            </w:tcBorders>
          </w:tcPr>
          <w:p w14:paraId="1FA2AF4A" w14:textId="77777777" w:rsidR="00F263DA" w:rsidRPr="00DD4DE9" w:rsidRDefault="00F263DA" w:rsidP="00CF25BB">
            <w:pPr>
              <w:numPr>
                <w:ilvl w:val="0"/>
                <w:numId w:val="7"/>
              </w:numPr>
              <w:rPr>
                <w:rFonts w:ascii="Arial" w:hAnsi="Arial" w:cs="Arial"/>
                <w:sz w:val="22"/>
              </w:rPr>
            </w:pPr>
            <w:r w:rsidRPr="00DD4DE9">
              <w:rPr>
                <w:rFonts w:ascii="Arial" w:hAnsi="Arial" w:cs="Arial"/>
                <w:sz w:val="22"/>
              </w:rPr>
              <w:t>Produce regular budget monitoring reports and HRA revenue and capital budgets reported and monitored together</w:t>
            </w:r>
          </w:p>
          <w:p w14:paraId="3F2B7FD3" w14:textId="5835F39A" w:rsidR="00F263DA" w:rsidRPr="00DD4DE9" w:rsidRDefault="00F263DA" w:rsidP="00CF25BB">
            <w:pPr>
              <w:numPr>
                <w:ilvl w:val="0"/>
                <w:numId w:val="7"/>
              </w:numPr>
              <w:rPr>
                <w:rFonts w:ascii="Arial" w:hAnsi="Arial" w:cs="Arial"/>
                <w:sz w:val="22"/>
              </w:rPr>
            </w:pPr>
            <w:r w:rsidRPr="00DD4DE9">
              <w:rPr>
                <w:rFonts w:ascii="Arial" w:hAnsi="Arial" w:cs="Arial"/>
                <w:sz w:val="22"/>
              </w:rPr>
              <w:t>Report quarterly to Departmental Management Team, Corporate Management Team, Executive and Performance Scrutiny Committee</w:t>
            </w:r>
            <w:r w:rsidR="002D29A7">
              <w:rPr>
                <w:rFonts w:ascii="Arial" w:hAnsi="Arial" w:cs="Arial"/>
                <w:sz w:val="22"/>
              </w:rPr>
              <w:t>.</w:t>
            </w:r>
            <w:r w:rsidRPr="00DD4DE9">
              <w:rPr>
                <w:rFonts w:ascii="Arial" w:hAnsi="Arial" w:cs="Arial"/>
                <w:sz w:val="22"/>
              </w:rPr>
              <w:t xml:space="preserve"> </w:t>
            </w:r>
          </w:p>
          <w:p w14:paraId="02D3A89C" w14:textId="182B5BC8" w:rsidR="00F263DA" w:rsidRPr="00DD4DE9" w:rsidRDefault="00F263DA" w:rsidP="00CF25BB">
            <w:pPr>
              <w:numPr>
                <w:ilvl w:val="0"/>
                <w:numId w:val="7"/>
              </w:numPr>
              <w:rPr>
                <w:rFonts w:ascii="Arial" w:hAnsi="Arial" w:cs="Arial"/>
                <w:sz w:val="22"/>
              </w:rPr>
            </w:pPr>
            <w:r w:rsidRPr="00DD4DE9">
              <w:rPr>
                <w:rFonts w:ascii="Arial" w:hAnsi="Arial" w:cs="Arial"/>
                <w:sz w:val="22"/>
              </w:rPr>
              <w:t>Results of recent stock condition surveys informing future maintenance requirements</w:t>
            </w:r>
            <w:r w:rsidR="00ED70CD">
              <w:rPr>
                <w:rFonts w:ascii="Arial" w:hAnsi="Arial" w:cs="Arial"/>
                <w:sz w:val="22"/>
              </w:rPr>
              <w:t>.</w:t>
            </w:r>
          </w:p>
          <w:p w14:paraId="6A17A7A4" w14:textId="4A2A77B1" w:rsidR="007B51CE" w:rsidRPr="00DD4DE9" w:rsidRDefault="00612889" w:rsidP="00CF25BB">
            <w:pPr>
              <w:numPr>
                <w:ilvl w:val="0"/>
                <w:numId w:val="7"/>
              </w:numPr>
              <w:rPr>
                <w:rFonts w:ascii="Arial" w:hAnsi="Arial" w:cs="Arial"/>
                <w:sz w:val="22"/>
              </w:rPr>
            </w:pPr>
            <w:r>
              <w:rPr>
                <w:rFonts w:ascii="Arial" w:hAnsi="Arial" w:cs="Arial"/>
                <w:sz w:val="22"/>
              </w:rPr>
              <w:t>R</w:t>
            </w:r>
            <w:r w:rsidR="00841EE3">
              <w:rPr>
                <w:rFonts w:ascii="Arial" w:hAnsi="Arial" w:cs="Arial"/>
                <w:sz w:val="22"/>
              </w:rPr>
              <w:t>eview of workforce capacity and requirements</w:t>
            </w:r>
            <w:r>
              <w:rPr>
                <w:rFonts w:ascii="Arial" w:hAnsi="Arial" w:cs="Arial"/>
                <w:sz w:val="22"/>
              </w:rPr>
              <w:t xml:space="preserve"> in progress</w:t>
            </w:r>
            <w:r w:rsidR="00841EE3">
              <w:rPr>
                <w:rFonts w:ascii="Arial" w:hAnsi="Arial" w:cs="Arial"/>
                <w:sz w:val="22"/>
              </w:rPr>
              <w:t>.</w:t>
            </w:r>
          </w:p>
          <w:p w14:paraId="0CF80BD1" w14:textId="38379A7F" w:rsidR="00F263DA" w:rsidRPr="00DD4DE9" w:rsidRDefault="003344EC" w:rsidP="00CF25BB">
            <w:pPr>
              <w:numPr>
                <w:ilvl w:val="0"/>
                <w:numId w:val="7"/>
              </w:numPr>
              <w:rPr>
                <w:rFonts w:ascii="Arial" w:hAnsi="Arial" w:cs="Arial"/>
                <w:sz w:val="22"/>
              </w:rPr>
            </w:pPr>
            <w:r>
              <w:rPr>
                <w:rFonts w:ascii="Arial" w:hAnsi="Arial" w:cs="Arial"/>
                <w:sz w:val="22"/>
              </w:rPr>
              <w:t>I</w:t>
            </w:r>
            <w:r w:rsidR="00DD4DE9" w:rsidRPr="00DD4DE9">
              <w:rPr>
                <w:rFonts w:ascii="Arial" w:hAnsi="Arial" w:cs="Arial"/>
                <w:sz w:val="22"/>
              </w:rPr>
              <w:t>ncreased</w:t>
            </w:r>
            <w:r w:rsidR="00F263DA" w:rsidRPr="00DD4DE9">
              <w:rPr>
                <w:rFonts w:ascii="Arial" w:hAnsi="Arial" w:cs="Arial"/>
                <w:sz w:val="22"/>
              </w:rPr>
              <w:t xml:space="preserve"> costs factored into latest MTFS</w:t>
            </w:r>
            <w:r w:rsidR="00A30C1D">
              <w:rPr>
                <w:rFonts w:ascii="Arial" w:hAnsi="Arial" w:cs="Arial"/>
                <w:sz w:val="22"/>
              </w:rPr>
              <w:t>.</w:t>
            </w:r>
          </w:p>
          <w:p w14:paraId="486142D9" w14:textId="053E62E3" w:rsidR="00227D08" w:rsidRPr="00DD4DE9" w:rsidRDefault="0059041C" w:rsidP="00CF25BB">
            <w:pPr>
              <w:numPr>
                <w:ilvl w:val="0"/>
                <w:numId w:val="7"/>
              </w:numPr>
              <w:rPr>
                <w:rFonts w:ascii="Arial" w:hAnsi="Arial" w:cs="Arial"/>
                <w:sz w:val="22"/>
              </w:rPr>
            </w:pPr>
            <w:r>
              <w:rPr>
                <w:rFonts w:ascii="Arial" w:hAnsi="Arial" w:cs="Arial"/>
                <w:sz w:val="22"/>
              </w:rPr>
              <w:t xml:space="preserve">Regular reporting through </w:t>
            </w:r>
            <w:r w:rsidR="00227D08" w:rsidRPr="00DD4DE9">
              <w:rPr>
                <w:rFonts w:ascii="Arial" w:hAnsi="Arial" w:cs="Arial"/>
                <w:sz w:val="22"/>
              </w:rPr>
              <w:t>Disrepair working group</w:t>
            </w:r>
            <w:r w:rsidR="00DD4DE9" w:rsidRPr="00DD4DE9">
              <w:rPr>
                <w:rFonts w:ascii="Arial" w:hAnsi="Arial" w:cs="Arial"/>
                <w:sz w:val="22"/>
              </w:rPr>
              <w:t xml:space="preserve">, </w:t>
            </w:r>
            <w:r w:rsidR="003D1610">
              <w:rPr>
                <w:rFonts w:ascii="Arial" w:hAnsi="Arial" w:cs="Arial"/>
                <w:sz w:val="22"/>
              </w:rPr>
              <w:t>use of</w:t>
            </w:r>
            <w:r w:rsidR="00227D08" w:rsidRPr="00DD4DE9">
              <w:rPr>
                <w:rFonts w:ascii="Arial" w:hAnsi="Arial" w:cs="Arial"/>
                <w:sz w:val="22"/>
              </w:rPr>
              <w:t xml:space="preserve"> Remedies Policy.</w:t>
            </w:r>
          </w:p>
          <w:p w14:paraId="22EA0BAD" w14:textId="5A197803" w:rsidR="00F263DA" w:rsidRPr="00DD4DE9" w:rsidRDefault="00F263DA" w:rsidP="00CF25BB">
            <w:pPr>
              <w:numPr>
                <w:ilvl w:val="0"/>
                <w:numId w:val="7"/>
              </w:numPr>
              <w:rPr>
                <w:rFonts w:ascii="Arial" w:hAnsi="Arial" w:cs="Arial"/>
                <w:sz w:val="22"/>
              </w:rPr>
            </w:pPr>
            <w:r w:rsidRPr="00DD4DE9">
              <w:rPr>
                <w:rFonts w:ascii="Arial" w:hAnsi="Arial" w:cs="Arial"/>
                <w:sz w:val="22"/>
              </w:rPr>
              <w:t>Consider alternative recruitment options</w:t>
            </w:r>
            <w:r w:rsidR="001A5F7A" w:rsidRPr="00DD4DE9">
              <w:rPr>
                <w:rFonts w:ascii="Arial" w:hAnsi="Arial" w:cs="Arial"/>
                <w:sz w:val="22"/>
              </w:rPr>
              <w:t xml:space="preserve"> – recruitment strategies being reviewed.</w:t>
            </w:r>
          </w:p>
          <w:p w14:paraId="07CE9F8B" w14:textId="0AED9BB9" w:rsidR="00F263DA" w:rsidRPr="00DD4DE9" w:rsidRDefault="00F263DA" w:rsidP="00CF25BB">
            <w:pPr>
              <w:numPr>
                <w:ilvl w:val="0"/>
                <w:numId w:val="7"/>
              </w:numPr>
              <w:rPr>
                <w:rFonts w:ascii="Arial" w:hAnsi="Arial" w:cs="Arial"/>
                <w:sz w:val="22"/>
              </w:rPr>
            </w:pPr>
            <w:r w:rsidRPr="00DD4DE9">
              <w:rPr>
                <w:rFonts w:ascii="Arial" w:hAnsi="Arial" w:cs="Arial"/>
                <w:sz w:val="22"/>
              </w:rPr>
              <w:t>Use of collaborative contracts/framework agreements where possible</w:t>
            </w:r>
            <w:r w:rsidR="000217CF">
              <w:rPr>
                <w:rFonts w:ascii="Arial" w:hAnsi="Arial" w:cs="Arial"/>
                <w:sz w:val="22"/>
              </w:rPr>
              <w:t>.</w:t>
            </w:r>
          </w:p>
          <w:p w14:paraId="1CCB4877" w14:textId="18BC4D17" w:rsidR="00F263DA" w:rsidRPr="00DD4DE9" w:rsidRDefault="00F263DA" w:rsidP="00CF25BB">
            <w:pPr>
              <w:numPr>
                <w:ilvl w:val="0"/>
                <w:numId w:val="7"/>
              </w:numPr>
              <w:rPr>
                <w:rFonts w:ascii="Arial" w:hAnsi="Arial" w:cs="Arial"/>
                <w:sz w:val="22"/>
              </w:rPr>
            </w:pPr>
            <w:r w:rsidRPr="00DD4DE9">
              <w:rPr>
                <w:rFonts w:ascii="Arial" w:hAnsi="Arial" w:cs="Arial"/>
                <w:sz w:val="22"/>
              </w:rPr>
              <w:t xml:space="preserve">Seek efficiencies within HRS i.e </w:t>
            </w:r>
            <w:r w:rsidR="0081633A" w:rsidRPr="00DD4DE9">
              <w:rPr>
                <w:rFonts w:ascii="Arial" w:hAnsi="Arial" w:cs="Arial"/>
                <w:sz w:val="22"/>
              </w:rPr>
              <w:t>telematics</w:t>
            </w:r>
            <w:r w:rsidR="00617992">
              <w:rPr>
                <w:rFonts w:ascii="Arial" w:hAnsi="Arial" w:cs="Arial"/>
                <w:sz w:val="22"/>
              </w:rPr>
              <w:t>.</w:t>
            </w:r>
          </w:p>
          <w:p w14:paraId="230CAE6C" w14:textId="3C64E403" w:rsidR="001A5F7A" w:rsidRPr="00DD4DE9" w:rsidRDefault="001A5F7A" w:rsidP="00CF25BB">
            <w:pPr>
              <w:numPr>
                <w:ilvl w:val="0"/>
                <w:numId w:val="7"/>
              </w:numPr>
              <w:rPr>
                <w:rFonts w:ascii="Arial" w:hAnsi="Arial" w:cs="Arial"/>
                <w:sz w:val="22"/>
              </w:rPr>
            </w:pPr>
            <w:r w:rsidRPr="00DD4DE9">
              <w:rPr>
                <w:rFonts w:ascii="Arial" w:hAnsi="Arial" w:cs="Arial"/>
                <w:sz w:val="22"/>
              </w:rPr>
              <w:t>Active void management mitigations in place.</w:t>
            </w:r>
          </w:p>
          <w:p w14:paraId="1C4233C8" w14:textId="77777777" w:rsidR="004B7A19" w:rsidRPr="00DD4DE9" w:rsidRDefault="005E3CD8" w:rsidP="00CF25BB">
            <w:pPr>
              <w:numPr>
                <w:ilvl w:val="0"/>
                <w:numId w:val="7"/>
              </w:numPr>
              <w:rPr>
                <w:rFonts w:ascii="Arial" w:hAnsi="Arial" w:cs="Arial"/>
                <w:sz w:val="22"/>
              </w:rPr>
            </w:pPr>
            <w:r w:rsidRPr="00DD4DE9">
              <w:rPr>
                <w:rFonts w:ascii="Arial" w:hAnsi="Arial" w:cs="Arial"/>
                <w:sz w:val="22"/>
              </w:rPr>
              <w:t xml:space="preserve">Property standards </w:t>
            </w:r>
            <w:r w:rsidR="00D75C9D" w:rsidRPr="00DD4DE9">
              <w:rPr>
                <w:rFonts w:ascii="Arial" w:hAnsi="Arial" w:cs="Arial"/>
                <w:sz w:val="22"/>
              </w:rPr>
              <w:t xml:space="preserve">and operating standards </w:t>
            </w:r>
            <w:r w:rsidRPr="00DD4DE9">
              <w:rPr>
                <w:rFonts w:ascii="Arial" w:hAnsi="Arial" w:cs="Arial"/>
                <w:sz w:val="22"/>
              </w:rPr>
              <w:t xml:space="preserve">updated in </w:t>
            </w:r>
            <w:r w:rsidR="009C018B" w:rsidRPr="00DD4DE9">
              <w:rPr>
                <w:rFonts w:ascii="Arial" w:hAnsi="Arial" w:cs="Arial"/>
                <w:sz w:val="22"/>
              </w:rPr>
              <w:t xml:space="preserve">2023 in respect of </w:t>
            </w:r>
            <w:r w:rsidR="00432CB2" w:rsidRPr="00DD4DE9">
              <w:rPr>
                <w:rFonts w:ascii="Arial" w:hAnsi="Arial" w:cs="Arial"/>
                <w:sz w:val="22"/>
              </w:rPr>
              <w:t>damp/mould.</w:t>
            </w:r>
          </w:p>
          <w:p w14:paraId="5FC6FF9F" w14:textId="758F4FE3" w:rsidR="00FD3444" w:rsidRPr="00DD4DE9" w:rsidRDefault="004B7A19" w:rsidP="00CF25BB">
            <w:pPr>
              <w:numPr>
                <w:ilvl w:val="0"/>
                <w:numId w:val="7"/>
              </w:numPr>
              <w:rPr>
                <w:rFonts w:ascii="Arial" w:hAnsi="Arial" w:cs="Arial"/>
                <w:sz w:val="22"/>
              </w:rPr>
            </w:pPr>
            <w:r w:rsidRPr="00DD4DE9">
              <w:rPr>
                <w:rFonts w:ascii="Arial" w:hAnsi="Arial" w:cs="Arial"/>
                <w:sz w:val="22"/>
              </w:rPr>
              <w:t xml:space="preserve">Increased </w:t>
            </w:r>
            <w:r w:rsidR="00194B75" w:rsidRPr="00DD4DE9">
              <w:rPr>
                <w:rFonts w:ascii="Arial" w:hAnsi="Arial" w:cs="Arial"/>
                <w:sz w:val="22"/>
              </w:rPr>
              <w:t>s</w:t>
            </w:r>
            <w:r w:rsidRPr="00DD4DE9">
              <w:rPr>
                <w:rFonts w:ascii="Arial" w:hAnsi="Arial" w:cs="Arial"/>
                <w:sz w:val="22"/>
              </w:rPr>
              <w:t>crutiny from the Regulator of Social Housing</w:t>
            </w:r>
            <w:r w:rsidR="00432CB2" w:rsidRPr="00DD4DE9">
              <w:rPr>
                <w:rFonts w:ascii="Arial" w:hAnsi="Arial" w:cs="Arial"/>
                <w:sz w:val="22"/>
              </w:rPr>
              <w:t>.</w:t>
            </w:r>
          </w:p>
          <w:p w14:paraId="665C640A" w14:textId="77777777" w:rsidR="00F263DA" w:rsidRPr="00DD4DE9" w:rsidRDefault="00F263DA" w:rsidP="0044518D">
            <w:pPr>
              <w:ind w:left="454"/>
              <w:rPr>
                <w:rFonts w:ascii="Arial" w:hAnsi="Arial" w:cs="Arial"/>
                <w:sz w:val="22"/>
              </w:rPr>
            </w:pPr>
          </w:p>
        </w:tc>
      </w:tr>
      <w:tr w:rsidR="00E94C11" w:rsidRPr="005C6861" w14:paraId="2D2BE04E" w14:textId="77777777" w:rsidTr="00991DA6">
        <w:trPr>
          <w:tblHeader/>
        </w:trPr>
        <w:tc>
          <w:tcPr>
            <w:tcW w:w="693" w:type="dxa"/>
          </w:tcPr>
          <w:p w14:paraId="537BA9E4" w14:textId="68373999" w:rsidR="00AE657B" w:rsidRPr="0049601B" w:rsidRDefault="00AF3DCD" w:rsidP="00D5019B">
            <w:pPr>
              <w:rPr>
                <w:rFonts w:ascii="Arial" w:hAnsi="Arial" w:cs="Arial"/>
                <w:sz w:val="22"/>
                <w:szCs w:val="22"/>
              </w:rPr>
            </w:pPr>
            <w:r>
              <w:rPr>
                <w:rFonts w:ascii="Arial" w:hAnsi="Arial" w:cs="Arial"/>
                <w:sz w:val="22"/>
                <w:szCs w:val="22"/>
              </w:rPr>
              <w:t>8</w:t>
            </w:r>
          </w:p>
        </w:tc>
        <w:tc>
          <w:tcPr>
            <w:tcW w:w="2108" w:type="dxa"/>
          </w:tcPr>
          <w:p w14:paraId="4A31659F" w14:textId="77777777" w:rsidR="00AE657B" w:rsidRPr="0049601B" w:rsidRDefault="00AE657B" w:rsidP="00D5019B">
            <w:pPr>
              <w:rPr>
                <w:rFonts w:ascii="Arial" w:hAnsi="Arial" w:cs="Arial"/>
                <w:sz w:val="22"/>
                <w:szCs w:val="22"/>
              </w:rPr>
            </w:pPr>
            <w:r w:rsidRPr="5A5D6F7E">
              <w:rPr>
                <w:rFonts w:ascii="Arial" w:hAnsi="Arial" w:cs="Arial"/>
                <w:sz w:val="22"/>
                <w:szCs w:val="22"/>
              </w:rPr>
              <w:t>Capital Financing - Long Term Borrowing</w:t>
            </w:r>
          </w:p>
          <w:p w14:paraId="64145DC6" w14:textId="77777777" w:rsidR="00AE657B" w:rsidRPr="0049601B" w:rsidRDefault="00AE657B" w:rsidP="00D5019B">
            <w:pPr>
              <w:rPr>
                <w:rFonts w:ascii="Arial" w:hAnsi="Arial" w:cs="Arial"/>
                <w:sz w:val="22"/>
                <w:szCs w:val="22"/>
              </w:rPr>
            </w:pPr>
          </w:p>
        </w:tc>
        <w:tc>
          <w:tcPr>
            <w:tcW w:w="3420" w:type="dxa"/>
            <w:tcBorders>
              <w:bottom w:val="single" w:sz="4" w:space="0" w:color="auto"/>
            </w:tcBorders>
          </w:tcPr>
          <w:p w14:paraId="7C5E6D09" w14:textId="77777777" w:rsidR="00AE657B" w:rsidRPr="0049601B" w:rsidRDefault="00AE657B" w:rsidP="00D5019B">
            <w:pPr>
              <w:rPr>
                <w:rFonts w:ascii="Arial" w:hAnsi="Arial" w:cs="Arial"/>
                <w:sz w:val="22"/>
                <w:szCs w:val="22"/>
              </w:rPr>
            </w:pPr>
            <w:r w:rsidRPr="5A5D6F7E">
              <w:rPr>
                <w:rFonts w:ascii="Arial" w:hAnsi="Arial" w:cs="Arial"/>
                <w:sz w:val="22"/>
                <w:szCs w:val="22"/>
              </w:rPr>
              <w:t>Balances unavailable for internal borrowing (particularly due to under borrowing against CFR and</w:t>
            </w:r>
            <w:r>
              <w:rPr>
                <w:rFonts w:ascii="Arial" w:hAnsi="Arial" w:cs="Arial"/>
                <w:sz w:val="22"/>
                <w:szCs w:val="22"/>
              </w:rPr>
              <w:t xml:space="preserve"> </w:t>
            </w:r>
            <w:r w:rsidRPr="5A5D6F7E">
              <w:rPr>
                <w:rFonts w:ascii="Arial" w:hAnsi="Arial" w:cs="Arial"/>
                <w:sz w:val="22"/>
                <w:szCs w:val="22"/>
              </w:rPr>
              <w:t>with large capital underway with deferred receipts receivable)</w:t>
            </w:r>
          </w:p>
          <w:p w14:paraId="4D89F8FD" w14:textId="77777777" w:rsidR="00AE657B" w:rsidRPr="0049601B" w:rsidRDefault="00AE657B" w:rsidP="00D5019B">
            <w:pPr>
              <w:rPr>
                <w:rFonts w:ascii="Arial" w:hAnsi="Arial" w:cs="Arial"/>
                <w:sz w:val="22"/>
                <w:szCs w:val="22"/>
              </w:rPr>
            </w:pPr>
          </w:p>
          <w:p w14:paraId="4121F287" w14:textId="77777777" w:rsidR="00AE657B" w:rsidRPr="0049601B" w:rsidRDefault="00AE657B" w:rsidP="00D5019B">
            <w:pPr>
              <w:rPr>
                <w:rFonts w:ascii="Arial" w:hAnsi="Arial" w:cs="Arial"/>
                <w:sz w:val="22"/>
                <w:szCs w:val="22"/>
              </w:rPr>
            </w:pPr>
            <w:r w:rsidRPr="5A5D6F7E">
              <w:rPr>
                <w:rFonts w:ascii="Arial" w:hAnsi="Arial" w:cs="Arial"/>
                <w:sz w:val="22"/>
                <w:szCs w:val="22"/>
              </w:rPr>
              <w:t>External borrowing costs above interest rates in MTFS</w:t>
            </w:r>
          </w:p>
        </w:tc>
        <w:tc>
          <w:tcPr>
            <w:tcW w:w="1980" w:type="dxa"/>
            <w:tcBorders>
              <w:bottom w:val="single" w:sz="4" w:space="0" w:color="auto"/>
            </w:tcBorders>
            <w:shd w:val="clear" w:color="auto" w:fill="FFC000" w:themeFill="accent4"/>
          </w:tcPr>
          <w:p w14:paraId="4E61FF1B" w14:textId="77777777" w:rsidR="00AE657B" w:rsidRPr="0049601B" w:rsidRDefault="00AE657B" w:rsidP="00D5019B">
            <w:pPr>
              <w:jc w:val="center"/>
              <w:rPr>
                <w:rFonts w:ascii="Arial" w:hAnsi="Arial" w:cs="Arial"/>
                <w:sz w:val="22"/>
                <w:szCs w:val="22"/>
              </w:rPr>
            </w:pPr>
          </w:p>
          <w:p w14:paraId="20849563" w14:textId="77777777" w:rsidR="00AE657B" w:rsidRPr="0049601B" w:rsidRDefault="00AE657B" w:rsidP="00D5019B">
            <w:pPr>
              <w:jc w:val="center"/>
              <w:rPr>
                <w:rFonts w:ascii="Arial" w:hAnsi="Arial" w:cs="Arial"/>
                <w:b/>
                <w:sz w:val="22"/>
                <w:szCs w:val="22"/>
              </w:rPr>
            </w:pPr>
            <w:r w:rsidRPr="5A5D6F7E">
              <w:rPr>
                <w:rFonts w:ascii="Arial" w:hAnsi="Arial" w:cs="Arial"/>
                <w:b/>
                <w:sz w:val="22"/>
                <w:szCs w:val="22"/>
              </w:rPr>
              <w:t>Total Score: 9</w:t>
            </w:r>
          </w:p>
          <w:p w14:paraId="1963C3FE" w14:textId="77777777" w:rsidR="00AE657B" w:rsidRPr="0049601B" w:rsidRDefault="00AE657B" w:rsidP="00D5019B">
            <w:pPr>
              <w:jc w:val="center"/>
              <w:rPr>
                <w:rFonts w:ascii="Arial" w:hAnsi="Arial" w:cs="Arial"/>
                <w:sz w:val="22"/>
                <w:szCs w:val="22"/>
              </w:rPr>
            </w:pPr>
          </w:p>
          <w:p w14:paraId="2362B6A0" w14:textId="77777777" w:rsidR="00AE657B" w:rsidRPr="0049601B" w:rsidRDefault="00AE657B" w:rsidP="00D5019B">
            <w:pPr>
              <w:jc w:val="center"/>
              <w:rPr>
                <w:rFonts w:ascii="Arial" w:hAnsi="Arial" w:cs="Arial"/>
                <w:sz w:val="22"/>
                <w:szCs w:val="22"/>
              </w:rPr>
            </w:pPr>
            <w:r w:rsidRPr="5A5D6F7E">
              <w:rPr>
                <w:rFonts w:ascii="Arial" w:hAnsi="Arial" w:cs="Arial"/>
                <w:sz w:val="22"/>
                <w:szCs w:val="22"/>
              </w:rPr>
              <w:t>Likelihood: 3</w:t>
            </w:r>
          </w:p>
          <w:p w14:paraId="1D04D951" w14:textId="77777777" w:rsidR="00AE657B" w:rsidRPr="0049601B" w:rsidRDefault="00AE657B" w:rsidP="00D5019B">
            <w:pPr>
              <w:jc w:val="center"/>
              <w:rPr>
                <w:rFonts w:ascii="Arial" w:hAnsi="Arial" w:cs="Arial"/>
                <w:sz w:val="22"/>
                <w:szCs w:val="22"/>
              </w:rPr>
            </w:pPr>
            <w:r w:rsidRPr="5A5D6F7E">
              <w:rPr>
                <w:rFonts w:ascii="Arial" w:hAnsi="Arial" w:cs="Arial"/>
                <w:sz w:val="22"/>
                <w:szCs w:val="22"/>
              </w:rPr>
              <w:t>Impact: 3</w:t>
            </w:r>
          </w:p>
        </w:tc>
        <w:tc>
          <w:tcPr>
            <w:tcW w:w="1926" w:type="dxa"/>
            <w:tcBorders>
              <w:bottom w:val="single" w:sz="4" w:space="0" w:color="auto"/>
            </w:tcBorders>
            <w:shd w:val="clear" w:color="auto" w:fill="FFC000" w:themeFill="accent4"/>
          </w:tcPr>
          <w:p w14:paraId="5E11ACF3" w14:textId="77777777" w:rsidR="00AE657B" w:rsidRPr="0049601B" w:rsidRDefault="00AE657B" w:rsidP="00D5019B">
            <w:pPr>
              <w:jc w:val="center"/>
              <w:rPr>
                <w:rFonts w:ascii="Arial" w:hAnsi="Arial" w:cs="Arial"/>
                <w:sz w:val="22"/>
                <w:szCs w:val="22"/>
              </w:rPr>
            </w:pPr>
          </w:p>
          <w:p w14:paraId="6724CCC7" w14:textId="77777777" w:rsidR="00AE657B" w:rsidRPr="0049601B" w:rsidRDefault="00AE657B" w:rsidP="00D5019B">
            <w:pPr>
              <w:jc w:val="center"/>
              <w:rPr>
                <w:rFonts w:ascii="Arial" w:hAnsi="Arial" w:cs="Arial"/>
                <w:b/>
                <w:sz w:val="22"/>
                <w:szCs w:val="22"/>
              </w:rPr>
            </w:pPr>
            <w:r w:rsidRPr="5A5D6F7E">
              <w:rPr>
                <w:rFonts w:ascii="Arial" w:hAnsi="Arial" w:cs="Arial"/>
                <w:b/>
                <w:sz w:val="22"/>
                <w:szCs w:val="22"/>
              </w:rPr>
              <w:t>Total Score: 9</w:t>
            </w:r>
          </w:p>
          <w:p w14:paraId="09D0DAB8" w14:textId="77777777" w:rsidR="00AE657B" w:rsidRPr="0049601B" w:rsidRDefault="00AE657B" w:rsidP="00D5019B">
            <w:pPr>
              <w:jc w:val="center"/>
              <w:rPr>
                <w:rFonts w:ascii="Arial" w:hAnsi="Arial" w:cs="Arial"/>
                <w:sz w:val="22"/>
                <w:szCs w:val="22"/>
              </w:rPr>
            </w:pPr>
          </w:p>
          <w:p w14:paraId="2C6371F4" w14:textId="77777777" w:rsidR="00AE657B" w:rsidRPr="0049601B" w:rsidRDefault="00AE657B" w:rsidP="00D5019B">
            <w:pPr>
              <w:jc w:val="center"/>
              <w:rPr>
                <w:rFonts w:ascii="Arial" w:hAnsi="Arial" w:cs="Arial"/>
                <w:sz w:val="22"/>
                <w:szCs w:val="22"/>
              </w:rPr>
            </w:pPr>
            <w:r w:rsidRPr="5A5D6F7E">
              <w:rPr>
                <w:rFonts w:ascii="Arial" w:hAnsi="Arial" w:cs="Arial"/>
                <w:sz w:val="22"/>
                <w:szCs w:val="22"/>
              </w:rPr>
              <w:t>Likelihood: 3</w:t>
            </w:r>
          </w:p>
          <w:p w14:paraId="7E175E73" w14:textId="77777777" w:rsidR="00AE657B" w:rsidRPr="0049601B" w:rsidRDefault="00AE657B" w:rsidP="00D5019B">
            <w:pPr>
              <w:jc w:val="center"/>
              <w:rPr>
                <w:rFonts w:ascii="Arial" w:hAnsi="Arial" w:cs="Arial"/>
                <w:sz w:val="22"/>
                <w:szCs w:val="22"/>
              </w:rPr>
            </w:pPr>
            <w:r w:rsidRPr="5A5D6F7E">
              <w:rPr>
                <w:rFonts w:ascii="Arial" w:hAnsi="Arial" w:cs="Arial"/>
                <w:sz w:val="22"/>
                <w:szCs w:val="22"/>
              </w:rPr>
              <w:t>Impact: 3</w:t>
            </w:r>
          </w:p>
        </w:tc>
        <w:tc>
          <w:tcPr>
            <w:tcW w:w="5276" w:type="dxa"/>
            <w:tcBorders>
              <w:bottom w:val="single" w:sz="4" w:space="0" w:color="auto"/>
            </w:tcBorders>
          </w:tcPr>
          <w:p w14:paraId="618F668C" w14:textId="77777777" w:rsidR="00AE657B" w:rsidRPr="0049601B" w:rsidRDefault="00AE657B" w:rsidP="00D5019B">
            <w:pPr>
              <w:numPr>
                <w:ilvl w:val="0"/>
                <w:numId w:val="2"/>
              </w:numPr>
              <w:rPr>
                <w:rFonts w:ascii="Arial" w:hAnsi="Arial" w:cs="Arial"/>
                <w:sz w:val="22"/>
                <w:szCs w:val="22"/>
              </w:rPr>
            </w:pPr>
            <w:r w:rsidRPr="5A5D6F7E">
              <w:rPr>
                <w:rFonts w:ascii="Arial" w:hAnsi="Arial" w:cs="Arial"/>
                <w:sz w:val="22"/>
                <w:szCs w:val="22"/>
              </w:rPr>
              <w:t>Continue to monitor the cost effectiveness of utilising internal balances instead of taking external borrowing</w:t>
            </w:r>
          </w:p>
          <w:p w14:paraId="555E03F7" w14:textId="77777777" w:rsidR="00AE657B" w:rsidRPr="0049601B" w:rsidRDefault="00AE657B" w:rsidP="00D5019B">
            <w:pPr>
              <w:numPr>
                <w:ilvl w:val="0"/>
                <w:numId w:val="2"/>
              </w:numPr>
              <w:rPr>
                <w:rFonts w:ascii="Arial" w:hAnsi="Arial" w:cs="Arial"/>
                <w:sz w:val="22"/>
                <w:szCs w:val="22"/>
              </w:rPr>
            </w:pPr>
            <w:r w:rsidRPr="5A5D6F7E">
              <w:rPr>
                <w:rFonts w:ascii="Arial" w:hAnsi="Arial" w:cs="Arial"/>
                <w:sz w:val="22"/>
                <w:szCs w:val="22"/>
              </w:rPr>
              <w:t>Actively monitor the achievement of the capital receipts target and potential additional borrowing requirement</w:t>
            </w:r>
          </w:p>
          <w:p w14:paraId="12CB0548" w14:textId="77777777" w:rsidR="00AE657B" w:rsidRPr="0049601B" w:rsidRDefault="00AE657B" w:rsidP="00D5019B">
            <w:pPr>
              <w:numPr>
                <w:ilvl w:val="0"/>
                <w:numId w:val="2"/>
              </w:numPr>
              <w:rPr>
                <w:rFonts w:ascii="Arial" w:hAnsi="Arial" w:cs="Arial"/>
                <w:sz w:val="22"/>
                <w:szCs w:val="22"/>
              </w:rPr>
            </w:pPr>
            <w:r w:rsidRPr="5A5D6F7E">
              <w:rPr>
                <w:rFonts w:ascii="Arial" w:hAnsi="Arial" w:cs="Arial"/>
                <w:sz w:val="22"/>
                <w:szCs w:val="22"/>
              </w:rPr>
              <w:t>Actively monitor the cost effectiveness of asset disposals compared to Prudential Borrowing</w:t>
            </w:r>
          </w:p>
          <w:p w14:paraId="119659E0" w14:textId="77777777" w:rsidR="00AE657B" w:rsidRPr="0049601B" w:rsidRDefault="00AE657B" w:rsidP="00D5019B">
            <w:pPr>
              <w:numPr>
                <w:ilvl w:val="0"/>
                <w:numId w:val="2"/>
              </w:numPr>
              <w:rPr>
                <w:rFonts w:ascii="Arial" w:hAnsi="Arial" w:cs="Arial"/>
                <w:sz w:val="22"/>
                <w:szCs w:val="22"/>
              </w:rPr>
            </w:pPr>
            <w:r w:rsidRPr="5A5D6F7E">
              <w:rPr>
                <w:rFonts w:ascii="Arial" w:hAnsi="Arial" w:cs="Arial"/>
                <w:sz w:val="22"/>
                <w:szCs w:val="22"/>
              </w:rPr>
              <w:t>Ongoing monitoring of cashflows from major sources of income</w:t>
            </w:r>
          </w:p>
          <w:p w14:paraId="50029B20" w14:textId="77777777" w:rsidR="00AE657B" w:rsidRPr="0049601B" w:rsidRDefault="00AE657B" w:rsidP="00D5019B">
            <w:pPr>
              <w:numPr>
                <w:ilvl w:val="0"/>
                <w:numId w:val="2"/>
              </w:numPr>
              <w:rPr>
                <w:rFonts w:ascii="Arial" w:hAnsi="Arial" w:cs="Arial"/>
                <w:sz w:val="22"/>
                <w:szCs w:val="22"/>
              </w:rPr>
            </w:pPr>
            <w:r w:rsidRPr="5A5D6F7E">
              <w:rPr>
                <w:rFonts w:ascii="Arial" w:hAnsi="Arial" w:cs="Arial"/>
                <w:sz w:val="22"/>
                <w:szCs w:val="22"/>
              </w:rPr>
              <w:t>Regular review of current and future predicted borrowing rates to inform timing of borrowing decisions</w:t>
            </w:r>
          </w:p>
          <w:p w14:paraId="0F05EFAC" w14:textId="77777777" w:rsidR="00AE657B" w:rsidRPr="0049601B" w:rsidRDefault="00AE657B" w:rsidP="00D5019B">
            <w:pPr>
              <w:numPr>
                <w:ilvl w:val="0"/>
                <w:numId w:val="2"/>
              </w:numPr>
              <w:rPr>
                <w:rFonts w:ascii="Arial" w:hAnsi="Arial" w:cs="Arial"/>
                <w:sz w:val="22"/>
                <w:szCs w:val="22"/>
              </w:rPr>
            </w:pPr>
            <w:r w:rsidRPr="5A5D6F7E">
              <w:rPr>
                <w:rFonts w:ascii="Arial" w:hAnsi="Arial" w:cs="Arial"/>
                <w:sz w:val="22"/>
                <w:szCs w:val="22"/>
              </w:rPr>
              <w:t>Actively monitoring the cash flow on a daily basis</w:t>
            </w:r>
            <w:r>
              <w:rPr>
                <w:rFonts w:ascii="Arial" w:hAnsi="Arial" w:cs="Arial"/>
                <w:sz w:val="22"/>
                <w:szCs w:val="22"/>
              </w:rPr>
              <w:t xml:space="preserve"> with new methodology to be introduced for cash flow forecasting</w:t>
            </w:r>
          </w:p>
          <w:p w14:paraId="71C8532D" w14:textId="77777777" w:rsidR="00AE657B" w:rsidRPr="007D2588" w:rsidRDefault="00AE657B" w:rsidP="00D5019B">
            <w:pPr>
              <w:ind w:left="454"/>
              <w:rPr>
                <w:rFonts w:ascii="Arial" w:hAnsi="Arial" w:cs="Arial"/>
                <w:sz w:val="22"/>
                <w:szCs w:val="22"/>
              </w:rPr>
            </w:pPr>
          </w:p>
        </w:tc>
      </w:tr>
      <w:tr w:rsidR="00E94C11" w:rsidRPr="005C6861" w14:paraId="60C9AC61" w14:textId="77777777" w:rsidTr="00AE657B">
        <w:trPr>
          <w:tblHeader/>
        </w:trPr>
        <w:tc>
          <w:tcPr>
            <w:tcW w:w="693" w:type="dxa"/>
            <w:tcBorders>
              <w:top w:val="single" w:sz="4" w:space="0" w:color="auto"/>
              <w:left w:val="single" w:sz="4" w:space="0" w:color="auto"/>
              <w:bottom w:val="single" w:sz="4" w:space="0" w:color="auto"/>
              <w:right w:val="single" w:sz="4" w:space="0" w:color="auto"/>
            </w:tcBorders>
          </w:tcPr>
          <w:p w14:paraId="616FC7AD" w14:textId="6A5E3BA1" w:rsidR="00AE657B" w:rsidRPr="00AE657B" w:rsidRDefault="00AF3DCD" w:rsidP="00D5019B">
            <w:pPr>
              <w:rPr>
                <w:rFonts w:ascii="Arial" w:hAnsi="Arial" w:cs="Arial"/>
                <w:sz w:val="22"/>
              </w:rPr>
            </w:pPr>
            <w:r>
              <w:rPr>
                <w:rFonts w:ascii="Arial" w:hAnsi="Arial" w:cs="Arial"/>
                <w:sz w:val="22"/>
              </w:rPr>
              <w:t>9</w:t>
            </w:r>
          </w:p>
        </w:tc>
        <w:tc>
          <w:tcPr>
            <w:tcW w:w="2108" w:type="dxa"/>
            <w:tcBorders>
              <w:top w:val="single" w:sz="4" w:space="0" w:color="auto"/>
              <w:left w:val="single" w:sz="4" w:space="0" w:color="auto"/>
              <w:bottom w:val="single" w:sz="4" w:space="0" w:color="auto"/>
              <w:right w:val="single" w:sz="4" w:space="0" w:color="auto"/>
            </w:tcBorders>
          </w:tcPr>
          <w:p w14:paraId="184C12D0" w14:textId="77777777" w:rsidR="00AE657B" w:rsidRPr="00AE657B" w:rsidRDefault="00AE657B" w:rsidP="00D5019B">
            <w:pPr>
              <w:rPr>
                <w:rFonts w:ascii="Arial" w:hAnsi="Arial" w:cs="Arial"/>
                <w:sz w:val="22"/>
              </w:rPr>
            </w:pPr>
            <w:r w:rsidRPr="00AE657B">
              <w:rPr>
                <w:rFonts w:ascii="Arial" w:hAnsi="Arial" w:cs="Arial"/>
                <w:sz w:val="22"/>
              </w:rPr>
              <w:t>Capital Funding</w:t>
            </w:r>
          </w:p>
        </w:tc>
        <w:tc>
          <w:tcPr>
            <w:tcW w:w="3420" w:type="dxa"/>
            <w:tcBorders>
              <w:top w:val="single" w:sz="4" w:space="0" w:color="auto"/>
              <w:left w:val="single" w:sz="4" w:space="0" w:color="auto"/>
              <w:bottom w:val="single" w:sz="4" w:space="0" w:color="auto"/>
              <w:right w:val="single" w:sz="4" w:space="0" w:color="auto"/>
            </w:tcBorders>
          </w:tcPr>
          <w:p w14:paraId="397A7CAC" w14:textId="77777777" w:rsidR="00AE657B" w:rsidRPr="00AE657B" w:rsidRDefault="00AE657B" w:rsidP="00D5019B">
            <w:pPr>
              <w:rPr>
                <w:rFonts w:ascii="Arial" w:hAnsi="Arial" w:cs="Arial"/>
                <w:sz w:val="22"/>
              </w:rPr>
            </w:pPr>
            <w:r w:rsidRPr="00AE657B">
              <w:rPr>
                <w:rFonts w:ascii="Arial" w:hAnsi="Arial" w:cs="Arial"/>
                <w:sz w:val="22"/>
              </w:rPr>
              <w:t>Shortfall in the actual amount of Capital Receipts (i.e. Council House Sales following the changes to RTB discounts in and house sales at Charterholme) against the targets set within the HIP &amp; GIP</w:t>
            </w:r>
          </w:p>
          <w:p w14:paraId="2B0D946C" w14:textId="77777777" w:rsidR="00AE657B" w:rsidRPr="00AE657B" w:rsidRDefault="00AE657B" w:rsidP="00D5019B">
            <w:pPr>
              <w:rPr>
                <w:rFonts w:ascii="Arial" w:hAnsi="Arial" w:cs="Arial"/>
                <w:sz w:val="22"/>
              </w:rPr>
            </w:pPr>
          </w:p>
          <w:p w14:paraId="4303C714" w14:textId="77777777" w:rsidR="00AE657B" w:rsidRPr="00AE657B" w:rsidRDefault="00AE657B" w:rsidP="00D5019B">
            <w:pPr>
              <w:rPr>
                <w:rFonts w:ascii="Arial" w:hAnsi="Arial" w:cs="Arial"/>
                <w:sz w:val="22"/>
              </w:rPr>
            </w:pPr>
            <w:r w:rsidRPr="00AE657B">
              <w:rPr>
                <w:rFonts w:ascii="Arial" w:hAnsi="Arial" w:cs="Arial"/>
                <w:sz w:val="22"/>
              </w:rPr>
              <w:t>Revenue contributions are not sustainable in the revenue accounts of the HRA or General Fund</w:t>
            </w:r>
          </w:p>
          <w:p w14:paraId="02F92DED" w14:textId="77777777" w:rsidR="00AE657B" w:rsidRPr="00AE657B" w:rsidRDefault="00AE657B" w:rsidP="00D5019B">
            <w:pPr>
              <w:rPr>
                <w:rFonts w:ascii="Arial" w:hAnsi="Arial" w:cs="Arial"/>
                <w:sz w:val="22"/>
              </w:rPr>
            </w:pPr>
          </w:p>
          <w:p w14:paraId="2C63808A" w14:textId="77777777" w:rsidR="00AE657B" w:rsidRPr="00AE657B" w:rsidRDefault="00AE657B" w:rsidP="00D5019B">
            <w:pPr>
              <w:rPr>
                <w:rFonts w:ascii="Arial" w:hAnsi="Arial" w:cs="Arial"/>
                <w:sz w:val="22"/>
              </w:rPr>
            </w:pPr>
            <w:r w:rsidRPr="00AE657B">
              <w:rPr>
                <w:rFonts w:ascii="Arial" w:hAnsi="Arial" w:cs="Arial"/>
                <w:sz w:val="22"/>
              </w:rPr>
              <w:t>Increase in borrowing costs (covered in separate risk – see no. 11)</w:t>
            </w:r>
          </w:p>
          <w:p w14:paraId="004704C2" w14:textId="77777777" w:rsidR="00AE657B" w:rsidRPr="00AE657B" w:rsidRDefault="00AE657B" w:rsidP="00D5019B">
            <w:pPr>
              <w:rPr>
                <w:rFonts w:ascii="Arial" w:hAnsi="Arial" w:cs="Arial"/>
                <w:sz w:val="22"/>
              </w:rPr>
            </w:pPr>
          </w:p>
          <w:p w14:paraId="3F8E29B1" w14:textId="77777777" w:rsidR="00AE657B" w:rsidRPr="00AE657B" w:rsidRDefault="00AE657B" w:rsidP="00D5019B">
            <w:pPr>
              <w:rPr>
                <w:rFonts w:ascii="Arial" w:hAnsi="Arial" w:cs="Arial"/>
                <w:sz w:val="22"/>
              </w:rPr>
            </w:pPr>
            <w:r w:rsidRPr="00AE657B">
              <w:rPr>
                <w:rFonts w:ascii="Arial" w:hAnsi="Arial" w:cs="Arial"/>
                <w:sz w:val="22"/>
              </w:rPr>
              <w:t>Reductions in grant funding (covered in separate risk – see no.10).</w:t>
            </w:r>
          </w:p>
          <w:p w14:paraId="4BE25361" w14:textId="77777777" w:rsidR="00AE657B" w:rsidRPr="00AE657B" w:rsidRDefault="00AE657B" w:rsidP="00D5019B">
            <w:pP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FFC000" w:themeFill="accent4"/>
          </w:tcPr>
          <w:p w14:paraId="44A57D90" w14:textId="77777777" w:rsidR="00AE657B" w:rsidRPr="00AF3DCD" w:rsidRDefault="00AE657B" w:rsidP="00D5019B">
            <w:pPr>
              <w:jc w:val="center"/>
              <w:rPr>
                <w:rFonts w:ascii="Arial" w:hAnsi="Arial" w:cs="Arial"/>
                <w:sz w:val="22"/>
              </w:rPr>
            </w:pPr>
          </w:p>
          <w:p w14:paraId="1BCEE88A" w14:textId="77777777" w:rsidR="00AE657B" w:rsidRPr="00AF3DCD" w:rsidRDefault="00AE657B" w:rsidP="00D5019B">
            <w:pPr>
              <w:jc w:val="center"/>
              <w:rPr>
                <w:rFonts w:ascii="Arial" w:hAnsi="Arial" w:cs="Arial"/>
                <w:b/>
                <w:bCs/>
                <w:sz w:val="22"/>
              </w:rPr>
            </w:pPr>
            <w:r w:rsidRPr="00AF3DCD">
              <w:rPr>
                <w:rFonts w:ascii="Arial" w:hAnsi="Arial" w:cs="Arial"/>
                <w:b/>
                <w:bCs/>
                <w:sz w:val="22"/>
              </w:rPr>
              <w:t>Total Score: 9</w:t>
            </w:r>
          </w:p>
          <w:p w14:paraId="6BBBA6D5" w14:textId="77777777" w:rsidR="00AE657B" w:rsidRPr="00AF3DCD" w:rsidRDefault="00AE657B" w:rsidP="00D5019B">
            <w:pPr>
              <w:jc w:val="center"/>
              <w:rPr>
                <w:rFonts w:ascii="Arial" w:hAnsi="Arial" w:cs="Arial"/>
                <w:sz w:val="22"/>
              </w:rPr>
            </w:pPr>
          </w:p>
          <w:p w14:paraId="18FC3C22" w14:textId="77777777" w:rsidR="00AE657B" w:rsidRPr="00AF3DCD" w:rsidRDefault="00AE657B" w:rsidP="00D5019B">
            <w:pPr>
              <w:jc w:val="center"/>
              <w:rPr>
                <w:rFonts w:ascii="Arial" w:hAnsi="Arial" w:cs="Arial"/>
                <w:sz w:val="22"/>
              </w:rPr>
            </w:pPr>
            <w:r w:rsidRPr="00AF3DCD">
              <w:rPr>
                <w:rFonts w:ascii="Arial" w:hAnsi="Arial" w:cs="Arial"/>
                <w:sz w:val="22"/>
              </w:rPr>
              <w:t>Likelihood: 3</w:t>
            </w:r>
          </w:p>
          <w:p w14:paraId="1F9B967B" w14:textId="77777777" w:rsidR="00AE657B" w:rsidRPr="00AF3DCD" w:rsidRDefault="00AE657B" w:rsidP="00AE657B">
            <w:pPr>
              <w:jc w:val="center"/>
              <w:rPr>
                <w:rFonts w:ascii="Arial" w:hAnsi="Arial" w:cs="Arial"/>
                <w:sz w:val="22"/>
              </w:rPr>
            </w:pPr>
            <w:r w:rsidRPr="00AF3DCD">
              <w:rPr>
                <w:rFonts w:ascii="Arial" w:hAnsi="Arial" w:cs="Arial"/>
                <w:sz w:val="22"/>
              </w:rPr>
              <w:t>Impact: 3</w:t>
            </w:r>
          </w:p>
        </w:tc>
        <w:tc>
          <w:tcPr>
            <w:tcW w:w="1926" w:type="dxa"/>
            <w:tcBorders>
              <w:top w:val="single" w:sz="4" w:space="0" w:color="auto"/>
              <w:left w:val="single" w:sz="4" w:space="0" w:color="auto"/>
              <w:bottom w:val="single" w:sz="4" w:space="0" w:color="auto"/>
              <w:right w:val="single" w:sz="4" w:space="0" w:color="auto"/>
            </w:tcBorders>
            <w:shd w:val="clear" w:color="auto" w:fill="FFC000" w:themeFill="accent4"/>
          </w:tcPr>
          <w:p w14:paraId="2EE8B404" w14:textId="77777777" w:rsidR="00AE657B" w:rsidRPr="00AF3DCD" w:rsidRDefault="00AE657B" w:rsidP="00AE657B">
            <w:pPr>
              <w:jc w:val="center"/>
              <w:rPr>
                <w:rFonts w:ascii="Arial" w:hAnsi="Arial" w:cs="Arial"/>
                <w:sz w:val="22"/>
              </w:rPr>
            </w:pPr>
          </w:p>
          <w:p w14:paraId="304ED44C" w14:textId="77777777" w:rsidR="00AE657B" w:rsidRPr="00AF3DCD" w:rsidRDefault="00AE657B" w:rsidP="00D5019B">
            <w:pPr>
              <w:jc w:val="center"/>
              <w:rPr>
                <w:rFonts w:ascii="Arial" w:hAnsi="Arial" w:cs="Arial"/>
                <w:b/>
                <w:bCs/>
                <w:sz w:val="22"/>
              </w:rPr>
            </w:pPr>
            <w:r w:rsidRPr="00AF3DCD">
              <w:rPr>
                <w:rFonts w:ascii="Arial" w:hAnsi="Arial" w:cs="Arial"/>
                <w:b/>
                <w:bCs/>
                <w:sz w:val="22"/>
              </w:rPr>
              <w:t>Total Score: 9</w:t>
            </w:r>
          </w:p>
          <w:p w14:paraId="5B332F17" w14:textId="77777777" w:rsidR="00AE657B" w:rsidRPr="00AF3DCD" w:rsidRDefault="00AE657B" w:rsidP="00D5019B">
            <w:pPr>
              <w:jc w:val="center"/>
              <w:rPr>
                <w:rFonts w:ascii="Arial" w:hAnsi="Arial" w:cs="Arial"/>
                <w:sz w:val="22"/>
              </w:rPr>
            </w:pPr>
          </w:p>
          <w:p w14:paraId="55A26A22" w14:textId="77777777" w:rsidR="00AE657B" w:rsidRPr="00AF3DCD" w:rsidRDefault="00AE657B" w:rsidP="00D5019B">
            <w:pPr>
              <w:jc w:val="center"/>
              <w:rPr>
                <w:rFonts w:ascii="Arial" w:hAnsi="Arial" w:cs="Arial"/>
                <w:sz w:val="22"/>
              </w:rPr>
            </w:pPr>
            <w:r w:rsidRPr="00AF3DCD">
              <w:rPr>
                <w:rFonts w:ascii="Arial" w:hAnsi="Arial" w:cs="Arial"/>
                <w:sz w:val="22"/>
              </w:rPr>
              <w:t>Likelihood: 3</w:t>
            </w:r>
          </w:p>
          <w:p w14:paraId="52CE7FF4" w14:textId="77777777" w:rsidR="00AE657B" w:rsidRPr="00AF3DCD" w:rsidRDefault="00AE657B" w:rsidP="00AE657B">
            <w:pPr>
              <w:jc w:val="center"/>
              <w:rPr>
                <w:rFonts w:ascii="Arial" w:hAnsi="Arial" w:cs="Arial"/>
                <w:sz w:val="22"/>
              </w:rPr>
            </w:pPr>
            <w:r w:rsidRPr="00AF3DCD">
              <w:rPr>
                <w:rFonts w:ascii="Arial" w:hAnsi="Arial" w:cs="Arial"/>
                <w:sz w:val="22"/>
              </w:rPr>
              <w:t>Impact: 3</w:t>
            </w:r>
          </w:p>
        </w:tc>
        <w:tc>
          <w:tcPr>
            <w:tcW w:w="5276" w:type="dxa"/>
            <w:tcBorders>
              <w:top w:val="single" w:sz="4" w:space="0" w:color="auto"/>
              <w:left w:val="single" w:sz="4" w:space="0" w:color="auto"/>
              <w:bottom w:val="single" w:sz="4" w:space="0" w:color="auto"/>
              <w:right w:val="single" w:sz="4" w:space="0" w:color="auto"/>
            </w:tcBorders>
          </w:tcPr>
          <w:p w14:paraId="570F992B" w14:textId="77777777" w:rsidR="00AE657B" w:rsidRPr="00AE657B" w:rsidRDefault="00AE657B" w:rsidP="00D5019B">
            <w:pPr>
              <w:numPr>
                <w:ilvl w:val="0"/>
                <w:numId w:val="8"/>
              </w:numPr>
              <w:rPr>
                <w:rFonts w:ascii="Arial" w:hAnsi="Arial" w:cs="Arial"/>
                <w:sz w:val="22"/>
              </w:rPr>
            </w:pPr>
            <w:r w:rsidRPr="00AE657B">
              <w:rPr>
                <w:rFonts w:ascii="Arial" w:hAnsi="Arial" w:cs="Arial"/>
                <w:sz w:val="22"/>
              </w:rPr>
              <w:t>Undertake regular monitoring of the capital receipts position</w:t>
            </w:r>
          </w:p>
          <w:p w14:paraId="0C73E52F" w14:textId="77777777" w:rsidR="00AE657B" w:rsidRPr="00AE657B" w:rsidRDefault="00AE657B" w:rsidP="00D5019B">
            <w:pPr>
              <w:numPr>
                <w:ilvl w:val="0"/>
                <w:numId w:val="8"/>
              </w:numPr>
              <w:rPr>
                <w:rFonts w:ascii="Arial" w:hAnsi="Arial" w:cs="Arial"/>
                <w:sz w:val="22"/>
              </w:rPr>
            </w:pPr>
            <w:r w:rsidRPr="00AE657B">
              <w:rPr>
                <w:rFonts w:ascii="Arial" w:hAnsi="Arial" w:cs="Arial"/>
                <w:sz w:val="22"/>
              </w:rPr>
              <w:t>Capital Receipts targets incorporated in the Capital Strategy</w:t>
            </w:r>
          </w:p>
          <w:p w14:paraId="552BF864" w14:textId="77777777" w:rsidR="00AE657B" w:rsidRPr="00AE657B" w:rsidRDefault="00AE657B" w:rsidP="00D5019B">
            <w:pPr>
              <w:numPr>
                <w:ilvl w:val="0"/>
                <w:numId w:val="8"/>
              </w:numPr>
              <w:rPr>
                <w:rFonts w:ascii="Arial" w:hAnsi="Arial" w:cs="Arial"/>
                <w:sz w:val="22"/>
              </w:rPr>
            </w:pPr>
            <w:r w:rsidRPr="00AE657B">
              <w:rPr>
                <w:rFonts w:ascii="Arial" w:hAnsi="Arial" w:cs="Arial"/>
                <w:sz w:val="22"/>
              </w:rPr>
              <w:t>Property Section fully informed of current targets within the GIP &amp; HIP (no specific target set for the GIP for general disposals)</w:t>
            </w:r>
          </w:p>
          <w:p w14:paraId="12E4F6A3" w14:textId="77777777" w:rsidR="00AE657B" w:rsidRPr="00AE657B" w:rsidRDefault="00AE657B" w:rsidP="00D5019B">
            <w:pPr>
              <w:numPr>
                <w:ilvl w:val="0"/>
                <w:numId w:val="8"/>
              </w:numPr>
              <w:rPr>
                <w:rFonts w:ascii="Arial" w:hAnsi="Arial" w:cs="Arial"/>
                <w:sz w:val="22"/>
              </w:rPr>
            </w:pPr>
            <w:r w:rsidRPr="00AE657B">
              <w:rPr>
                <w:rFonts w:ascii="Arial" w:hAnsi="Arial" w:cs="Arial"/>
                <w:sz w:val="22"/>
              </w:rPr>
              <w:t>Specific capital receipts target in place for WGC Phase 1a 52 market homes – development agreement in place with minimum land value agreed with remainder subject to profit share. Active management in place with developer.</w:t>
            </w:r>
          </w:p>
          <w:p w14:paraId="74D68AAD" w14:textId="77777777" w:rsidR="00AE657B" w:rsidRPr="00AE657B" w:rsidRDefault="00AE657B" w:rsidP="00D5019B">
            <w:pPr>
              <w:numPr>
                <w:ilvl w:val="0"/>
                <w:numId w:val="8"/>
              </w:numPr>
              <w:rPr>
                <w:rFonts w:ascii="Arial" w:hAnsi="Arial" w:cs="Arial"/>
                <w:sz w:val="22"/>
              </w:rPr>
            </w:pPr>
            <w:r w:rsidRPr="00AE657B">
              <w:rPr>
                <w:rFonts w:ascii="Arial" w:hAnsi="Arial" w:cs="Arial"/>
                <w:sz w:val="22"/>
              </w:rPr>
              <w:t>Active monitoring of local housing market, using specialist external advice.</w:t>
            </w:r>
          </w:p>
          <w:p w14:paraId="65930947" w14:textId="77777777" w:rsidR="00AE657B" w:rsidRPr="00AE657B" w:rsidRDefault="00AE657B" w:rsidP="00D5019B">
            <w:pPr>
              <w:numPr>
                <w:ilvl w:val="0"/>
                <w:numId w:val="8"/>
              </w:numPr>
              <w:rPr>
                <w:rFonts w:ascii="Arial" w:hAnsi="Arial" w:cs="Arial"/>
                <w:sz w:val="22"/>
              </w:rPr>
            </w:pPr>
            <w:r w:rsidRPr="00AE657B">
              <w:rPr>
                <w:rFonts w:ascii="Arial" w:hAnsi="Arial" w:cs="Arial"/>
                <w:sz w:val="22"/>
              </w:rPr>
              <w:t>Review of the most cost-effective funding options (e.g. capital receipts compared to prudential borrowing)</w:t>
            </w:r>
          </w:p>
          <w:p w14:paraId="54D7E180" w14:textId="77777777" w:rsidR="00AE657B" w:rsidRPr="00AE657B" w:rsidRDefault="00AE657B" w:rsidP="00D5019B">
            <w:pPr>
              <w:numPr>
                <w:ilvl w:val="0"/>
                <w:numId w:val="8"/>
              </w:numPr>
              <w:rPr>
                <w:rFonts w:ascii="Arial" w:hAnsi="Arial" w:cs="Arial"/>
                <w:sz w:val="22"/>
              </w:rPr>
            </w:pPr>
            <w:r w:rsidRPr="00AE657B">
              <w:rPr>
                <w:rFonts w:ascii="Arial" w:hAnsi="Arial" w:cs="Arial"/>
                <w:sz w:val="22"/>
              </w:rPr>
              <w:t>Monitor and report on the revenue and capital budgets together to ensure both capital and revenue impacts are identified</w:t>
            </w:r>
          </w:p>
          <w:p w14:paraId="78F2DD3D" w14:textId="77777777" w:rsidR="00AE657B" w:rsidRPr="00AE657B" w:rsidRDefault="00AE657B" w:rsidP="00D5019B">
            <w:pPr>
              <w:numPr>
                <w:ilvl w:val="0"/>
                <w:numId w:val="8"/>
              </w:numPr>
              <w:rPr>
                <w:rFonts w:ascii="Arial" w:hAnsi="Arial" w:cs="Arial"/>
                <w:sz w:val="22"/>
              </w:rPr>
            </w:pPr>
            <w:r w:rsidRPr="00AE657B">
              <w:rPr>
                <w:rFonts w:ascii="Arial" w:hAnsi="Arial" w:cs="Arial"/>
                <w:sz w:val="22"/>
              </w:rPr>
              <w:t xml:space="preserve">HRA Business plan includes allowance for full funding of capital requirements over 30 years, including revenue contributions.  </w:t>
            </w:r>
          </w:p>
          <w:p w14:paraId="181E6306" w14:textId="77777777" w:rsidR="00AE657B" w:rsidRPr="00745B3F" w:rsidRDefault="00AE657B" w:rsidP="00AE657B">
            <w:pPr>
              <w:tabs>
                <w:tab w:val="num" w:pos="385"/>
              </w:tabs>
              <w:ind w:left="385" w:hanging="180"/>
              <w:rPr>
                <w:rFonts w:ascii="Arial" w:hAnsi="Arial" w:cs="Arial"/>
                <w:sz w:val="22"/>
              </w:rPr>
            </w:pPr>
          </w:p>
        </w:tc>
      </w:tr>
      <w:tr w:rsidR="00E94C11" w:rsidRPr="005C6861" w14:paraId="4531BA6C" w14:textId="77777777" w:rsidTr="00991DA6">
        <w:trPr>
          <w:tblHeader/>
        </w:trPr>
        <w:tc>
          <w:tcPr>
            <w:tcW w:w="693" w:type="dxa"/>
          </w:tcPr>
          <w:p w14:paraId="77406371" w14:textId="15A2DE76" w:rsidR="00AF3DCD" w:rsidRPr="003F24CB" w:rsidRDefault="00AF3DCD" w:rsidP="00D5019B">
            <w:pPr>
              <w:rPr>
                <w:rFonts w:ascii="Arial" w:hAnsi="Arial" w:cs="Arial"/>
                <w:sz w:val="22"/>
              </w:rPr>
            </w:pPr>
            <w:r>
              <w:rPr>
                <w:rFonts w:ascii="Arial" w:hAnsi="Arial" w:cs="Arial"/>
                <w:sz w:val="22"/>
              </w:rPr>
              <w:t>10</w:t>
            </w:r>
          </w:p>
        </w:tc>
        <w:tc>
          <w:tcPr>
            <w:tcW w:w="2108" w:type="dxa"/>
          </w:tcPr>
          <w:p w14:paraId="7C33DB3C" w14:textId="77777777" w:rsidR="00AF3DCD" w:rsidRPr="003F24CB" w:rsidRDefault="00AF3DCD" w:rsidP="00D5019B">
            <w:pPr>
              <w:rPr>
                <w:rFonts w:ascii="Arial" w:hAnsi="Arial" w:cs="Arial"/>
                <w:sz w:val="22"/>
              </w:rPr>
            </w:pPr>
            <w:r w:rsidRPr="003F24CB">
              <w:rPr>
                <w:rFonts w:ascii="Arial" w:hAnsi="Arial" w:cs="Arial"/>
                <w:sz w:val="22"/>
              </w:rPr>
              <w:t>Income from Fees &amp; Charges/ Rents:</w:t>
            </w:r>
          </w:p>
          <w:p w14:paraId="6C6E904B" w14:textId="77777777" w:rsidR="00AF3DCD" w:rsidRPr="003F24CB" w:rsidRDefault="00AF3DCD" w:rsidP="00D5019B">
            <w:pPr>
              <w:numPr>
                <w:ilvl w:val="0"/>
                <w:numId w:val="3"/>
              </w:numPr>
              <w:rPr>
                <w:rFonts w:ascii="Arial" w:hAnsi="Arial" w:cs="Arial"/>
                <w:sz w:val="22"/>
              </w:rPr>
            </w:pPr>
            <w:r w:rsidRPr="003F24CB">
              <w:rPr>
                <w:rFonts w:ascii="Arial" w:hAnsi="Arial" w:cs="Arial"/>
                <w:sz w:val="22"/>
              </w:rPr>
              <w:t>Car Parking</w:t>
            </w:r>
          </w:p>
          <w:p w14:paraId="68A2850E" w14:textId="77777777" w:rsidR="00AF3DCD" w:rsidRPr="003F24CB" w:rsidRDefault="00AF3DCD" w:rsidP="00D5019B">
            <w:pPr>
              <w:numPr>
                <w:ilvl w:val="0"/>
                <w:numId w:val="3"/>
              </w:numPr>
              <w:rPr>
                <w:rFonts w:ascii="Arial" w:hAnsi="Arial" w:cs="Arial"/>
                <w:sz w:val="22"/>
              </w:rPr>
            </w:pPr>
            <w:r w:rsidRPr="003F24CB">
              <w:rPr>
                <w:rFonts w:ascii="Arial" w:hAnsi="Arial" w:cs="Arial"/>
                <w:sz w:val="22"/>
              </w:rPr>
              <w:t>Crematorium / Cemeteries</w:t>
            </w:r>
          </w:p>
          <w:p w14:paraId="3DD75502" w14:textId="77777777" w:rsidR="00AF3DCD" w:rsidRPr="003F24CB" w:rsidRDefault="00AF3DCD" w:rsidP="00D5019B">
            <w:pPr>
              <w:numPr>
                <w:ilvl w:val="0"/>
                <w:numId w:val="3"/>
              </w:numPr>
              <w:rPr>
                <w:rFonts w:ascii="Arial" w:hAnsi="Arial" w:cs="Arial"/>
                <w:sz w:val="22"/>
              </w:rPr>
            </w:pPr>
            <w:r w:rsidRPr="003F24CB">
              <w:rPr>
                <w:rFonts w:ascii="Arial" w:hAnsi="Arial" w:cs="Arial"/>
                <w:sz w:val="22"/>
              </w:rPr>
              <w:t>Development Control</w:t>
            </w:r>
          </w:p>
          <w:p w14:paraId="08E50F49" w14:textId="77777777" w:rsidR="00AF3DCD" w:rsidRPr="003F24CB" w:rsidRDefault="00AF3DCD" w:rsidP="00D5019B">
            <w:pPr>
              <w:numPr>
                <w:ilvl w:val="0"/>
                <w:numId w:val="3"/>
              </w:numPr>
              <w:rPr>
                <w:rFonts w:ascii="Arial" w:hAnsi="Arial" w:cs="Arial"/>
                <w:sz w:val="22"/>
              </w:rPr>
            </w:pPr>
            <w:r w:rsidRPr="003F24CB">
              <w:rPr>
                <w:rFonts w:ascii="Arial" w:hAnsi="Arial" w:cs="Arial"/>
                <w:sz w:val="22"/>
              </w:rPr>
              <w:t>Building Control</w:t>
            </w:r>
          </w:p>
          <w:p w14:paraId="56882A07" w14:textId="77777777" w:rsidR="00AF3DCD" w:rsidRPr="003F24CB" w:rsidRDefault="00AF3DCD" w:rsidP="00D5019B">
            <w:pPr>
              <w:numPr>
                <w:ilvl w:val="0"/>
                <w:numId w:val="3"/>
              </w:numPr>
              <w:rPr>
                <w:rFonts w:ascii="Arial" w:hAnsi="Arial" w:cs="Arial"/>
                <w:sz w:val="22"/>
              </w:rPr>
            </w:pPr>
            <w:r w:rsidRPr="003F24CB">
              <w:rPr>
                <w:rFonts w:ascii="Arial" w:hAnsi="Arial" w:cs="Arial"/>
                <w:sz w:val="22"/>
              </w:rPr>
              <w:t>Land Charges</w:t>
            </w:r>
          </w:p>
          <w:p w14:paraId="40C12576" w14:textId="77777777" w:rsidR="00AF3DCD" w:rsidRPr="003F24CB" w:rsidRDefault="00AF3DCD" w:rsidP="00D5019B">
            <w:pPr>
              <w:numPr>
                <w:ilvl w:val="0"/>
                <w:numId w:val="3"/>
              </w:numPr>
              <w:rPr>
                <w:rFonts w:ascii="Arial" w:hAnsi="Arial" w:cs="Arial"/>
                <w:sz w:val="22"/>
              </w:rPr>
            </w:pPr>
            <w:r w:rsidRPr="003F24CB">
              <w:rPr>
                <w:rFonts w:ascii="Arial" w:hAnsi="Arial" w:cs="Arial"/>
                <w:sz w:val="22"/>
              </w:rPr>
              <w:t>Control Centre</w:t>
            </w:r>
          </w:p>
          <w:p w14:paraId="4CC6EE51" w14:textId="77777777" w:rsidR="00AF3DCD" w:rsidRPr="003F24CB" w:rsidRDefault="00AF3DCD" w:rsidP="00D5019B">
            <w:pPr>
              <w:numPr>
                <w:ilvl w:val="0"/>
                <w:numId w:val="3"/>
              </w:numPr>
              <w:rPr>
                <w:rFonts w:ascii="Arial" w:hAnsi="Arial" w:cs="Arial"/>
                <w:sz w:val="22"/>
              </w:rPr>
            </w:pPr>
            <w:r w:rsidRPr="003F24CB">
              <w:rPr>
                <w:rFonts w:ascii="Arial" w:hAnsi="Arial" w:cs="Arial"/>
                <w:sz w:val="22"/>
              </w:rPr>
              <w:t>Lincoln Properties</w:t>
            </w:r>
          </w:p>
          <w:p w14:paraId="06B17A16" w14:textId="77777777" w:rsidR="00AF3DCD" w:rsidRPr="003F24CB" w:rsidRDefault="00AF3DCD" w:rsidP="00D5019B">
            <w:pPr>
              <w:numPr>
                <w:ilvl w:val="0"/>
                <w:numId w:val="3"/>
              </w:numPr>
              <w:rPr>
                <w:rFonts w:ascii="Arial" w:hAnsi="Arial" w:cs="Arial"/>
                <w:sz w:val="22"/>
              </w:rPr>
            </w:pPr>
            <w:r w:rsidRPr="003F24CB">
              <w:rPr>
                <w:rFonts w:ascii="Arial" w:hAnsi="Arial" w:cs="Arial"/>
                <w:sz w:val="22"/>
              </w:rPr>
              <w:t>Industrial Estates</w:t>
            </w:r>
          </w:p>
          <w:p w14:paraId="61A55D9B" w14:textId="77777777" w:rsidR="00AF3DCD" w:rsidRPr="003F24CB" w:rsidRDefault="00AF3DCD" w:rsidP="00D5019B">
            <w:pPr>
              <w:numPr>
                <w:ilvl w:val="0"/>
                <w:numId w:val="3"/>
              </w:numPr>
              <w:rPr>
                <w:rFonts w:ascii="Arial" w:hAnsi="Arial" w:cs="Arial"/>
                <w:sz w:val="22"/>
              </w:rPr>
            </w:pPr>
            <w:r w:rsidRPr="003F24CB">
              <w:rPr>
                <w:rFonts w:ascii="Arial" w:hAnsi="Arial" w:cs="Arial"/>
                <w:sz w:val="22"/>
              </w:rPr>
              <w:t>Central Market</w:t>
            </w:r>
          </w:p>
          <w:p w14:paraId="2004E551" w14:textId="77777777" w:rsidR="00AF3DCD" w:rsidRPr="003F24CB" w:rsidRDefault="00AF3DCD" w:rsidP="00D5019B">
            <w:pPr>
              <w:ind w:left="113"/>
              <w:rPr>
                <w:rFonts w:ascii="Arial" w:hAnsi="Arial" w:cs="Arial"/>
                <w:sz w:val="22"/>
              </w:rPr>
            </w:pPr>
          </w:p>
          <w:p w14:paraId="76DE1E61" w14:textId="77777777" w:rsidR="00AF3DCD" w:rsidRPr="003F24CB" w:rsidRDefault="00AF3DCD" w:rsidP="00D5019B">
            <w:pPr>
              <w:ind w:left="113"/>
              <w:rPr>
                <w:rFonts w:ascii="Arial" w:hAnsi="Arial" w:cs="Arial"/>
                <w:sz w:val="22"/>
              </w:rPr>
            </w:pPr>
          </w:p>
        </w:tc>
        <w:tc>
          <w:tcPr>
            <w:tcW w:w="3420" w:type="dxa"/>
          </w:tcPr>
          <w:p w14:paraId="424053CB" w14:textId="77777777" w:rsidR="00AF3DCD" w:rsidRPr="003F24CB" w:rsidRDefault="00AF3DCD" w:rsidP="00D5019B">
            <w:pPr>
              <w:rPr>
                <w:rFonts w:ascii="Arial" w:hAnsi="Arial" w:cs="Arial"/>
                <w:sz w:val="22"/>
              </w:rPr>
            </w:pPr>
            <w:r w:rsidRPr="003F24CB">
              <w:rPr>
                <w:rFonts w:ascii="Arial" w:hAnsi="Arial" w:cs="Arial"/>
                <w:sz w:val="22"/>
              </w:rPr>
              <w:t>Reduction in the usage of the service/activity levels due to economic factors and cost of living crisis</w:t>
            </w:r>
          </w:p>
          <w:p w14:paraId="38DB6398" w14:textId="77777777" w:rsidR="00AF3DCD" w:rsidRPr="003F24CB" w:rsidRDefault="00AF3DCD" w:rsidP="00D5019B">
            <w:pPr>
              <w:rPr>
                <w:rFonts w:ascii="Arial" w:hAnsi="Arial" w:cs="Arial"/>
                <w:sz w:val="22"/>
              </w:rPr>
            </w:pPr>
          </w:p>
          <w:p w14:paraId="538897AF" w14:textId="77777777" w:rsidR="00AF3DCD" w:rsidRPr="003F24CB" w:rsidRDefault="00AF3DCD" w:rsidP="00D5019B">
            <w:pPr>
              <w:rPr>
                <w:rFonts w:ascii="Arial" w:hAnsi="Arial" w:cs="Arial"/>
                <w:sz w:val="22"/>
              </w:rPr>
            </w:pPr>
            <w:r w:rsidRPr="003F24CB">
              <w:rPr>
                <w:rFonts w:ascii="Arial" w:hAnsi="Arial" w:cs="Arial"/>
                <w:sz w:val="22"/>
              </w:rPr>
              <w:t>Over optimistic income targets</w:t>
            </w:r>
          </w:p>
          <w:p w14:paraId="3A2FE9C5" w14:textId="77777777" w:rsidR="00AF3DCD" w:rsidRPr="003F24CB" w:rsidRDefault="00AF3DCD" w:rsidP="00D5019B">
            <w:pPr>
              <w:rPr>
                <w:rFonts w:ascii="Arial" w:hAnsi="Arial" w:cs="Arial"/>
                <w:sz w:val="22"/>
              </w:rPr>
            </w:pPr>
          </w:p>
          <w:p w14:paraId="5B27F232" w14:textId="77777777" w:rsidR="00AF3DCD" w:rsidRPr="003F24CB" w:rsidRDefault="00AF3DCD" w:rsidP="00D5019B">
            <w:pPr>
              <w:rPr>
                <w:rFonts w:ascii="Arial" w:hAnsi="Arial" w:cs="Arial"/>
                <w:sz w:val="22"/>
              </w:rPr>
            </w:pPr>
            <w:r w:rsidRPr="003F24CB">
              <w:rPr>
                <w:rFonts w:ascii="Arial" w:hAnsi="Arial" w:cs="Arial"/>
                <w:sz w:val="22"/>
              </w:rPr>
              <w:t>Reputational issues</w:t>
            </w:r>
          </w:p>
          <w:p w14:paraId="26835AE2" w14:textId="77777777" w:rsidR="00AF3DCD" w:rsidRPr="003F24CB" w:rsidRDefault="00AF3DCD" w:rsidP="00D5019B">
            <w:pPr>
              <w:rPr>
                <w:rFonts w:ascii="Arial" w:hAnsi="Arial" w:cs="Arial"/>
                <w:sz w:val="22"/>
              </w:rPr>
            </w:pPr>
          </w:p>
          <w:p w14:paraId="1842471A" w14:textId="77777777" w:rsidR="00AF3DCD" w:rsidRPr="003F24CB" w:rsidRDefault="00AF3DCD" w:rsidP="00D5019B">
            <w:pPr>
              <w:rPr>
                <w:rFonts w:ascii="Arial" w:hAnsi="Arial" w:cs="Arial"/>
                <w:sz w:val="22"/>
              </w:rPr>
            </w:pPr>
            <w:r w:rsidRPr="003F24CB">
              <w:rPr>
                <w:rFonts w:ascii="Arial" w:hAnsi="Arial" w:cs="Arial"/>
                <w:sz w:val="22"/>
              </w:rPr>
              <w:t>Increasing reliance on income within the MTFS</w:t>
            </w:r>
          </w:p>
          <w:p w14:paraId="41AE705C" w14:textId="77777777" w:rsidR="00AF3DCD" w:rsidRPr="003F24CB" w:rsidRDefault="00AF3DCD" w:rsidP="00D5019B">
            <w:pPr>
              <w:rPr>
                <w:rFonts w:ascii="Arial" w:hAnsi="Arial" w:cs="Arial"/>
                <w:sz w:val="22"/>
              </w:rPr>
            </w:pPr>
          </w:p>
          <w:p w14:paraId="5C1950F0" w14:textId="77777777" w:rsidR="00AF3DCD" w:rsidRPr="003F24CB" w:rsidRDefault="00AF3DCD" w:rsidP="00D5019B">
            <w:pPr>
              <w:rPr>
                <w:rFonts w:ascii="Arial" w:hAnsi="Arial" w:cs="Arial"/>
                <w:sz w:val="22"/>
              </w:rPr>
            </w:pPr>
            <w:r w:rsidRPr="003F24CB">
              <w:rPr>
                <w:rFonts w:ascii="Arial" w:hAnsi="Arial" w:cs="Arial"/>
                <w:sz w:val="22"/>
              </w:rPr>
              <w:t>New competitors entering the market</w:t>
            </w:r>
          </w:p>
          <w:p w14:paraId="5242E705" w14:textId="77777777" w:rsidR="00AF3DCD" w:rsidRPr="003F24CB" w:rsidRDefault="00AF3DCD" w:rsidP="00D5019B">
            <w:pPr>
              <w:rPr>
                <w:rFonts w:ascii="Arial" w:hAnsi="Arial" w:cs="Arial"/>
                <w:sz w:val="22"/>
              </w:rPr>
            </w:pPr>
          </w:p>
          <w:p w14:paraId="6BA590DE" w14:textId="77777777" w:rsidR="00AF3DCD" w:rsidRPr="003F24CB" w:rsidRDefault="00AF3DCD" w:rsidP="00D5019B">
            <w:pPr>
              <w:rPr>
                <w:rFonts w:ascii="Arial" w:hAnsi="Arial" w:cs="Arial"/>
                <w:sz w:val="22"/>
              </w:rPr>
            </w:pPr>
            <w:r w:rsidRPr="003F24CB">
              <w:rPr>
                <w:rFonts w:ascii="Arial" w:hAnsi="Arial" w:cs="Arial"/>
                <w:sz w:val="22"/>
              </w:rPr>
              <w:t>Increased fees and charge levels reduces demand</w:t>
            </w:r>
          </w:p>
          <w:p w14:paraId="49B37D9F" w14:textId="77777777" w:rsidR="00AF3DCD" w:rsidRPr="003F24CB" w:rsidRDefault="00AF3DCD" w:rsidP="00D5019B">
            <w:pPr>
              <w:rPr>
                <w:rFonts w:ascii="Arial" w:hAnsi="Arial" w:cs="Arial"/>
                <w:sz w:val="22"/>
              </w:rPr>
            </w:pPr>
          </w:p>
          <w:p w14:paraId="05E72909" w14:textId="77777777" w:rsidR="00AF3DCD" w:rsidRDefault="00AF3DCD" w:rsidP="00D5019B">
            <w:pPr>
              <w:rPr>
                <w:rFonts w:ascii="Arial" w:hAnsi="Arial" w:cs="Arial"/>
                <w:sz w:val="22"/>
              </w:rPr>
            </w:pPr>
            <w:r w:rsidRPr="003F24CB">
              <w:rPr>
                <w:rFonts w:ascii="Arial" w:hAnsi="Arial" w:cs="Arial"/>
                <w:sz w:val="22"/>
              </w:rPr>
              <w:t>Changes in treatment of VAT status of individual fees and charges.</w:t>
            </w:r>
          </w:p>
          <w:p w14:paraId="101E03CE" w14:textId="77777777" w:rsidR="00AF3DCD" w:rsidRDefault="00AF3DCD" w:rsidP="00D5019B">
            <w:pPr>
              <w:rPr>
                <w:rFonts w:ascii="Arial" w:hAnsi="Arial" w:cs="Arial"/>
                <w:sz w:val="22"/>
              </w:rPr>
            </w:pPr>
          </w:p>
          <w:p w14:paraId="6A84BEE4" w14:textId="77777777" w:rsidR="00AF3DCD" w:rsidRPr="003F24CB" w:rsidRDefault="00AF3DCD" w:rsidP="00D5019B">
            <w:pPr>
              <w:rPr>
                <w:rFonts w:ascii="Arial" w:hAnsi="Arial" w:cs="Arial"/>
                <w:sz w:val="22"/>
              </w:rPr>
            </w:pPr>
            <w:r>
              <w:rPr>
                <w:rFonts w:ascii="Arial" w:hAnsi="Arial" w:cs="Arial"/>
                <w:sz w:val="22"/>
              </w:rPr>
              <w:t>Non-renewal of leases beyond termination dates</w:t>
            </w:r>
          </w:p>
          <w:p w14:paraId="019C0E7E" w14:textId="77777777" w:rsidR="00AF3DCD" w:rsidRPr="003F24CB" w:rsidRDefault="00AF3DCD" w:rsidP="00D5019B">
            <w:pPr>
              <w:rPr>
                <w:rFonts w:ascii="Arial" w:hAnsi="Arial" w:cs="Arial"/>
                <w:sz w:val="22"/>
              </w:rPr>
            </w:pPr>
          </w:p>
          <w:p w14:paraId="5AE4AD32" w14:textId="77777777" w:rsidR="00AF3DCD" w:rsidRPr="003F24CB" w:rsidRDefault="00AF3DCD" w:rsidP="00D5019B">
            <w:pPr>
              <w:rPr>
                <w:rFonts w:ascii="Arial" w:hAnsi="Arial" w:cs="Arial"/>
                <w:sz w:val="22"/>
              </w:rPr>
            </w:pPr>
            <w:r w:rsidRPr="003F24CB">
              <w:rPr>
                <w:rFonts w:ascii="Arial" w:hAnsi="Arial" w:cs="Arial"/>
                <w:sz w:val="22"/>
              </w:rPr>
              <w:t>Impact of wider policy changes on demand for services e.g. Lincoln Transport Strategy impact on car usage</w:t>
            </w:r>
          </w:p>
          <w:p w14:paraId="11D54490" w14:textId="77777777" w:rsidR="00AF3DCD" w:rsidRPr="003F24CB" w:rsidRDefault="00AF3DCD" w:rsidP="00D5019B">
            <w:pPr>
              <w:rPr>
                <w:rFonts w:ascii="Arial" w:hAnsi="Arial" w:cs="Arial"/>
                <w:sz w:val="22"/>
              </w:rPr>
            </w:pPr>
          </w:p>
        </w:tc>
        <w:tc>
          <w:tcPr>
            <w:tcW w:w="1980" w:type="dxa"/>
            <w:tcBorders>
              <w:bottom w:val="single" w:sz="4" w:space="0" w:color="auto"/>
            </w:tcBorders>
            <w:shd w:val="clear" w:color="auto" w:fill="FFC000" w:themeFill="accent4"/>
          </w:tcPr>
          <w:p w14:paraId="3DB40EBF" w14:textId="77777777" w:rsidR="00AF3DCD" w:rsidRPr="003F24CB" w:rsidRDefault="00AF3DCD" w:rsidP="00D5019B">
            <w:pPr>
              <w:jc w:val="center"/>
              <w:rPr>
                <w:rFonts w:ascii="Arial" w:hAnsi="Arial" w:cs="Arial"/>
                <w:b/>
                <w:sz w:val="22"/>
                <w:szCs w:val="22"/>
              </w:rPr>
            </w:pPr>
          </w:p>
          <w:p w14:paraId="3FA68556" w14:textId="77777777" w:rsidR="00AF3DCD" w:rsidRPr="003F24CB" w:rsidRDefault="00AF3DCD" w:rsidP="00D5019B">
            <w:pPr>
              <w:jc w:val="center"/>
              <w:rPr>
                <w:rFonts w:ascii="Arial" w:hAnsi="Arial" w:cs="Arial"/>
                <w:b/>
                <w:sz w:val="22"/>
                <w:szCs w:val="22"/>
              </w:rPr>
            </w:pPr>
            <w:r w:rsidRPr="003F24CB">
              <w:rPr>
                <w:rFonts w:ascii="Arial" w:hAnsi="Arial" w:cs="Arial"/>
                <w:b/>
                <w:sz w:val="22"/>
                <w:szCs w:val="22"/>
              </w:rPr>
              <w:t xml:space="preserve">Total Score: </w:t>
            </w:r>
            <w:r>
              <w:rPr>
                <w:rFonts w:ascii="Arial" w:hAnsi="Arial" w:cs="Arial"/>
                <w:b/>
                <w:sz w:val="22"/>
                <w:szCs w:val="22"/>
              </w:rPr>
              <w:t>8</w:t>
            </w:r>
          </w:p>
          <w:p w14:paraId="725606CF" w14:textId="77777777" w:rsidR="00AF3DCD" w:rsidRPr="003F24CB" w:rsidRDefault="00AF3DCD" w:rsidP="00D5019B">
            <w:pPr>
              <w:jc w:val="center"/>
              <w:rPr>
                <w:rFonts w:ascii="Arial" w:hAnsi="Arial" w:cs="Arial"/>
                <w:sz w:val="22"/>
                <w:szCs w:val="22"/>
              </w:rPr>
            </w:pPr>
          </w:p>
          <w:p w14:paraId="695039D8" w14:textId="77777777" w:rsidR="00AF3DCD" w:rsidRPr="003F24CB" w:rsidRDefault="00AF3DCD" w:rsidP="00D5019B">
            <w:pPr>
              <w:jc w:val="center"/>
              <w:rPr>
                <w:rFonts w:ascii="Arial" w:hAnsi="Arial" w:cs="Arial"/>
                <w:sz w:val="22"/>
                <w:szCs w:val="22"/>
              </w:rPr>
            </w:pPr>
            <w:r w:rsidRPr="003F24CB">
              <w:rPr>
                <w:rFonts w:ascii="Arial" w:hAnsi="Arial" w:cs="Arial"/>
                <w:sz w:val="22"/>
                <w:szCs w:val="22"/>
              </w:rPr>
              <w:t xml:space="preserve">Likelihood: </w:t>
            </w:r>
            <w:r>
              <w:rPr>
                <w:rFonts w:ascii="Arial" w:hAnsi="Arial" w:cs="Arial"/>
                <w:sz w:val="22"/>
                <w:szCs w:val="22"/>
              </w:rPr>
              <w:t>4</w:t>
            </w:r>
          </w:p>
          <w:p w14:paraId="45C7FD0B" w14:textId="77777777" w:rsidR="00AF3DCD" w:rsidRPr="003F24CB" w:rsidRDefault="00AF3DCD" w:rsidP="00D5019B">
            <w:pPr>
              <w:jc w:val="center"/>
              <w:rPr>
                <w:rFonts w:ascii="Arial" w:hAnsi="Arial" w:cs="Arial"/>
                <w:color w:val="0070C0"/>
                <w:sz w:val="22"/>
              </w:rPr>
            </w:pPr>
            <w:r w:rsidRPr="003F24CB">
              <w:rPr>
                <w:rFonts w:ascii="Arial" w:hAnsi="Arial" w:cs="Arial"/>
                <w:sz w:val="22"/>
                <w:szCs w:val="22"/>
              </w:rPr>
              <w:t xml:space="preserve">Impact: </w:t>
            </w:r>
            <w:r>
              <w:rPr>
                <w:rFonts w:ascii="Arial" w:hAnsi="Arial" w:cs="Arial"/>
                <w:sz w:val="22"/>
                <w:szCs w:val="22"/>
              </w:rPr>
              <w:t>2</w:t>
            </w:r>
          </w:p>
        </w:tc>
        <w:tc>
          <w:tcPr>
            <w:tcW w:w="1926" w:type="dxa"/>
            <w:tcBorders>
              <w:bottom w:val="single" w:sz="4" w:space="0" w:color="auto"/>
            </w:tcBorders>
            <w:shd w:val="clear" w:color="auto" w:fill="FFC000" w:themeFill="accent4"/>
          </w:tcPr>
          <w:p w14:paraId="24436637" w14:textId="77777777" w:rsidR="00AF3DCD" w:rsidRPr="003F24CB" w:rsidRDefault="00AF3DCD" w:rsidP="00D5019B">
            <w:pPr>
              <w:shd w:val="clear" w:color="auto" w:fill="FFC000"/>
              <w:jc w:val="center"/>
              <w:rPr>
                <w:rFonts w:ascii="Arial" w:hAnsi="Arial" w:cs="Arial"/>
                <w:b/>
                <w:sz w:val="22"/>
                <w:szCs w:val="22"/>
              </w:rPr>
            </w:pPr>
          </w:p>
          <w:p w14:paraId="48B50FF1" w14:textId="77777777" w:rsidR="00AF3DCD" w:rsidRPr="003F24CB" w:rsidRDefault="00AF3DCD" w:rsidP="00D5019B">
            <w:pPr>
              <w:shd w:val="clear" w:color="auto" w:fill="FFC000"/>
              <w:jc w:val="center"/>
              <w:rPr>
                <w:rFonts w:ascii="Arial" w:hAnsi="Arial" w:cs="Arial"/>
                <w:b/>
                <w:sz w:val="22"/>
                <w:szCs w:val="22"/>
              </w:rPr>
            </w:pPr>
            <w:r w:rsidRPr="003F24CB">
              <w:rPr>
                <w:rFonts w:ascii="Arial" w:hAnsi="Arial" w:cs="Arial"/>
                <w:b/>
                <w:sz w:val="22"/>
                <w:szCs w:val="22"/>
              </w:rPr>
              <w:t>Total Score: 9</w:t>
            </w:r>
          </w:p>
          <w:p w14:paraId="653160B9" w14:textId="77777777" w:rsidR="00AF3DCD" w:rsidRPr="003F24CB" w:rsidRDefault="00AF3DCD" w:rsidP="00D5019B">
            <w:pPr>
              <w:shd w:val="clear" w:color="auto" w:fill="FFC000"/>
              <w:jc w:val="center"/>
              <w:rPr>
                <w:rFonts w:ascii="Arial" w:hAnsi="Arial" w:cs="Arial"/>
                <w:sz w:val="22"/>
                <w:szCs w:val="22"/>
              </w:rPr>
            </w:pPr>
          </w:p>
          <w:p w14:paraId="325880AF" w14:textId="77777777" w:rsidR="00AF3DCD" w:rsidRPr="003F24CB" w:rsidRDefault="00AF3DCD" w:rsidP="00D5019B">
            <w:pPr>
              <w:shd w:val="clear" w:color="auto" w:fill="FFC000"/>
              <w:jc w:val="center"/>
              <w:rPr>
                <w:rFonts w:ascii="Arial" w:hAnsi="Arial" w:cs="Arial"/>
                <w:sz w:val="22"/>
                <w:szCs w:val="22"/>
              </w:rPr>
            </w:pPr>
            <w:r w:rsidRPr="003F24CB">
              <w:rPr>
                <w:rFonts w:ascii="Arial" w:hAnsi="Arial" w:cs="Arial"/>
                <w:sz w:val="22"/>
                <w:szCs w:val="22"/>
              </w:rPr>
              <w:t>Likelihood: 3</w:t>
            </w:r>
          </w:p>
          <w:p w14:paraId="084D8D7F" w14:textId="77777777" w:rsidR="00AF3DCD" w:rsidRPr="003F24CB" w:rsidRDefault="00AF3DCD" w:rsidP="00D5019B">
            <w:pPr>
              <w:shd w:val="clear" w:color="auto" w:fill="FFC000"/>
              <w:jc w:val="center"/>
              <w:rPr>
                <w:rFonts w:ascii="Arial" w:hAnsi="Arial" w:cs="Arial"/>
                <w:color w:val="0070C0"/>
                <w:sz w:val="22"/>
              </w:rPr>
            </w:pPr>
            <w:r w:rsidRPr="003F24CB">
              <w:rPr>
                <w:rFonts w:ascii="Arial" w:hAnsi="Arial" w:cs="Arial"/>
                <w:sz w:val="22"/>
                <w:szCs w:val="22"/>
              </w:rPr>
              <w:t>Impact: 3</w:t>
            </w:r>
          </w:p>
        </w:tc>
        <w:tc>
          <w:tcPr>
            <w:tcW w:w="5276" w:type="dxa"/>
          </w:tcPr>
          <w:p w14:paraId="223A0566" w14:textId="77777777" w:rsidR="00AF3DCD" w:rsidRPr="003F24CB" w:rsidRDefault="00AF3DCD" w:rsidP="00D5019B">
            <w:pPr>
              <w:numPr>
                <w:ilvl w:val="0"/>
                <w:numId w:val="4"/>
              </w:numPr>
              <w:ind w:left="453" w:hanging="340"/>
              <w:rPr>
                <w:rFonts w:ascii="Arial" w:hAnsi="Arial" w:cs="Arial"/>
                <w:sz w:val="22"/>
              </w:rPr>
            </w:pPr>
            <w:r w:rsidRPr="003F24CB">
              <w:rPr>
                <w:rFonts w:ascii="Arial" w:hAnsi="Arial" w:cs="Arial"/>
                <w:sz w:val="22"/>
              </w:rPr>
              <w:t>Updated Car Parking Strategy in place.</w:t>
            </w:r>
          </w:p>
          <w:p w14:paraId="26EDDFBD" w14:textId="77777777" w:rsidR="00AF3DCD" w:rsidRPr="003F24CB" w:rsidRDefault="00AF3DCD" w:rsidP="00D5019B">
            <w:pPr>
              <w:numPr>
                <w:ilvl w:val="0"/>
                <w:numId w:val="4"/>
              </w:numPr>
              <w:ind w:left="453" w:hanging="340"/>
              <w:rPr>
                <w:rFonts w:ascii="Arial" w:hAnsi="Arial" w:cs="Arial"/>
                <w:sz w:val="22"/>
              </w:rPr>
            </w:pPr>
            <w:r w:rsidRPr="003F24CB">
              <w:rPr>
                <w:rFonts w:ascii="Arial" w:hAnsi="Arial" w:cs="Arial"/>
                <w:sz w:val="22"/>
              </w:rPr>
              <w:t>Regular monitoring statements for major income sources which are reported monthly to Corporate Management Team.</w:t>
            </w:r>
          </w:p>
          <w:p w14:paraId="0EAD2CA8" w14:textId="77777777" w:rsidR="00AF3DCD" w:rsidRPr="003F24CB" w:rsidRDefault="00AF3DCD" w:rsidP="00D5019B">
            <w:pPr>
              <w:numPr>
                <w:ilvl w:val="0"/>
                <w:numId w:val="4"/>
              </w:numPr>
              <w:rPr>
                <w:rFonts w:ascii="Arial" w:hAnsi="Arial" w:cs="Arial"/>
                <w:sz w:val="22"/>
              </w:rPr>
            </w:pPr>
            <w:r w:rsidRPr="003F24CB">
              <w:rPr>
                <w:rFonts w:ascii="Arial" w:hAnsi="Arial" w:cs="Arial"/>
                <w:sz w:val="22"/>
              </w:rPr>
              <w:t>Identify reasons for any income reductions and take corrective action where possible</w:t>
            </w:r>
          </w:p>
          <w:p w14:paraId="2496D817" w14:textId="77777777" w:rsidR="00AF3DCD" w:rsidRPr="003F24CB" w:rsidRDefault="00AF3DCD" w:rsidP="00D5019B">
            <w:pPr>
              <w:numPr>
                <w:ilvl w:val="0"/>
                <w:numId w:val="4"/>
              </w:numPr>
              <w:rPr>
                <w:rFonts w:ascii="Arial" w:hAnsi="Arial" w:cs="Arial"/>
                <w:sz w:val="22"/>
              </w:rPr>
            </w:pPr>
            <w:r w:rsidRPr="003F24CB">
              <w:rPr>
                <w:rFonts w:ascii="Arial" w:hAnsi="Arial" w:cs="Arial"/>
                <w:sz w:val="22"/>
              </w:rPr>
              <w:t xml:space="preserve">Report quarterly to the Executive and Performance Scrutiny Committee on forecast for key income streams </w:t>
            </w:r>
          </w:p>
          <w:p w14:paraId="49ECA087" w14:textId="77777777" w:rsidR="00AF3DCD" w:rsidRPr="003F24CB" w:rsidRDefault="00AF3DCD" w:rsidP="00D5019B">
            <w:pPr>
              <w:numPr>
                <w:ilvl w:val="0"/>
                <w:numId w:val="4"/>
              </w:numPr>
              <w:rPr>
                <w:rFonts w:ascii="Arial" w:hAnsi="Arial" w:cs="Arial"/>
                <w:sz w:val="22"/>
              </w:rPr>
            </w:pPr>
            <w:r w:rsidRPr="003F24CB">
              <w:rPr>
                <w:rFonts w:ascii="Arial" w:hAnsi="Arial" w:cs="Arial"/>
                <w:sz w:val="22"/>
              </w:rPr>
              <w:t>Specific projects/business plans in progress to sustain income streams.</w:t>
            </w:r>
          </w:p>
          <w:p w14:paraId="15D74166" w14:textId="77777777" w:rsidR="00AF3DCD" w:rsidRPr="003F24CB" w:rsidRDefault="00AF3DCD" w:rsidP="00D5019B">
            <w:pPr>
              <w:numPr>
                <w:ilvl w:val="0"/>
                <w:numId w:val="4"/>
              </w:numPr>
              <w:rPr>
                <w:rFonts w:ascii="Arial" w:hAnsi="Arial" w:cs="Arial"/>
                <w:sz w:val="22"/>
              </w:rPr>
            </w:pPr>
            <w:r w:rsidRPr="003F24CB">
              <w:rPr>
                <w:rFonts w:ascii="Arial" w:hAnsi="Arial" w:cs="Arial"/>
                <w:sz w:val="22"/>
              </w:rPr>
              <w:t>Investment in key income generating assets</w:t>
            </w:r>
          </w:p>
          <w:p w14:paraId="7DF49E2C" w14:textId="77777777" w:rsidR="00AF3DCD" w:rsidRPr="003F24CB" w:rsidRDefault="00AF3DCD" w:rsidP="00D5019B">
            <w:pPr>
              <w:numPr>
                <w:ilvl w:val="0"/>
                <w:numId w:val="4"/>
              </w:numPr>
              <w:rPr>
                <w:rFonts w:ascii="Arial" w:hAnsi="Arial" w:cs="Arial"/>
                <w:sz w:val="22"/>
              </w:rPr>
            </w:pPr>
            <w:r w:rsidRPr="003F24CB">
              <w:rPr>
                <w:rFonts w:ascii="Arial" w:hAnsi="Arial" w:cs="Arial"/>
                <w:sz w:val="22"/>
              </w:rPr>
              <w:t>Delegated powers to portfolio holder to make responsive changes to fees and charges</w:t>
            </w:r>
          </w:p>
          <w:p w14:paraId="2C650010" w14:textId="77777777" w:rsidR="00AF3DCD" w:rsidRDefault="00AF3DCD" w:rsidP="00D5019B">
            <w:pPr>
              <w:numPr>
                <w:ilvl w:val="0"/>
                <w:numId w:val="4"/>
              </w:numPr>
              <w:rPr>
                <w:rFonts w:ascii="Arial" w:hAnsi="Arial" w:cs="Arial"/>
                <w:sz w:val="22"/>
              </w:rPr>
            </w:pPr>
            <w:r w:rsidRPr="003F24CB">
              <w:rPr>
                <w:rFonts w:ascii="Arial" w:hAnsi="Arial" w:cs="Arial"/>
                <w:sz w:val="22"/>
              </w:rPr>
              <w:t>Rebase income budgets to reflect current trends and impact of economic factors</w:t>
            </w:r>
          </w:p>
          <w:p w14:paraId="39C025E0" w14:textId="77777777" w:rsidR="00AF3DCD" w:rsidRPr="003F24CB" w:rsidRDefault="00AF3DCD" w:rsidP="00D5019B">
            <w:pPr>
              <w:numPr>
                <w:ilvl w:val="0"/>
                <w:numId w:val="4"/>
              </w:numPr>
              <w:rPr>
                <w:rFonts w:ascii="Arial" w:hAnsi="Arial" w:cs="Arial"/>
                <w:sz w:val="22"/>
              </w:rPr>
            </w:pPr>
            <w:r>
              <w:rPr>
                <w:rFonts w:ascii="Arial" w:hAnsi="Arial" w:cs="Arial"/>
                <w:sz w:val="22"/>
              </w:rPr>
              <w:t>Income volatility reserve in place</w:t>
            </w:r>
          </w:p>
          <w:p w14:paraId="1B79E7D5" w14:textId="77777777" w:rsidR="00AF3DCD" w:rsidRDefault="00AF3DCD" w:rsidP="00D5019B">
            <w:pPr>
              <w:numPr>
                <w:ilvl w:val="0"/>
                <w:numId w:val="4"/>
              </w:numPr>
              <w:rPr>
                <w:rFonts w:ascii="Arial" w:hAnsi="Arial" w:cs="Arial"/>
                <w:sz w:val="22"/>
              </w:rPr>
            </w:pPr>
            <w:r w:rsidRPr="003F24CB">
              <w:rPr>
                <w:rFonts w:ascii="Arial" w:hAnsi="Arial" w:cs="Arial"/>
                <w:sz w:val="22"/>
              </w:rPr>
              <w:t>Active void management</w:t>
            </w:r>
          </w:p>
          <w:p w14:paraId="2EBF879C" w14:textId="77777777" w:rsidR="00AF3DCD" w:rsidRDefault="00AF3DCD" w:rsidP="00D5019B">
            <w:pPr>
              <w:numPr>
                <w:ilvl w:val="0"/>
                <w:numId w:val="4"/>
              </w:numPr>
              <w:rPr>
                <w:rFonts w:ascii="Arial" w:hAnsi="Arial" w:cs="Arial"/>
                <w:sz w:val="22"/>
              </w:rPr>
            </w:pPr>
            <w:r>
              <w:rPr>
                <w:rFonts w:ascii="Arial" w:hAnsi="Arial" w:cs="Arial"/>
                <w:sz w:val="22"/>
              </w:rPr>
              <w:t>Proactive work ahead of key leases/tenancies terminating</w:t>
            </w:r>
          </w:p>
          <w:p w14:paraId="04C22C1D" w14:textId="77777777" w:rsidR="00AF3DCD" w:rsidRPr="003F24CB" w:rsidRDefault="00AF3DCD" w:rsidP="00D5019B">
            <w:pPr>
              <w:numPr>
                <w:ilvl w:val="0"/>
                <w:numId w:val="4"/>
              </w:numPr>
              <w:rPr>
                <w:rFonts w:ascii="Arial" w:hAnsi="Arial" w:cs="Arial"/>
                <w:sz w:val="22"/>
              </w:rPr>
            </w:pPr>
            <w:r>
              <w:rPr>
                <w:rFonts w:ascii="Arial" w:hAnsi="Arial" w:cs="Arial"/>
                <w:sz w:val="22"/>
              </w:rPr>
              <w:t>Joint working through One Public Estate to identify lease/asset use opportunities</w:t>
            </w:r>
          </w:p>
          <w:p w14:paraId="2823101B" w14:textId="77777777" w:rsidR="00AF3DCD" w:rsidRPr="003F24CB" w:rsidRDefault="00AF3DCD" w:rsidP="00D5019B">
            <w:pPr>
              <w:numPr>
                <w:ilvl w:val="0"/>
                <w:numId w:val="4"/>
              </w:numPr>
              <w:rPr>
                <w:rFonts w:ascii="Arial" w:hAnsi="Arial" w:cs="Arial"/>
                <w:sz w:val="22"/>
              </w:rPr>
            </w:pPr>
            <w:r w:rsidRPr="003F24CB">
              <w:rPr>
                <w:rFonts w:ascii="Arial" w:hAnsi="Arial" w:cs="Arial"/>
                <w:sz w:val="22"/>
              </w:rPr>
              <w:t>Watching brief on CIPFA Committee/HMRC discussions</w:t>
            </w:r>
          </w:p>
          <w:p w14:paraId="642D9ECB" w14:textId="77777777" w:rsidR="00AF3DCD" w:rsidRPr="006C3ECD" w:rsidRDefault="00AF3DCD" w:rsidP="00D5019B">
            <w:pPr>
              <w:rPr>
                <w:rFonts w:ascii="Arial" w:hAnsi="Arial" w:cs="Arial"/>
                <w:color w:val="0070C0"/>
                <w:sz w:val="22"/>
              </w:rPr>
            </w:pPr>
          </w:p>
        </w:tc>
      </w:tr>
      <w:tr w:rsidR="00E94C11" w:rsidRPr="005C6861" w14:paraId="755C19DF" w14:textId="77777777" w:rsidTr="00991DA6">
        <w:trPr>
          <w:tblHeader/>
        </w:trPr>
        <w:tc>
          <w:tcPr>
            <w:tcW w:w="693" w:type="dxa"/>
            <w:tcBorders>
              <w:top w:val="single" w:sz="4" w:space="0" w:color="auto"/>
              <w:left w:val="single" w:sz="4" w:space="0" w:color="auto"/>
              <w:bottom w:val="single" w:sz="4" w:space="0" w:color="auto"/>
              <w:right w:val="single" w:sz="4" w:space="0" w:color="auto"/>
            </w:tcBorders>
          </w:tcPr>
          <w:p w14:paraId="2A6AD263" w14:textId="5475E9A4" w:rsidR="00AF3DCD" w:rsidRPr="00AE657B" w:rsidRDefault="00AF3DCD" w:rsidP="00D5019B">
            <w:pPr>
              <w:rPr>
                <w:rFonts w:ascii="Arial" w:hAnsi="Arial" w:cs="Arial"/>
                <w:sz w:val="22"/>
              </w:rPr>
            </w:pPr>
            <w:r w:rsidRPr="00AE657B">
              <w:rPr>
                <w:rFonts w:ascii="Arial" w:hAnsi="Arial" w:cs="Arial"/>
                <w:sz w:val="22"/>
              </w:rPr>
              <w:t>1</w:t>
            </w:r>
            <w:r>
              <w:rPr>
                <w:rFonts w:ascii="Arial" w:hAnsi="Arial" w:cs="Arial"/>
                <w:sz w:val="22"/>
              </w:rPr>
              <w:t>1</w:t>
            </w:r>
          </w:p>
        </w:tc>
        <w:tc>
          <w:tcPr>
            <w:tcW w:w="2108" w:type="dxa"/>
            <w:tcBorders>
              <w:top w:val="single" w:sz="4" w:space="0" w:color="auto"/>
              <w:left w:val="single" w:sz="4" w:space="0" w:color="auto"/>
              <w:bottom w:val="single" w:sz="4" w:space="0" w:color="auto"/>
              <w:right w:val="single" w:sz="4" w:space="0" w:color="auto"/>
            </w:tcBorders>
          </w:tcPr>
          <w:p w14:paraId="5F15EE90" w14:textId="77777777" w:rsidR="00AF3DCD" w:rsidRPr="00AE657B" w:rsidRDefault="00AF3DCD" w:rsidP="00D5019B">
            <w:pPr>
              <w:rPr>
                <w:rFonts w:ascii="Arial" w:hAnsi="Arial" w:cs="Arial"/>
                <w:sz w:val="22"/>
              </w:rPr>
            </w:pPr>
            <w:r w:rsidRPr="00AE657B">
              <w:rPr>
                <w:rFonts w:ascii="Arial" w:hAnsi="Arial" w:cs="Arial"/>
                <w:sz w:val="22"/>
              </w:rPr>
              <w:t>Cashflow Management</w:t>
            </w:r>
          </w:p>
          <w:p w14:paraId="676DF8E8" w14:textId="77777777" w:rsidR="00AF3DCD" w:rsidRPr="00AE657B" w:rsidRDefault="00AF3DCD" w:rsidP="00D5019B">
            <w:pPr>
              <w:rPr>
                <w:rFonts w:ascii="Arial" w:hAnsi="Arial" w:cs="Arial"/>
                <w:sz w:val="22"/>
              </w:rPr>
            </w:pPr>
            <w:r w:rsidRPr="00AE657B">
              <w:rPr>
                <w:rFonts w:ascii="Arial" w:hAnsi="Arial" w:cs="Arial"/>
                <w:sz w:val="22"/>
              </w:rPr>
              <w:t>(Investments and short-term borrowing)</w:t>
            </w:r>
          </w:p>
        </w:tc>
        <w:tc>
          <w:tcPr>
            <w:tcW w:w="3420" w:type="dxa"/>
            <w:tcBorders>
              <w:top w:val="single" w:sz="4" w:space="0" w:color="auto"/>
              <w:left w:val="single" w:sz="4" w:space="0" w:color="auto"/>
              <w:bottom w:val="single" w:sz="4" w:space="0" w:color="auto"/>
              <w:right w:val="single" w:sz="4" w:space="0" w:color="auto"/>
            </w:tcBorders>
          </w:tcPr>
          <w:p w14:paraId="00F2BA05" w14:textId="77777777" w:rsidR="00AF3DCD" w:rsidRPr="00AE657B" w:rsidRDefault="00AF3DCD" w:rsidP="00D5019B">
            <w:pPr>
              <w:rPr>
                <w:rFonts w:ascii="Arial" w:hAnsi="Arial" w:cs="Arial"/>
                <w:sz w:val="22"/>
              </w:rPr>
            </w:pPr>
            <w:r w:rsidRPr="00AE657B">
              <w:rPr>
                <w:rFonts w:ascii="Arial" w:hAnsi="Arial" w:cs="Arial"/>
                <w:sz w:val="22"/>
              </w:rPr>
              <w:t>Available cash flow surpluses less than anticipated and/or interest rates lower than forecast</w:t>
            </w:r>
          </w:p>
          <w:p w14:paraId="7AD70E35" w14:textId="77777777" w:rsidR="00AF3DCD" w:rsidRPr="00AE657B" w:rsidRDefault="00AF3DCD" w:rsidP="00D5019B">
            <w:pPr>
              <w:rPr>
                <w:rFonts w:ascii="Arial" w:hAnsi="Arial" w:cs="Arial"/>
                <w:sz w:val="22"/>
              </w:rPr>
            </w:pPr>
          </w:p>
          <w:p w14:paraId="2748F088" w14:textId="77777777" w:rsidR="00AF3DCD" w:rsidRPr="00AE657B" w:rsidRDefault="00AF3DCD" w:rsidP="00D5019B">
            <w:pPr>
              <w:rPr>
                <w:rFonts w:ascii="Arial" w:hAnsi="Arial" w:cs="Arial"/>
                <w:sz w:val="22"/>
              </w:rPr>
            </w:pPr>
            <w:r w:rsidRPr="00AE657B">
              <w:rPr>
                <w:rFonts w:ascii="Arial" w:hAnsi="Arial" w:cs="Arial"/>
                <w:sz w:val="22"/>
              </w:rPr>
              <w:t>Reduction in cash flow results in deficits and/or rising interest rates</w:t>
            </w:r>
          </w:p>
          <w:p w14:paraId="3440585D" w14:textId="77777777" w:rsidR="00AF3DCD" w:rsidRPr="00AE657B" w:rsidRDefault="00AF3DCD" w:rsidP="00D5019B">
            <w:pPr>
              <w:rPr>
                <w:rFonts w:ascii="Arial" w:hAnsi="Arial" w:cs="Arial"/>
                <w:sz w:val="22"/>
              </w:rPr>
            </w:pPr>
          </w:p>
          <w:p w14:paraId="238AC227" w14:textId="77777777" w:rsidR="00AF3DCD" w:rsidRPr="00AE657B" w:rsidRDefault="00AF3DCD" w:rsidP="00D5019B">
            <w:pPr>
              <w:rPr>
                <w:rFonts w:ascii="Arial" w:hAnsi="Arial" w:cs="Arial"/>
                <w:sz w:val="22"/>
              </w:rPr>
            </w:pPr>
            <w:r w:rsidRPr="00AE657B">
              <w:rPr>
                <w:rFonts w:ascii="Arial" w:hAnsi="Arial" w:cs="Arial"/>
                <w:sz w:val="22"/>
              </w:rPr>
              <w:t>Impact of major sources of income not being received when expected – particularly given level of under borrowing and number of large capital schemes to cash flow.</w:t>
            </w:r>
          </w:p>
          <w:p w14:paraId="1D4707E5" w14:textId="77777777" w:rsidR="00AF3DCD" w:rsidRPr="00AE657B" w:rsidRDefault="00AF3DCD" w:rsidP="00D5019B">
            <w:pPr>
              <w:rPr>
                <w:rFonts w:ascii="Arial" w:hAnsi="Arial" w:cs="Arial"/>
                <w:sz w:val="22"/>
              </w:rPr>
            </w:pPr>
          </w:p>
          <w:p w14:paraId="490698BC" w14:textId="77777777" w:rsidR="00AF3DCD" w:rsidRPr="00AE657B" w:rsidRDefault="00AF3DCD" w:rsidP="00D5019B">
            <w:pPr>
              <w:rPr>
                <w:rFonts w:ascii="Arial" w:hAnsi="Arial" w:cs="Arial"/>
                <w:sz w:val="22"/>
              </w:rPr>
            </w:pPr>
          </w:p>
          <w:p w14:paraId="1D1E3526" w14:textId="77777777" w:rsidR="00AF3DCD" w:rsidRPr="00AE657B" w:rsidRDefault="00AF3DCD" w:rsidP="00D5019B">
            <w:pP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FFC000" w:themeFill="accent4"/>
          </w:tcPr>
          <w:p w14:paraId="2AE9A5E8" w14:textId="77777777" w:rsidR="00AF3DCD" w:rsidRPr="00AF3DCD" w:rsidRDefault="00AF3DCD" w:rsidP="00D5019B">
            <w:pPr>
              <w:jc w:val="center"/>
              <w:rPr>
                <w:rFonts w:ascii="Arial" w:hAnsi="Arial" w:cs="Arial"/>
                <w:b/>
                <w:bCs/>
                <w:sz w:val="22"/>
              </w:rPr>
            </w:pPr>
          </w:p>
          <w:p w14:paraId="608E8A79" w14:textId="77777777" w:rsidR="00AF3DCD" w:rsidRPr="00AF3DCD" w:rsidRDefault="00AF3DCD" w:rsidP="00D5019B">
            <w:pPr>
              <w:jc w:val="center"/>
              <w:rPr>
                <w:rFonts w:ascii="Arial" w:hAnsi="Arial" w:cs="Arial"/>
                <w:b/>
                <w:bCs/>
                <w:sz w:val="22"/>
              </w:rPr>
            </w:pPr>
            <w:r w:rsidRPr="00AF3DCD">
              <w:rPr>
                <w:rFonts w:ascii="Arial" w:hAnsi="Arial" w:cs="Arial"/>
                <w:b/>
                <w:bCs/>
                <w:sz w:val="22"/>
              </w:rPr>
              <w:t>Total Score: 8</w:t>
            </w:r>
          </w:p>
          <w:p w14:paraId="576331F3" w14:textId="77777777" w:rsidR="00AF3DCD" w:rsidRPr="00AF3DCD" w:rsidRDefault="00AF3DCD" w:rsidP="00D5019B">
            <w:pPr>
              <w:jc w:val="center"/>
              <w:rPr>
                <w:rFonts w:ascii="Arial" w:hAnsi="Arial" w:cs="Arial"/>
                <w:b/>
                <w:bCs/>
                <w:sz w:val="22"/>
              </w:rPr>
            </w:pPr>
          </w:p>
          <w:p w14:paraId="138029FF" w14:textId="77777777" w:rsidR="00AF3DCD" w:rsidRPr="00AF3DCD" w:rsidRDefault="00AF3DCD" w:rsidP="00D5019B">
            <w:pPr>
              <w:jc w:val="center"/>
              <w:rPr>
                <w:rFonts w:ascii="Arial" w:hAnsi="Arial" w:cs="Arial"/>
                <w:sz w:val="22"/>
              </w:rPr>
            </w:pPr>
            <w:r w:rsidRPr="00AF3DCD">
              <w:rPr>
                <w:rFonts w:ascii="Arial" w:hAnsi="Arial" w:cs="Arial"/>
                <w:sz w:val="22"/>
              </w:rPr>
              <w:t>Likelihood: 4</w:t>
            </w:r>
          </w:p>
          <w:p w14:paraId="36D7D2A3" w14:textId="77777777" w:rsidR="00AF3DCD" w:rsidRPr="00AF3DCD" w:rsidRDefault="00AF3DCD" w:rsidP="00D5019B">
            <w:pPr>
              <w:jc w:val="center"/>
              <w:rPr>
                <w:rFonts w:ascii="Arial" w:hAnsi="Arial" w:cs="Arial"/>
                <w:b/>
                <w:bCs/>
                <w:sz w:val="22"/>
              </w:rPr>
            </w:pPr>
            <w:r w:rsidRPr="00AF3DCD">
              <w:rPr>
                <w:rFonts w:ascii="Arial" w:hAnsi="Arial" w:cs="Arial"/>
                <w:sz w:val="22"/>
              </w:rPr>
              <w:t>Impact: 2</w:t>
            </w:r>
          </w:p>
        </w:tc>
        <w:tc>
          <w:tcPr>
            <w:tcW w:w="1926" w:type="dxa"/>
            <w:tcBorders>
              <w:top w:val="single" w:sz="4" w:space="0" w:color="auto"/>
              <w:left w:val="single" w:sz="4" w:space="0" w:color="auto"/>
              <w:bottom w:val="single" w:sz="4" w:space="0" w:color="auto"/>
              <w:right w:val="single" w:sz="4" w:space="0" w:color="auto"/>
            </w:tcBorders>
            <w:shd w:val="clear" w:color="auto" w:fill="FFC000" w:themeFill="accent4"/>
          </w:tcPr>
          <w:p w14:paraId="10B87722" w14:textId="77777777" w:rsidR="00AF3DCD" w:rsidRPr="00AF3DCD" w:rsidRDefault="00AF3DCD" w:rsidP="00D5019B">
            <w:pPr>
              <w:jc w:val="center"/>
              <w:rPr>
                <w:rFonts w:ascii="Arial" w:hAnsi="Arial" w:cs="Arial"/>
                <w:b/>
                <w:bCs/>
                <w:sz w:val="22"/>
              </w:rPr>
            </w:pPr>
          </w:p>
          <w:p w14:paraId="0FBF0482" w14:textId="77777777" w:rsidR="00AF3DCD" w:rsidRPr="00AF3DCD" w:rsidRDefault="00AF3DCD" w:rsidP="00D5019B">
            <w:pPr>
              <w:jc w:val="center"/>
              <w:rPr>
                <w:rFonts w:ascii="Arial" w:hAnsi="Arial" w:cs="Arial"/>
                <w:b/>
                <w:bCs/>
                <w:sz w:val="22"/>
              </w:rPr>
            </w:pPr>
            <w:r w:rsidRPr="00AF3DCD">
              <w:rPr>
                <w:rFonts w:ascii="Arial" w:hAnsi="Arial" w:cs="Arial"/>
                <w:b/>
                <w:bCs/>
                <w:sz w:val="22"/>
              </w:rPr>
              <w:t>Total Score: 8</w:t>
            </w:r>
          </w:p>
          <w:p w14:paraId="2E1CA8B3" w14:textId="77777777" w:rsidR="00AF3DCD" w:rsidRPr="00AF3DCD" w:rsidRDefault="00AF3DCD" w:rsidP="00D5019B">
            <w:pPr>
              <w:jc w:val="center"/>
              <w:rPr>
                <w:rFonts w:ascii="Arial" w:hAnsi="Arial" w:cs="Arial"/>
                <w:b/>
                <w:bCs/>
                <w:sz w:val="22"/>
              </w:rPr>
            </w:pPr>
          </w:p>
          <w:p w14:paraId="1C809AB8" w14:textId="77777777" w:rsidR="00AF3DCD" w:rsidRPr="00AF3DCD" w:rsidRDefault="00AF3DCD" w:rsidP="00D5019B">
            <w:pPr>
              <w:jc w:val="center"/>
              <w:rPr>
                <w:rFonts w:ascii="Arial" w:hAnsi="Arial" w:cs="Arial"/>
                <w:sz w:val="22"/>
              </w:rPr>
            </w:pPr>
            <w:r w:rsidRPr="00AF3DCD">
              <w:rPr>
                <w:rFonts w:ascii="Arial" w:hAnsi="Arial" w:cs="Arial"/>
                <w:sz w:val="22"/>
              </w:rPr>
              <w:t>Likelihood: 4</w:t>
            </w:r>
          </w:p>
          <w:p w14:paraId="0CBC4775" w14:textId="77777777" w:rsidR="00AF3DCD" w:rsidRPr="00AF3DCD" w:rsidRDefault="00AF3DCD" w:rsidP="00D5019B">
            <w:pPr>
              <w:jc w:val="center"/>
              <w:rPr>
                <w:rFonts w:ascii="Arial" w:hAnsi="Arial" w:cs="Arial"/>
                <w:b/>
                <w:bCs/>
                <w:sz w:val="22"/>
              </w:rPr>
            </w:pPr>
            <w:r w:rsidRPr="00AF3DCD">
              <w:rPr>
                <w:rFonts w:ascii="Arial" w:hAnsi="Arial" w:cs="Arial"/>
                <w:sz w:val="22"/>
              </w:rPr>
              <w:t>Impact: 2</w:t>
            </w:r>
          </w:p>
        </w:tc>
        <w:tc>
          <w:tcPr>
            <w:tcW w:w="5276" w:type="dxa"/>
            <w:tcBorders>
              <w:top w:val="single" w:sz="4" w:space="0" w:color="auto"/>
              <w:left w:val="single" w:sz="4" w:space="0" w:color="auto"/>
              <w:bottom w:val="single" w:sz="4" w:space="0" w:color="auto"/>
              <w:right w:val="single" w:sz="4" w:space="0" w:color="auto"/>
            </w:tcBorders>
          </w:tcPr>
          <w:p w14:paraId="2E0E1957" w14:textId="77777777" w:rsidR="00AF3DCD" w:rsidRPr="00AE657B" w:rsidRDefault="00AF3DCD" w:rsidP="00D5019B">
            <w:pPr>
              <w:numPr>
                <w:ilvl w:val="0"/>
                <w:numId w:val="2"/>
              </w:numPr>
              <w:rPr>
                <w:rFonts w:ascii="Arial" w:hAnsi="Arial" w:cs="Arial"/>
                <w:sz w:val="22"/>
              </w:rPr>
            </w:pPr>
            <w:r w:rsidRPr="00AE657B">
              <w:rPr>
                <w:rFonts w:ascii="Arial" w:hAnsi="Arial" w:cs="Arial"/>
                <w:sz w:val="22"/>
              </w:rPr>
              <w:t>Monitor the average interest rate being achieved against the budget target and the level of balances available for investment</w:t>
            </w:r>
          </w:p>
          <w:p w14:paraId="6DEEDD2B" w14:textId="77777777" w:rsidR="00AF3DCD" w:rsidRPr="00AE657B" w:rsidRDefault="00AF3DCD" w:rsidP="00D5019B">
            <w:pPr>
              <w:numPr>
                <w:ilvl w:val="0"/>
                <w:numId w:val="2"/>
              </w:numPr>
              <w:rPr>
                <w:rFonts w:ascii="Arial" w:hAnsi="Arial" w:cs="Arial"/>
                <w:sz w:val="22"/>
              </w:rPr>
            </w:pPr>
            <w:r w:rsidRPr="00AE657B">
              <w:rPr>
                <w:rFonts w:ascii="Arial" w:hAnsi="Arial" w:cs="Arial"/>
                <w:sz w:val="22"/>
              </w:rPr>
              <w:t>Actively monitoring the cash flow on a daily basis with new methodology to be introduced for cash flow forecasting</w:t>
            </w:r>
          </w:p>
          <w:p w14:paraId="7FA7AE28" w14:textId="77777777" w:rsidR="00AF3DCD" w:rsidRPr="00AE657B" w:rsidRDefault="00AF3DCD" w:rsidP="00D5019B">
            <w:pPr>
              <w:numPr>
                <w:ilvl w:val="0"/>
                <w:numId w:val="2"/>
              </w:numPr>
              <w:rPr>
                <w:rFonts w:ascii="Arial" w:hAnsi="Arial" w:cs="Arial"/>
                <w:sz w:val="22"/>
              </w:rPr>
            </w:pPr>
            <w:r w:rsidRPr="00AE657B">
              <w:rPr>
                <w:rFonts w:ascii="Arial" w:hAnsi="Arial" w:cs="Arial"/>
                <w:sz w:val="22"/>
              </w:rPr>
              <w:t>Ongoing monitoring of cashflows from Business rates</w:t>
            </w:r>
          </w:p>
          <w:p w14:paraId="5ED13854" w14:textId="77777777" w:rsidR="00AF3DCD" w:rsidRPr="00AE657B" w:rsidRDefault="00AF3DCD" w:rsidP="00D5019B">
            <w:pPr>
              <w:numPr>
                <w:ilvl w:val="0"/>
                <w:numId w:val="2"/>
              </w:numPr>
              <w:rPr>
                <w:rFonts w:ascii="Arial" w:hAnsi="Arial" w:cs="Arial"/>
                <w:sz w:val="22"/>
              </w:rPr>
            </w:pPr>
            <w:r w:rsidRPr="00AE657B">
              <w:rPr>
                <w:rFonts w:ascii="Arial" w:hAnsi="Arial" w:cs="Arial"/>
                <w:sz w:val="22"/>
              </w:rPr>
              <w:t>Quarterly monitoring of Collection Fund forecast balances</w:t>
            </w:r>
          </w:p>
          <w:p w14:paraId="1B6ADBD7" w14:textId="77777777" w:rsidR="00AF3DCD" w:rsidRPr="00AE657B" w:rsidRDefault="00AF3DCD" w:rsidP="00D5019B">
            <w:pPr>
              <w:numPr>
                <w:ilvl w:val="0"/>
                <w:numId w:val="2"/>
              </w:numPr>
              <w:rPr>
                <w:rFonts w:ascii="Arial" w:hAnsi="Arial" w:cs="Arial"/>
                <w:sz w:val="22"/>
              </w:rPr>
            </w:pPr>
            <w:r w:rsidRPr="00AE657B">
              <w:rPr>
                <w:rFonts w:ascii="Arial" w:hAnsi="Arial" w:cs="Arial"/>
                <w:sz w:val="22"/>
              </w:rPr>
              <w:t>Take account of economic analysts and Bank of England predictions and advice from Treasury Management Consultants</w:t>
            </w:r>
          </w:p>
          <w:p w14:paraId="6D807B1A" w14:textId="77777777" w:rsidR="00AF3DCD" w:rsidRPr="00AE657B" w:rsidRDefault="00AF3DCD" w:rsidP="00D5019B">
            <w:pPr>
              <w:numPr>
                <w:ilvl w:val="0"/>
                <w:numId w:val="2"/>
              </w:numPr>
              <w:rPr>
                <w:rFonts w:ascii="Arial" w:hAnsi="Arial" w:cs="Arial"/>
                <w:sz w:val="22"/>
              </w:rPr>
            </w:pPr>
            <w:r w:rsidRPr="00AE657B">
              <w:rPr>
                <w:rFonts w:ascii="Arial" w:hAnsi="Arial" w:cs="Arial"/>
                <w:sz w:val="22"/>
              </w:rPr>
              <w:t>Hold regular Treasury Management meetings</w:t>
            </w:r>
          </w:p>
          <w:p w14:paraId="74FF96E4" w14:textId="77777777" w:rsidR="00AF3DCD" w:rsidRPr="00AE657B" w:rsidRDefault="00AF3DCD" w:rsidP="00D5019B">
            <w:pPr>
              <w:numPr>
                <w:ilvl w:val="0"/>
                <w:numId w:val="2"/>
              </w:numPr>
              <w:rPr>
                <w:rFonts w:ascii="Arial" w:hAnsi="Arial" w:cs="Arial"/>
                <w:sz w:val="22"/>
              </w:rPr>
            </w:pPr>
            <w:r w:rsidRPr="00AE657B">
              <w:rPr>
                <w:rFonts w:ascii="Arial" w:hAnsi="Arial" w:cs="Arial"/>
                <w:sz w:val="22"/>
              </w:rPr>
              <w:t>Report quarterly to Corporate Management Team, Executive and Performance Scrutiny Committee</w:t>
            </w:r>
          </w:p>
          <w:p w14:paraId="0C4CB22D" w14:textId="77777777" w:rsidR="00AF3DCD" w:rsidRPr="00AE657B" w:rsidRDefault="00AF3DCD" w:rsidP="00D5019B">
            <w:pPr>
              <w:tabs>
                <w:tab w:val="num" w:pos="385"/>
              </w:tabs>
              <w:ind w:left="385" w:hanging="180"/>
              <w:rPr>
                <w:rFonts w:ascii="Arial" w:hAnsi="Arial" w:cs="Arial"/>
                <w:sz w:val="22"/>
              </w:rPr>
            </w:pPr>
          </w:p>
        </w:tc>
      </w:tr>
      <w:tr w:rsidR="00E94C11" w:rsidRPr="001A2856" w14:paraId="4FB7657E" w14:textId="77777777" w:rsidTr="00991DA6">
        <w:trPr>
          <w:tblHeader/>
        </w:trPr>
        <w:tc>
          <w:tcPr>
            <w:tcW w:w="693" w:type="dxa"/>
            <w:tcBorders>
              <w:top w:val="single" w:sz="4" w:space="0" w:color="auto"/>
              <w:left w:val="single" w:sz="4" w:space="0" w:color="auto"/>
              <w:bottom w:val="single" w:sz="4" w:space="0" w:color="auto"/>
              <w:right w:val="single" w:sz="4" w:space="0" w:color="auto"/>
            </w:tcBorders>
          </w:tcPr>
          <w:p w14:paraId="2C019E5F" w14:textId="3B83868B" w:rsidR="00AF3DCD" w:rsidRPr="003E1791" w:rsidRDefault="00AF3DCD" w:rsidP="00D5019B">
            <w:pPr>
              <w:rPr>
                <w:rFonts w:ascii="Arial" w:hAnsi="Arial" w:cs="Arial"/>
                <w:sz w:val="22"/>
              </w:rPr>
            </w:pPr>
            <w:r>
              <w:rPr>
                <w:rFonts w:ascii="Arial" w:hAnsi="Arial" w:cs="Arial"/>
                <w:sz w:val="22"/>
              </w:rPr>
              <w:t>12</w:t>
            </w:r>
          </w:p>
        </w:tc>
        <w:tc>
          <w:tcPr>
            <w:tcW w:w="2108" w:type="dxa"/>
            <w:tcBorders>
              <w:top w:val="single" w:sz="4" w:space="0" w:color="auto"/>
              <w:left w:val="single" w:sz="4" w:space="0" w:color="auto"/>
              <w:bottom w:val="single" w:sz="4" w:space="0" w:color="auto"/>
              <w:right w:val="single" w:sz="4" w:space="0" w:color="auto"/>
            </w:tcBorders>
          </w:tcPr>
          <w:p w14:paraId="55257382" w14:textId="77777777" w:rsidR="00AF3DCD" w:rsidRPr="003E1791" w:rsidRDefault="00AF3DCD" w:rsidP="00D5019B">
            <w:pPr>
              <w:rPr>
                <w:rFonts w:ascii="Arial" w:hAnsi="Arial" w:cs="Arial"/>
                <w:sz w:val="22"/>
              </w:rPr>
            </w:pPr>
            <w:r w:rsidRPr="003E1791">
              <w:rPr>
                <w:rFonts w:ascii="Arial" w:hAnsi="Arial" w:cs="Arial"/>
                <w:sz w:val="22"/>
              </w:rPr>
              <w:t>General Budget Assumptions</w:t>
            </w:r>
          </w:p>
        </w:tc>
        <w:tc>
          <w:tcPr>
            <w:tcW w:w="3420" w:type="dxa"/>
            <w:tcBorders>
              <w:top w:val="single" w:sz="4" w:space="0" w:color="auto"/>
              <w:left w:val="single" w:sz="4" w:space="0" w:color="auto"/>
              <w:bottom w:val="single" w:sz="4" w:space="0" w:color="auto"/>
              <w:right w:val="single" w:sz="4" w:space="0" w:color="auto"/>
            </w:tcBorders>
          </w:tcPr>
          <w:p w14:paraId="18CD29A1" w14:textId="77777777" w:rsidR="00AF3DCD" w:rsidRPr="003E1791" w:rsidRDefault="00AF3DCD" w:rsidP="00D5019B">
            <w:pPr>
              <w:ind w:firstLine="3"/>
              <w:rPr>
                <w:rFonts w:ascii="Arial" w:hAnsi="Arial" w:cs="Arial"/>
                <w:sz w:val="22"/>
              </w:rPr>
            </w:pPr>
            <w:r w:rsidRPr="003E1791">
              <w:rPr>
                <w:rFonts w:ascii="Arial" w:hAnsi="Arial" w:cs="Arial"/>
                <w:sz w:val="22"/>
              </w:rPr>
              <w:t>CPI and RPI inflation exceed rates assumed in the budget</w:t>
            </w:r>
          </w:p>
          <w:p w14:paraId="11C2D271" w14:textId="77777777" w:rsidR="00AF3DCD" w:rsidRPr="003E1791" w:rsidRDefault="00AF3DCD" w:rsidP="00D5019B">
            <w:pPr>
              <w:ind w:firstLine="3"/>
              <w:rPr>
                <w:rFonts w:ascii="Arial" w:hAnsi="Arial" w:cs="Arial"/>
                <w:sz w:val="22"/>
              </w:rPr>
            </w:pPr>
          </w:p>
          <w:p w14:paraId="7A10016E" w14:textId="77777777" w:rsidR="00AF3DCD" w:rsidRPr="003E1791" w:rsidRDefault="00AF3DCD" w:rsidP="00D5019B">
            <w:pPr>
              <w:ind w:firstLine="3"/>
              <w:rPr>
                <w:rFonts w:ascii="Arial" w:hAnsi="Arial" w:cs="Arial"/>
                <w:sz w:val="22"/>
              </w:rPr>
            </w:pPr>
            <w:r w:rsidRPr="003E1791">
              <w:rPr>
                <w:rFonts w:ascii="Arial" w:hAnsi="Arial" w:cs="Arial"/>
                <w:sz w:val="22"/>
              </w:rPr>
              <w:t>Actual establishment exceeds 98.5%</w:t>
            </w:r>
          </w:p>
          <w:p w14:paraId="5313C4A2" w14:textId="77777777" w:rsidR="00AF3DCD" w:rsidRPr="003E1791" w:rsidRDefault="00AF3DCD" w:rsidP="00D5019B">
            <w:pPr>
              <w:ind w:firstLine="3"/>
              <w:rPr>
                <w:rFonts w:ascii="Arial" w:hAnsi="Arial" w:cs="Arial"/>
                <w:sz w:val="22"/>
              </w:rPr>
            </w:pPr>
          </w:p>
          <w:p w14:paraId="386B5571" w14:textId="77777777" w:rsidR="00AF3DCD" w:rsidRPr="003E1791" w:rsidRDefault="00AF3DCD" w:rsidP="00D5019B">
            <w:pPr>
              <w:ind w:firstLine="3"/>
              <w:rPr>
                <w:rFonts w:ascii="Arial" w:hAnsi="Arial" w:cs="Arial"/>
                <w:sz w:val="22"/>
              </w:rPr>
            </w:pPr>
            <w:r w:rsidRPr="003E1791">
              <w:rPr>
                <w:rFonts w:ascii="Arial" w:hAnsi="Arial" w:cs="Arial"/>
                <w:sz w:val="22"/>
              </w:rPr>
              <w:t xml:space="preserve">Implications from Government Policy in response to economic factors. </w:t>
            </w:r>
          </w:p>
          <w:p w14:paraId="08B99AAF" w14:textId="77777777" w:rsidR="00AF3DCD" w:rsidRPr="003E1791" w:rsidRDefault="00AF3DCD" w:rsidP="00D5019B">
            <w:pPr>
              <w:ind w:firstLine="3"/>
              <w:rPr>
                <w:rFonts w:ascii="Arial" w:hAnsi="Arial" w:cs="Arial"/>
                <w:sz w:val="22"/>
              </w:rPr>
            </w:pPr>
          </w:p>
          <w:p w14:paraId="536FDBC1" w14:textId="77777777" w:rsidR="00AF3DCD" w:rsidRPr="003E1791" w:rsidRDefault="00AF3DCD" w:rsidP="00D5019B">
            <w:pPr>
              <w:ind w:firstLine="3"/>
              <w:rPr>
                <w:rFonts w:ascii="Arial" w:hAnsi="Arial" w:cs="Arial"/>
                <w:sz w:val="22"/>
              </w:rPr>
            </w:pPr>
            <w:r w:rsidRPr="003E1791">
              <w:rPr>
                <w:rFonts w:ascii="Arial" w:hAnsi="Arial" w:cs="Arial"/>
                <w:sz w:val="22"/>
              </w:rPr>
              <w:t>Increased pension contributions as a result of triennial valuation (next valuation in 202</w:t>
            </w:r>
            <w:r>
              <w:rPr>
                <w:rFonts w:ascii="Arial" w:hAnsi="Arial" w:cs="Arial"/>
                <w:sz w:val="22"/>
              </w:rPr>
              <w:t>8</w:t>
            </w:r>
            <w:r w:rsidRPr="003E1791">
              <w:rPr>
                <w:rFonts w:ascii="Arial" w:hAnsi="Arial" w:cs="Arial"/>
                <w:sz w:val="22"/>
              </w:rPr>
              <w:t>)</w:t>
            </w:r>
          </w:p>
          <w:p w14:paraId="054E4D17" w14:textId="77777777" w:rsidR="00AF3DCD" w:rsidRPr="003E1791" w:rsidRDefault="00AF3DCD" w:rsidP="00D5019B">
            <w:pPr>
              <w:ind w:firstLine="3"/>
              <w:rPr>
                <w:rFonts w:ascii="Arial" w:hAnsi="Arial" w:cs="Arial"/>
                <w:sz w:val="22"/>
              </w:rPr>
            </w:pPr>
          </w:p>
          <w:p w14:paraId="27F013E5" w14:textId="77777777" w:rsidR="00AF3DCD" w:rsidRPr="003E1791" w:rsidRDefault="00AF3DCD" w:rsidP="00D5019B">
            <w:pPr>
              <w:ind w:firstLine="3"/>
              <w:rPr>
                <w:rFonts w:ascii="Arial" w:hAnsi="Arial" w:cs="Arial"/>
                <w:sz w:val="22"/>
              </w:rPr>
            </w:pPr>
            <w:r w:rsidRPr="003E1791">
              <w:rPr>
                <w:rFonts w:ascii="Arial" w:hAnsi="Arial" w:cs="Arial"/>
                <w:sz w:val="22"/>
              </w:rPr>
              <w:t>Pay inflation exceeds rates assumed in the budget</w:t>
            </w:r>
          </w:p>
          <w:p w14:paraId="4037F5EF" w14:textId="77777777" w:rsidR="00AF3DCD" w:rsidRPr="003E1791" w:rsidRDefault="00AF3DCD" w:rsidP="00D5019B">
            <w:pPr>
              <w:ind w:firstLine="3"/>
              <w:rPr>
                <w:rFonts w:ascii="Arial" w:hAnsi="Arial" w:cs="Arial"/>
                <w:sz w:val="22"/>
              </w:rPr>
            </w:pPr>
          </w:p>
          <w:p w14:paraId="3DE29F13" w14:textId="77777777" w:rsidR="00AF3DCD" w:rsidRPr="003E1791" w:rsidRDefault="00AF3DCD" w:rsidP="00D5019B">
            <w:pPr>
              <w:ind w:firstLine="3"/>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FFC000"/>
          </w:tcPr>
          <w:p w14:paraId="39FD8028" w14:textId="77777777" w:rsidR="00AF3DCD" w:rsidRPr="003E1791" w:rsidRDefault="00AF3DCD" w:rsidP="00D5019B">
            <w:pPr>
              <w:jc w:val="center"/>
              <w:rPr>
                <w:rFonts w:ascii="Arial" w:hAnsi="Arial" w:cs="Arial"/>
                <w:sz w:val="22"/>
              </w:rPr>
            </w:pPr>
          </w:p>
          <w:p w14:paraId="4D2A59B8" w14:textId="77777777" w:rsidR="00AF3DCD" w:rsidRPr="003E1791" w:rsidRDefault="00AF3DCD" w:rsidP="00D5019B">
            <w:pPr>
              <w:jc w:val="center"/>
              <w:rPr>
                <w:rFonts w:ascii="Arial" w:hAnsi="Arial" w:cs="Arial"/>
                <w:b/>
                <w:bCs/>
                <w:sz w:val="22"/>
              </w:rPr>
            </w:pPr>
            <w:r w:rsidRPr="003E1791">
              <w:rPr>
                <w:rFonts w:ascii="Arial" w:hAnsi="Arial" w:cs="Arial"/>
                <w:b/>
                <w:bCs/>
                <w:sz w:val="22"/>
              </w:rPr>
              <w:t xml:space="preserve">Total Score: </w:t>
            </w:r>
            <w:r>
              <w:rPr>
                <w:rFonts w:ascii="Arial" w:hAnsi="Arial" w:cs="Arial"/>
                <w:b/>
                <w:bCs/>
                <w:sz w:val="22"/>
              </w:rPr>
              <w:t>6</w:t>
            </w:r>
          </w:p>
          <w:p w14:paraId="6CC0C3DA" w14:textId="77777777" w:rsidR="00AF3DCD" w:rsidRPr="003E1791" w:rsidRDefault="00AF3DCD" w:rsidP="00D5019B">
            <w:pPr>
              <w:jc w:val="center"/>
              <w:rPr>
                <w:rFonts w:ascii="Arial" w:hAnsi="Arial" w:cs="Arial"/>
                <w:sz w:val="22"/>
              </w:rPr>
            </w:pPr>
          </w:p>
          <w:p w14:paraId="3A26847F" w14:textId="77777777" w:rsidR="00AF3DCD" w:rsidRPr="003E1791" w:rsidRDefault="00AF3DCD" w:rsidP="00D5019B">
            <w:pPr>
              <w:jc w:val="center"/>
              <w:rPr>
                <w:rFonts w:ascii="Arial" w:hAnsi="Arial" w:cs="Arial"/>
                <w:sz w:val="22"/>
              </w:rPr>
            </w:pPr>
            <w:r w:rsidRPr="003E1791">
              <w:rPr>
                <w:rFonts w:ascii="Arial" w:hAnsi="Arial" w:cs="Arial"/>
                <w:sz w:val="22"/>
              </w:rPr>
              <w:t xml:space="preserve">Likelihood: </w:t>
            </w:r>
            <w:r>
              <w:rPr>
                <w:rFonts w:ascii="Arial" w:hAnsi="Arial" w:cs="Arial"/>
                <w:sz w:val="22"/>
              </w:rPr>
              <w:t>2</w:t>
            </w:r>
          </w:p>
          <w:p w14:paraId="72B5D12D" w14:textId="77777777" w:rsidR="00AF3DCD" w:rsidRPr="003E1791" w:rsidRDefault="00AF3DCD" w:rsidP="00D5019B">
            <w:pPr>
              <w:jc w:val="center"/>
              <w:rPr>
                <w:rFonts w:ascii="Arial" w:hAnsi="Arial" w:cs="Arial"/>
                <w:sz w:val="22"/>
              </w:rPr>
            </w:pPr>
            <w:r w:rsidRPr="003E1791">
              <w:rPr>
                <w:rFonts w:ascii="Arial" w:hAnsi="Arial" w:cs="Arial"/>
                <w:sz w:val="22"/>
              </w:rPr>
              <w:t>Impact: 3</w:t>
            </w:r>
          </w:p>
        </w:tc>
        <w:tc>
          <w:tcPr>
            <w:tcW w:w="1926" w:type="dxa"/>
            <w:tcBorders>
              <w:top w:val="single" w:sz="4" w:space="0" w:color="auto"/>
              <w:left w:val="single" w:sz="4" w:space="0" w:color="auto"/>
              <w:bottom w:val="single" w:sz="4" w:space="0" w:color="auto"/>
              <w:right w:val="single" w:sz="4" w:space="0" w:color="auto"/>
            </w:tcBorders>
            <w:shd w:val="clear" w:color="auto" w:fill="FFC000" w:themeFill="accent4"/>
          </w:tcPr>
          <w:p w14:paraId="4426B1C5" w14:textId="77777777" w:rsidR="00AF3DCD" w:rsidRPr="003E1791" w:rsidRDefault="00AF3DCD" w:rsidP="00D5019B">
            <w:pPr>
              <w:jc w:val="center"/>
              <w:rPr>
                <w:rFonts w:ascii="Arial" w:hAnsi="Arial" w:cs="Arial"/>
                <w:sz w:val="22"/>
              </w:rPr>
            </w:pPr>
          </w:p>
          <w:p w14:paraId="1B7EA750" w14:textId="77777777" w:rsidR="00AF3DCD" w:rsidRPr="003E1791" w:rsidRDefault="00AF3DCD" w:rsidP="00D5019B">
            <w:pPr>
              <w:jc w:val="center"/>
              <w:rPr>
                <w:rFonts w:ascii="Arial" w:hAnsi="Arial" w:cs="Arial"/>
                <w:b/>
                <w:sz w:val="22"/>
              </w:rPr>
            </w:pPr>
            <w:r w:rsidRPr="003E1791">
              <w:rPr>
                <w:rFonts w:ascii="Arial" w:hAnsi="Arial" w:cs="Arial"/>
                <w:b/>
                <w:sz w:val="22"/>
              </w:rPr>
              <w:t xml:space="preserve">Total Score: </w:t>
            </w:r>
            <w:r>
              <w:rPr>
                <w:rFonts w:ascii="Arial" w:hAnsi="Arial" w:cs="Arial"/>
                <w:b/>
                <w:bCs/>
                <w:sz w:val="22"/>
              </w:rPr>
              <w:t>9</w:t>
            </w:r>
          </w:p>
          <w:p w14:paraId="64E56C3F" w14:textId="77777777" w:rsidR="00AF3DCD" w:rsidRPr="003E1791" w:rsidRDefault="00AF3DCD" w:rsidP="00D5019B">
            <w:pPr>
              <w:jc w:val="center"/>
              <w:rPr>
                <w:rFonts w:ascii="Arial" w:hAnsi="Arial" w:cs="Arial"/>
                <w:sz w:val="22"/>
              </w:rPr>
            </w:pPr>
          </w:p>
          <w:p w14:paraId="507691F7" w14:textId="77777777" w:rsidR="00AF3DCD" w:rsidRPr="003E1791" w:rsidRDefault="00AF3DCD" w:rsidP="00D5019B">
            <w:pPr>
              <w:jc w:val="center"/>
              <w:rPr>
                <w:rFonts w:ascii="Arial" w:hAnsi="Arial" w:cs="Arial"/>
                <w:sz w:val="22"/>
              </w:rPr>
            </w:pPr>
            <w:r w:rsidRPr="003E1791">
              <w:rPr>
                <w:rFonts w:ascii="Arial" w:hAnsi="Arial" w:cs="Arial"/>
                <w:sz w:val="22"/>
              </w:rPr>
              <w:t xml:space="preserve">Likelihood: </w:t>
            </w:r>
            <w:r>
              <w:rPr>
                <w:rFonts w:ascii="Arial" w:hAnsi="Arial" w:cs="Arial"/>
                <w:sz w:val="22"/>
              </w:rPr>
              <w:t>3</w:t>
            </w:r>
          </w:p>
          <w:p w14:paraId="6FCA8BD7" w14:textId="77777777" w:rsidR="00AF3DCD" w:rsidRPr="003E1791" w:rsidRDefault="00AF3DCD" w:rsidP="00D5019B">
            <w:pPr>
              <w:jc w:val="center"/>
              <w:rPr>
                <w:rFonts w:ascii="Arial" w:hAnsi="Arial" w:cs="Arial"/>
                <w:sz w:val="22"/>
              </w:rPr>
            </w:pPr>
            <w:r w:rsidRPr="003E1791">
              <w:rPr>
                <w:rFonts w:ascii="Arial" w:hAnsi="Arial" w:cs="Arial"/>
                <w:sz w:val="22"/>
              </w:rPr>
              <w:t>Impact: 3</w:t>
            </w:r>
          </w:p>
        </w:tc>
        <w:tc>
          <w:tcPr>
            <w:tcW w:w="5276" w:type="dxa"/>
            <w:tcBorders>
              <w:top w:val="single" w:sz="4" w:space="0" w:color="auto"/>
              <w:left w:val="single" w:sz="4" w:space="0" w:color="auto"/>
              <w:bottom w:val="single" w:sz="4" w:space="0" w:color="auto"/>
              <w:right w:val="single" w:sz="4" w:space="0" w:color="auto"/>
            </w:tcBorders>
          </w:tcPr>
          <w:p w14:paraId="4863B283" w14:textId="77777777" w:rsidR="00AF3DCD" w:rsidRPr="003E1791" w:rsidRDefault="00AF3DCD" w:rsidP="00D5019B">
            <w:pPr>
              <w:numPr>
                <w:ilvl w:val="0"/>
                <w:numId w:val="2"/>
              </w:numPr>
              <w:rPr>
                <w:rFonts w:ascii="Arial" w:hAnsi="Arial" w:cs="Arial"/>
                <w:sz w:val="22"/>
              </w:rPr>
            </w:pPr>
            <w:r w:rsidRPr="003E1791">
              <w:rPr>
                <w:rFonts w:ascii="Arial" w:hAnsi="Arial" w:cs="Arial"/>
                <w:sz w:val="22"/>
              </w:rPr>
              <w:t xml:space="preserve">Set prudent but realistic projections based on analysis of economic commentators and Bank of England predictions – projections reviewed in latest MTFS </w:t>
            </w:r>
          </w:p>
          <w:p w14:paraId="33C42BB9" w14:textId="77777777" w:rsidR="00AF3DCD" w:rsidRPr="003E1791" w:rsidRDefault="00AF3DCD" w:rsidP="00D5019B">
            <w:pPr>
              <w:numPr>
                <w:ilvl w:val="0"/>
                <w:numId w:val="2"/>
              </w:numPr>
              <w:rPr>
                <w:rFonts w:ascii="Arial" w:hAnsi="Arial" w:cs="Arial"/>
                <w:sz w:val="22"/>
              </w:rPr>
            </w:pPr>
            <w:r w:rsidRPr="003E1791">
              <w:rPr>
                <w:rFonts w:ascii="Arial" w:hAnsi="Arial" w:cs="Arial"/>
                <w:sz w:val="22"/>
              </w:rPr>
              <w:t>Monthly monitoring of RPI and CPI index changes</w:t>
            </w:r>
          </w:p>
          <w:p w14:paraId="07CE33C6" w14:textId="77777777" w:rsidR="00AF3DCD" w:rsidRPr="003E1791" w:rsidRDefault="00AF3DCD" w:rsidP="00D5019B">
            <w:pPr>
              <w:numPr>
                <w:ilvl w:val="0"/>
                <w:numId w:val="2"/>
              </w:numPr>
              <w:rPr>
                <w:rFonts w:ascii="Arial" w:hAnsi="Arial" w:cs="Arial"/>
                <w:sz w:val="22"/>
              </w:rPr>
            </w:pPr>
            <w:r w:rsidRPr="003E1791">
              <w:rPr>
                <w:rFonts w:ascii="Arial" w:hAnsi="Arial" w:cs="Arial"/>
                <w:sz w:val="22"/>
              </w:rPr>
              <w:t xml:space="preserve">Make use of expert forecasts of future RPI and CPI trends </w:t>
            </w:r>
          </w:p>
          <w:p w14:paraId="0CA4E50F" w14:textId="77777777" w:rsidR="00AF3DCD" w:rsidRPr="003E1791" w:rsidRDefault="00AF3DCD" w:rsidP="00D5019B">
            <w:pPr>
              <w:numPr>
                <w:ilvl w:val="0"/>
                <w:numId w:val="2"/>
              </w:numPr>
              <w:rPr>
                <w:rFonts w:ascii="Arial" w:hAnsi="Arial" w:cs="Arial"/>
                <w:sz w:val="22"/>
              </w:rPr>
            </w:pPr>
            <w:r w:rsidRPr="003E1791">
              <w:rPr>
                <w:rFonts w:ascii="Arial" w:hAnsi="Arial" w:cs="Arial"/>
                <w:sz w:val="22"/>
              </w:rPr>
              <w:t>Participate in consultations via regional pay briefings.</w:t>
            </w:r>
          </w:p>
          <w:p w14:paraId="2CF437C8" w14:textId="77777777" w:rsidR="00AF3DCD" w:rsidRPr="003E1791" w:rsidRDefault="00AF3DCD" w:rsidP="00D5019B">
            <w:pPr>
              <w:numPr>
                <w:ilvl w:val="0"/>
                <w:numId w:val="2"/>
              </w:numPr>
              <w:rPr>
                <w:rFonts w:ascii="Arial" w:hAnsi="Arial" w:cs="Arial"/>
                <w:sz w:val="22"/>
              </w:rPr>
            </w:pPr>
            <w:r w:rsidRPr="003E1791">
              <w:rPr>
                <w:rFonts w:ascii="Arial" w:hAnsi="Arial" w:cs="Arial"/>
                <w:sz w:val="22"/>
              </w:rPr>
              <w:t xml:space="preserve">Produce regular budget monitoring reports – report quarterly to Corporate Management Team, Executive and Performance Scrutiny Committee </w:t>
            </w:r>
          </w:p>
          <w:p w14:paraId="300CCA80" w14:textId="77777777" w:rsidR="00AF3DCD" w:rsidRPr="003E1791" w:rsidRDefault="00AF3DCD" w:rsidP="00D5019B">
            <w:pPr>
              <w:numPr>
                <w:ilvl w:val="0"/>
                <w:numId w:val="2"/>
              </w:numPr>
              <w:rPr>
                <w:rFonts w:ascii="Arial" w:hAnsi="Arial" w:cs="Arial"/>
                <w:sz w:val="22"/>
              </w:rPr>
            </w:pPr>
            <w:r w:rsidRPr="003E1791">
              <w:rPr>
                <w:rFonts w:ascii="Arial" w:hAnsi="Arial" w:cs="Arial"/>
                <w:sz w:val="22"/>
              </w:rPr>
              <w:t>Monitor significant changes in economic indicators</w:t>
            </w:r>
          </w:p>
          <w:p w14:paraId="75C157FB" w14:textId="77777777" w:rsidR="00AF3DCD" w:rsidRPr="003E1791" w:rsidRDefault="00AF3DCD" w:rsidP="00D5019B">
            <w:pPr>
              <w:numPr>
                <w:ilvl w:val="0"/>
                <w:numId w:val="2"/>
              </w:numPr>
              <w:rPr>
                <w:rFonts w:ascii="Arial" w:hAnsi="Arial" w:cs="Arial"/>
                <w:sz w:val="22"/>
              </w:rPr>
            </w:pPr>
            <w:r w:rsidRPr="003E1791">
              <w:rPr>
                <w:rFonts w:ascii="Arial" w:hAnsi="Arial" w:cs="Arial"/>
                <w:sz w:val="22"/>
              </w:rPr>
              <w:t>Monitor the pension fund position through discussions with Lincolnshire County Council and Lincolnshire Finance Officers</w:t>
            </w:r>
          </w:p>
          <w:p w14:paraId="15591CF7" w14:textId="77777777" w:rsidR="00AF3DCD" w:rsidRPr="003E1791" w:rsidRDefault="00AF3DCD" w:rsidP="00D5019B">
            <w:pPr>
              <w:numPr>
                <w:ilvl w:val="0"/>
                <w:numId w:val="2"/>
              </w:numPr>
              <w:rPr>
                <w:rFonts w:ascii="Arial" w:hAnsi="Arial" w:cs="Arial"/>
                <w:sz w:val="22"/>
              </w:rPr>
            </w:pPr>
            <w:r w:rsidRPr="003E1791">
              <w:rPr>
                <w:rFonts w:ascii="Arial" w:hAnsi="Arial" w:cs="Arial"/>
                <w:sz w:val="22"/>
              </w:rPr>
              <w:t>Pension Fund Stabilisation Approach adopted</w:t>
            </w:r>
          </w:p>
          <w:p w14:paraId="16B8EF0C" w14:textId="77777777" w:rsidR="00AF3DCD" w:rsidRPr="003E1791" w:rsidRDefault="00AF3DCD" w:rsidP="00D5019B">
            <w:pPr>
              <w:tabs>
                <w:tab w:val="num" w:pos="473"/>
              </w:tabs>
              <w:ind w:left="454" w:hanging="341"/>
              <w:rPr>
                <w:rFonts w:ascii="Arial" w:hAnsi="Arial" w:cs="Arial"/>
                <w:sz w:val="22"/>
              </w:rPr>
            </w:pPr>
          </w:p>
        </w:tc>
      </w:tr>
      <w:tr w:rsidR="00E94C11" w:rsidRPr="005C6861" w14:paraId="36A3CB90" w14:textId="77777777" w:rsidTr="00991DA6">
        <w:trPr>
          <w:tblHeader/>
        </w:trPr>
        <w:tc>
          <w:tcPr>
            <w:tcW w:w="693" w:type="dxa"/>
          </w:tcPr>
          <w:p w14:paraId="1CC0A025" w14:textId="52A7A7B8" w:rsidR="00AF3DCD" w:rsidRPr="00984098" w:rsidRDefault="00AF3DCD" w:rsidP="00D5019B">
            <w:pPr>
              <w:rPr>
                <w:rFonts w:ascii="Arial" w:hAnsi="Arial" w:cs="Arial"/>
                <w:sz w:val="22"/>
              </w:rPr>
            </w:pPr>
            <w:r>
              <w:rPr>
                <w:rFonts w:ascii="Arial" w:hAnsi="Arial" w:cs="Arial"/>
                <w:sz w:val="22"/>
              </w:rPr>
              <w:t>13</w:t>
            </w:r>
          </w:p>
        </w:tc>
        <w:tc>
          <w:tcPr>
            <w:tcW w:w="2108" w:type="dxa"/>
          </w:tcPr>
          <w:p w14:paraId="24CC5C12" w14:textId="77777777" w:rsidR="00AF3DCD" w:rsidRPr="00984098" w:rsidRDefault="00AF3DCD" w:rsidP="00D5019B">
            <w:pPr>
              <w:rPr>
                <w:rFonts w:ascii="Arial" w:hAnsi="Arial" w:cs="Arial"/>
                <w:sz w:val="22"/>
              </w:rPr>
            </w:pPr>
            <w:r w:rsidRPr="00984098">
              <w:rPr>
                <w:rFonts w:ascii="Arial" w:hAnsi="Arial" w:cs="Arial"/>
                <w:sz w:val="22"/>
              </w:rPr>
              <w:t>Housing Rents and Property Voids</w:t>
            </w:r>
          </w:p>
        </w:tc>
        <w:tc>
          <w:tcPr>
            <w:tcW w:w="3420" w:type="dxa"/>
            <w:tcBorders>
              <w:bottom w:val="single" w:sz="4" w:space="0" w:color="auto"/>
            </w:tcBorders>
          </w:tcPr>
          <w:p w14:paraId="4EF4F3F5" w14:textId="77777777" w:rsidR="00AF3DCD" w:rsidRPr="00984098" w:rsidRDefault="00AF3DCD" w:rsidP="00D5019B">
            <w:pPr>
              <w:rPr>
                <w:rFonts w:ascii="Arial" w:hAnsi="Arial" w:cs="Arial"/>
                <w:sz w:val="22"/>
              </w:rPr>
            </w:pPr>
            <w:r w:rsidRPr="00984098">
              <w:rPr>
                <w:rFonts w:ascii="Arial" w:hAnsi="Arial" w:cs="Arial"/>
                <w:sz w:val="22"/>
              </w:rPr>
              <w:t>Increased arrears due to impact of cost-of-living crisis and rent increase</w:t>
            </w:r>
            <w:r>
              <w:rPr>
                <w:rFonts w:ascii="Arial" w:hAnsi="Arial" w:cs="Arial"/>
                <w:sz w:val="22"/>
              </w:rPr>
              <w:t>s</w:t>
            </w:r>
            <w:r w:rsidRPr="00984098">
              <w:rPr>
                <w:rFonts w:ascii="Arial" w:hAnsi="Arial" w:cs="Arial"/>
                <w:sz w:val="22"/>
              </w:rPr>
              <w:t xml:space="preserve"> on household incomes</w:t>
            </w:r>
            <w:r>
              <w:rPr>
                <w:rFonts w:ascii="Arial" w:hAnsi="Arial" w:cs="Arial"/>
                <w:sz w:val="22"/>
              </w:rPr>
              <w:t>.</w:t>
            </w:r>
          </w:p>
          <w:p w14:paraId="263FDA8B" w14:textId="77777777" w:rsidR="00AF3DCD" w:rsidRPr="00984098" w:rsidRDefault="00AF3DCD" w:rsidP="00D5019B">
            <w:pPr>
              <w:rPr>
                <w:rFonts w:ascii="Arial" w:hAnsi="Arial" w:cs="Arial"/>
                <w:sz w:val="22"/>
              </w:rPr>
            </w:pPr>
          </w:p>
          <w:p w14:paraId="7AAFC67B" w14:textId="77777777" w:rsidR="00AF3DCD" w:rsidRPr="00984098" w:rsidRDefault="00AF3DCD" w:rsidP="00D5019B">
            <w:pPr>
              <w:rPr>
                <w:rFonts w:ascii="Arial" w:hAnsi="Arial" w:cs="Arial"/>
                <w:sz w:val="22"/>
              </w:rPr>
            </w:pPr>
            <w:r w:rsidRPr="00984098">
              <w:rPr>
                <w:rFonts w:ascii="Arial" w:hAnsi="Arial" w:cs="Arial"/>
                <w:sz w:val="22"/>
              </w:rPr>
              <w:t>More Council House disposals than anticipated and/or slower than anticipated progress on the council house new build programme.</w:t>
            </w:r>
          </w:p>
          <w:p w14:paraId="445E6188" w14:textId="77777777" w:rsidR="00AF3DCD" w:rsidRPr="00984098" w:rsidRDefault="00AF3DCD" w:rsidP="00D5019B">
            <w:pPr>
              <w:rPr>
                <w:rFonts w:ascii="Arial" w:hAnsi="Arial" w:cs="Arial"/>
                <w:sz w:val="22"/>
              </w:rPr>
            </w:pPr>
          </w:p>
          <w:p w14:paraId="73D07A31" w14:textId="77777777" w:rsidR="00AF3DCD" w:rsidRPr="00984098" w:rsidRDefault="00AF3DCD" w:rsidP="00D5019B">
            <w:pPr>
              <w:rPr>
                <w:rFonts w:ascii="Arial" w:hAnsi="Arial" w:cs="Arial"/>
                <w:sz w:val="22"/>
              </w:rPr>
            </w:pPr>
            <w:r w:rsidRPr="00984098">
              <w:rPr>
                <w:rFonts w:ascii="Arial" w:hAnsi="Arial" w:cs="Arial"/>
                <w:sz w:val="22"/>
              </w:rPr>
              <w:t>Void properties exceeding the allowance included in the budget (particularly due resourcing /contractor issues in HRS).</w:t>
            </w:r>
          </w:p>
          <w:p w14:paraId="1FEC9733" w14:textId="77777777" w:rsidR="00AF3DCD" w:rsidRDefault="00AF3DCD" w:rsidP="00D5019B">
            <w:pPr>
              <w:rPr>
                <w:rFonts w:ascii="Arial" w:hAnsi="Arial" w:cs="Arial"/>
                <w:sz w:val="22"/>
              </w:rPr>
            </w:pPr>
          </w:p>
          <w:p w14:paraId="52713A7F" w14:textId="77777777" w:rsidR="00AF3DCD" w:rsidRPr="00984098" w:rsidRDefault="00AF3DCD" w:rsidP="00D5019B">
            <w:pPr>
              <w:rPr>
                <w:rFonts w:ascii="Arial" w:hAnsi="Arial" w:cs="Arial"/>
                <w:sz w:val="22"/>
              </w:rPr>
            </w:pPr>
            <w:r w:rsidRPr="00984098">
              <w:rPr>
                <w:rFonts w:ascii="Arial" w:hAnsi="Arial" w:cs="Arial"/>
                <w:sz w:val="22"/>
              </w:rPr>
              <w:t>CPI inflation less than budgeted rate (from 202</w:t>
            </w:r>
            <w:r>
              <w:rPr>
                <w:rFonts w:ascii="Arial" w:hAnsi="Arial" w:cs="Arial"/>
                <w:sz w:val="22"/>
              </w:rPr>
              <w:t>7</w:t>
            </w:r>
            <w:r w:rsidRPr="00984098">
              <w:rPr>
                <w:rFonts w:ascii="Arial" w:hAnsi="Arial" w:cs="Arial"/>
                <w:sz w:val="22"/>
              </w:rPr>
              <w:t>/2</w:t>
            </w:r>
            <w:r>
              <w:rPr>
                <w:rFonts w:ascii="Arial" w:hAnsi="Arial" w:cs="Arial"/>
                <w:sz w:val="22"/>
              </w:rPr>
              <w:t>8</w:t>
            </w:r>
            <w:r w:rsidRPr="00984098">
              <w:rPr>
                <w:rFonts w:ascii="Arial" w:hAnsi="Arial" w:cs="Arial"/>
                <w:sz w:val="22"/>
              </w:rPr>
              <w:t xml:space="preserve">) – reducing rental income  </w:t>
            </w:r>
          </w:p>
          <w:p w14:paraId="5CDDF21A" w14:textId="77777777" w:rsidR="00AF3DCD" w:rsidRPr="00984098" w:rsidRDefault="00AF3DCD" w:rsidP="00D5019B">
            <w:pPr>
              <w:rPr>
                <w:rFonts w:ascii="Arial" w:hAnsi="Arial" w:cs="Arial"/>
                <w:sz w:val="22"/>
              </w:rPr>
            </w:pPr>
          </w:p>
          <w:p w14:paraId="499DB2BA" w14:textId="77777777" w:rsidR="00AF3DCD" w:rsidRDefault="00AF3DCD" w:rsidP="00D5019B">
            <w:pPr>
              <w:rPr>
                <w:rFonts w:ascii="Arial" w:hAnsi="Arial" w:cs="Arial"/>
                <w:sz w:val="22"/>
              </w:rPr>
            </w:pPr>
            <w:r w:rsidRPr="00984098">
              <w:rPr>
                <w:rFonts w:ascii="Arial" w:hAnsi="Arial" w:cs="Arial"/>
                <w:sz w:val="22"/>
              </w:rPr>
              <w:t>Impact of future interventions by Govt to alter Social Rent Policy, particularly any rent caps (though current consultation covers the period to March 2031).</w:t>
            </w:r>
          </w:p>
          <w:p w14:paraId="41DE56E6" w14:textId="77777777" w:rsidR="00AF3DCD" w:rsidRDefault="00AF3DCD" w:rsidP="00D5019B">
            <w:pPr>
              <w:rPr>
                <w:rFonts w:ascii="Arial" w:hAnsi="Arial" w:cs="Arial"/>
                <w:sz w:val="22"/>
              </w:rPr>
            </w:pPr>
          </w:p>
          <w:p w14:paraId="09B87A6B" w14:textId="77777777" w:rsidR="00AF3DCD" w:rsidRPr="00984098" w:rsidRDefault="00AF3DCD" w:rsidP="00D5019B">
            <w:pPr>
              <w:rPr>
                <w:rFonts w:ascii="Arial" w:hAnsi="Arial" w:cs="Arial"/>
                <w:sz w:val="22"/>
              </w:rPr>
            </w:pPr>
            <w:r>
              <w:rPr>
                <w:rFonts w:ascii="Arial" w:hAnsi="Arial" w:cs="Arial"/>
                <w:sz w:val="22"/>
              </w:rPr>
              <w:t>Impact of rent convergence mechanisms (although likely to be positive)</w:t>
            </w:r>
          </w:p>
          <w:p w14:paraId="053D0B94" w14:textId="77777777" w:rsidR="00AF3DCD" w:rsidRPr="00984098" w:rsidRDefault="00AF3DCD" w:rsidP="00D5019B">
            <w:pPr>
              <w:rPr>
                <w:rFonts w:ascii="Arial" w:hAnsi="Arial" w:cs="Arial"/>
                <w:color w:val="0070C0"/>
                <w:sz w:val="22"/>
              </w:rPr>
            </w:pPr>
          </w:p>
          <w:p w14:paraId="11F1E2CB" w14:textId="77777777" w:rsidR="00AF3DCD" w:rsidRPr="00984098" w:rsidRDefault="00AF3DCD" w:rsidP="00D5019B">
            <w:pPr>
              <w:rPr>
                <w:rFonts w:ascii="Arial" w:hAnsi="Arial" w:cs="Arial"/>
                <w:color w:val="0070C0"/>
                <w:sz w:val="22"/>
              </w:rPr>
            </w:pPr>
          </w:p>
        </w:tc>
        <w:tc>
          <w:tcPr>
            <w:tcW w:w="1980" w:type="dxa"/>
            <w:tcBorders>
              <w:bottom w:val="single" w:sz="4" w:space="0" w:color="auto"/>
            </w:tcBorders>
            <w:shd w:val="clear" w:color="auto" w:fill="FFC000" w:themeFill="accent4"/>
          </w:tcPr>
          <w:p w14:paraId="079637CD" w14:textId="77777777" w:rsidR="00AF3DCD" w:rsidRPr="00984098" w:rsidRDefault="00AF3DCD" w:rsidP="00D5019B">
            <w:pPr>
              <w:jc w:val="center"/>
              <w:rPr>
                <w:rFonts w:ascii="Arial" w:hAnsi="Arial" w:cs="Arial"/>
                <w:color w:val="0070C0"/>
                <w:sz w:val="22"/>
              </w:rPr>
            </w:pPr>
          </w:p>
          <w:p w14:paraId="28E773D6" w14:textId="77777777" w:rsidR="00AF3DCD" w:rsidRPr="00984098" w:rsidRDefault="00AF3DCD" w:rsidP="00D5019B">
            <w:pPr>
              <w:jc w:val="center"/>
              <w:rPr>
                <w:rFonts w:ascii="Arial" w:hAnsi="Arial" w:cs="Arial"/>
                <w:b/>
                <w:sz w:val="22"/>
                <w:szCs w:val="22"/>
              </w:rPr>
            </w:pPr>
            <w:r w:rsidRPr="00984098">
              <w:rPr>
                <w:rFonts w:ascii="Arial" w:hAnsi="Arial" w:cs="Arial"/>
                <w:b/>
                <w:sz w:val="22"/>
                <w:szCs w:val="22"/>
              </w:rPr>
              <w:t xml:space="preserve">Total Score: </w:t>
            </w:r>
            <w:r>
              <w:rPr>
                <w:rFonts w:ascii="Arial" w:hAnsi="Arial" w:cs="Arial"/>
                <w:b/>
                <w:sz w:val="22"/>
                <w:szCs w:val="22"/>
              </w:rPr>
              <w:t>6</w:t>
            </w:r>
          </w:p>
          <w:p w14:paraId="5253B3B4" w14:textId="77777777" w:rsidR="00AF3DCD" w:rsidRPr="00984098" w:rsidRDefault="00AF3DCD" w:rsidP="00D5019B">
            <w:pPr>
              <w:jc w:val="center"/>
              <w:rPr>
                <w:rFonts w:ascii="Arial" w:hAnsi="Arial" w:cs="Arial"/>
                <w:sz w:val="22"/>
                <w:szCs w:val="22"/>
              </w:rPr>
            </w:pPr>
          </w:p>
          <w:p w14:paraId="7021EDDC" w14:textId="77777777" w:rsidR="00AF3DCD" w:rsidRPr="00984098" w:rsidRDefault="00AF3DCD" w:rsidP="00D5019B">
            <w:pPr>
              <w:jc w:val="center"/>
              <w:rPr>
                <w:rFonts w:ascii="Arial" w:hAnsi="Arial" w:cs="Arial"/>
                <w:sz w:val="22"/>
                <w:szCs w:val="22"/>
              </w:rPr>
            </w:pPr>
            <w:r w:rsidRPr="00984098">
              <w:rPr>
                <w:rFonts w:ascii="Arial" w:hAnsi="Arial" w:cs="Arial"/>
                <w:sz w:val="22"/>
                <w:szCs w:val="22"/>
              </w:rPr>
              <w:t xml:space="preserve">Likelihood: </w:t>
            </w:r>
            <w:r>
              <w:rPr>
                <w:rFonts w:ascii="Arial" w:hAnsi="Arial" w:cs="Arial"/>
                <w:sz w:val="22"/>
                <w:szCs w:val="22"/>
              </w:rPr>
              <w:t>2</w:t>
            </w:r>
          </w:p>
          <w:p w14:paraId="60AEF938" w14:textId="77777777" w:rsidR="00AF3DCD" w:rsidRPr="00984098" w:rsidRDefault="00AF3DCD" w:rsidP="00D5019B">
            <w:pPr>
              <w:jc w:val="center"/>
              <w:rPr>
                <w:rFonts w:ascii="Arial" w:hAnsi="Arial" w:cs="Arial"/>
                <w:color w:val="0070C0"/>
                <w:sz w:val="22"/>
              </w:rPr>
            </w:pPr>
            <w:r w:rsidRPr="00984098">
              <w:rPr>
                <w:rFonts w:ascii="Arial" w:hAnsi="Arial" w:cs="Arial"/>
                <w:sz w:val="22"/>
                <w:szCs w:val="22"/>
              </w:rPr>
              <w:t>Impact: 3</w:t>
            </w:r>
          </w:p>
        </w:tc>
        <w:tc>
          <w:tcPr>
            <w:tcW w:w="1926" w:type="dxa"/>
            <w:tcBorders>
              <w:bottom w:val="single" w:sz="4" w:space="0" w:color="auto"/>
            </w:tcBorders>
            <w:shd w:val="clear" w:color="auto" w:fill="FFC000" w:themeFill="accent4"/>
          </w:tcPr>
          <w:p w14:paraId="339BD38E" w14:textId="77777777" w:rsidR="00AF3DCD" w:rsidRPr="00984098" w:rsidRDefault="00AF3DCD" w:rsidP="00D5019B">
            <w:pPr>
              <w:jc w:val="center"/>
              <w:rPr>
                <w:rFonts w:ascii="Arial" w:hAnsi="Arial" w:cs="Arial"/>
                <w:color w:val="0070C0"/>
                <w:sz w:val="22"/>
              </w:rPr>
            </w:pPr>
          </w:p>
          <w:p w14:paraId="7C0FABE0" w14:textId="77777777" w:rsidR="00AF3DCD" w:rsidRPr="00984098" w:rsidRDefault="00AF3DCD" w:rsidP="00D5019B">
            <w:pPr>
              <w:jc w:val="center"/>
              <w:rPr>
                <w:rFonts w:ascii="Arial" w:hAnsi="Arial" w:cs="Arial"/>
                <w:b/>
                <w:sz w:val="22"/>
                <w:szCs w:val="22"/>
              </w:rPr>
            </w:pPr>
            <w:r w:rsidRPr="00984098">
              <w:rPr>
                <w:rFonts w:ascii="Arial" w:hAnsi="Arial" w:cs="Arial"/>
                <w:b/>
                <w:sz w:val="22"/>
                <w:szCs w:val="22"/>
              </w:rPr>
              <w:t xml:space="preserve">Total Score: </w:t>
            </w:r>
            <w:r>
              <w:rPr>
                <w:rFonts w:ascii="Arial" w:hAnsi="Arial" w:cs="Arial"/>
                <w:b/>
                <w:sz w:val="22"/>
                <w:szCs w:val="22"/>
              </w:rPr>
              <w:t>9</w:t>
            </w:r>
          </w:p>
          <w:p w14:paraId="0041A08C" w14:textId="77777777" w:rsidR="00AF3DCD" w:rsidRPr="00984098" w:rsidRDefault="00AF3DCD" w:rsidP="00D5019B">
            <w:pPr>
              <w:jc w:val="center"/>
              <w:rPr>
                <w:rFonts w:ascii="Arial" w:hAnsi="Arial" w:cs="Arial"/>
                <w:sz w:val="22"/>
                <w:szCs w:val="22"/>
              </w:rPr>
            </w:pPr>
          </w:p>
          <w:p w14:paraId="70B8CB2F" w14:textId="77777777" w:rsidR="00AF3DCD" w:rsidRPr="00984098" w:rsidRDefault="00AF3DCD" w:rsidP="00D5019B">
            <w:pPr>
              <w:jc w:val="center"/>
              <w:rPr>
                <w:rFonts w:ascii="Arial" w:hAnsi="Arial" w:cs="Arial"/>
                <w:sz w:val="22"/>
                <w:szCs w:val="22"/>
              </w:rPr>
            </w:pPr>
            <w:r w:rsidRPr="00984098">
              <w:rPr>
                <w:rFonts w:ascii="Arial" w:hAnsi="Arial" w:cs="Arial"/>
                <w:sz w:val="22"/>
                <w:szCs w:val="22"/>
              </w:rPr>
              <w:t xml:space="preserve">Likelihood: </w:t>
            </w:r>
            <w:r>
              <w:rPr>
                <w:rFonts w:ascii="Arial" w:hAnsi="Arial" w:cs="Arial"/>
                <w:sz w:val="22"/>
                <w:szCs w:val="22"/>
              </w:rPr>
              <w:t>3</w:t>
            </w:r>
          </w:p>
          <w:p w14:paraId="7C57D058" w14:textId="77777777" w:rsidR="00AF3DCD" w:rsidRPr="00984098" w:rsidRDefault="00AF3DCD" w:rsidP="00D5019B">
            <w:pPr>
              <w:jc w:val="center"/>
              <w:rPr>
                <w:rFonts w:ascii="Arial" w:hAnsi="Arial" w:cs="Arial"/>
                <w:color w:val="0070C0"/>
                <w:sz w:val="22"/>
              </w:rPr>
            </w:pPr>
            <w:r w:rsidRPr="00984098">
              <w:rPr>
                <w:rFonts w:ascii="Arial" w:hAnsi="Arial" w:cs="Arial"/>
                <w:sz w:val="22"/>
                <w:szCs w:val="22"/>
              </w:rPr>
              <w:t>Impact: 3</w:t>
            </w:r>
          </w:p>
        </w:tc>
        <w:tc>
          <w:tcPr>
            <w:tcW w:w="5276" w:type="dxa"/>
            <w:tcBorders>
              <w:bottom w:val="single" w:sz="4" w:space="0" w:color="auto"/>
            </w:tcBorders>
          </w:tcPr>
          <w:p w14:paraId="4FE0BB60" w14:textId="77777777" w:rsidR="00AF3DCD" w:rsidRPr="00984098" w:rsidRDefault="00AF3DCD" w:rsidP="00D5019B">
            <w:pPr>
              <w:numPr>
                <w:ilvl w:val="0"/>
                <w:numId w:val="7"/>
              </w:numPr>
              <w:rPr>
                <w:rFonts w:ascii="Arial" w:hAnsi="Arial" w:cs="Arial"/>
                <w:sz w:val="22"/>
              </w:rPr>
            </w:pPr>
            <w:r w:rsidRPr="00984098">
              <w:rPr>
                <w:rFonts w:ascii="Arial" w:hAnsi="Arial" w:cs="Arial"/>
                <w:sz w:val="22"/>
              </w:rPr>
              <w:t>Produce regular budget monitoring reports</w:t>
            </w:r>
            <w:r>
              <w:rPr>
                <w:rFonts w:ascii="Arial" w:hAnsi="Arial" w:cs="Arial"/>
                <w:sz w:val="22"/>
              </w:rPr>
              <w:t>.</w:t>
            </w:r>
          </w:p>
          <w:p w14:paraId="7B813201" w14:textId="77777777" w:rsidR="00AF3DCD" w:rsidRPr="00984098" w:rsidRDefault="00AF3DCD" w:rsidP="00D5019B">
            <w:pPr>
              <w:numPr>
                <w:ilvl w:val="0"/>
                <w:numId w:val="7"/>
              </w:numPr>
              <w:rPr>
                <w:rFonts w:ascii="Arial" w:hAnsi="Arial" w:cs="Arial"/>
                <w:sz w:val="22"/>
              </w:rPr>
            </w:pPr>
            <w:r w:rsidRPr="00984098">
              <w:rPr>
                <w:rFonts w:ascii="Arial" w:hAnsi="Arial" w:cs="Arial"/>
                <w:sz w:val="22"/>
              </w:rPr>
              <w:t>Report quarterly to Corporate Management Team, Executive and Performance Scrutiny Committee</w:t>
            </w:r>
            <w:r>
              <w:rPr>
                <w:rFonts w:ascii="Arial" w:hAnsi="Arial" w:cs="Arial"/>
                <w:sz w:val="22"/>
              </w:rPr>
              <w:t>.</w:t>
            </w:r>
          </w:p>
          <w:p w14:paraId="2668524A" w14:textId="77777777" w:rsidR="00AF3DCD" w:rsidRPr="00984098" w:rsidRDefault="00AF3DCD" w:rsidP="00D5019B">
            <w:pPr>
              <w:numPr>
                <w:ilvl w:val="0"/>
                <w:numId w:val="16"/>
              </w:numPr>
              <w:tabs>
                <w:tab w:val="clear" w:pos="720"/>
                <w:tab w:val="num" w:pos="432"/>
              </w:tabs>
              <w:ind w:left="432"/>
              <w:jc w:val="both"/>
              <w:rPr>
                <w:rFonts w:ascii="Arial" w:hAnsi="Arial" w:cs="Arial"/>
                <w:sz w:val="22"/>
              </w:rPr>
            </w:pPr>
            <w:r w:rsidRPr="00984098">
              <w:rPr>
                <w:rFonts w:ascii="Arial" w:hAnsi="Arial" w:cs="Arial"/>
                <w:sz w:val="22"/>
              </w:rPr>
              <w:t>Directorate ongoing monitoring is a performance indicator</w:t>
            </w:r>
            <w:r>
              <w:rPr>
                <w:rFonts w:ascii="Arial" w:hAnsi="Arial" w:cs="Arial"/>
                <w:sz w:val="22"/>
              </w:rPr>
              <w:t>.</w:t>
            </w:r>
            <w:r w:rsidRPr="00984098">
              <w:rPr>
                <w:rFonts w:ascii="Arial" w:hAnsi="Arial" w:cs="Arial"/>
                <w:sz w:val="22"/>
              </w:rPr>
              <w:t xml:space="preserve"> </w:t>
            </w:r>
          </w:p>
          <w:p w14:paraId="0B29B987" w14:textId="77777777" w:rsidR="00AF3DCD" w:rsidRPr="00984098" w:rsidRDefault="00AF3DCD" w:rsidP="00D5019B">
            <w:pPr>
              <w:numPr>
                <w:ilvl w:val="0"/>
                <w:numId w:val="7"/>
              </w:numPr>
              <w:rPr>
                <w:rFonts w:ascii="Arial" w:hAnsi="Arial" w:cs="Arial"/>
                <w:sz w:val="22"/>
              </w:rPr>
            </w:pPr>
            <w:r w:rsidRPr="00984098">
              <w:rPr>
                <w:rFonts w:ascii="Arial" w:hAnsi="Arial" w:cs="Arial"/>
                <w:sz w:val="22"/>
              </w:rPr>
              <w:t>Monthly monitoring of CPI index changes</w:t>
            </w:r>
            <w:r>
              <w:rPr>
                <w:rFonts w:ascii="Arial" w:hAnsi="Arial" w:cs="Arial"/>
                <w:sz w:val="22"/>
              </w:rPr>
              <w:t>.</w:t>
            </w:r>
          </w:p>
          <w:p w14:paraId="5ABF1EF2" w14:textId="77777777" w:rsidR="00AF3DCD" w:rsidRPr="00984098" w:rsidRDefault="00AF3DCD" w:rsidP="00D5019B">
            <w:pPr>
              <w:numPr>
                <w:ilvl w:val="0"/>
                <w:numId w:val="7"/>
              </w:numPr>
              <w:rPr>
                <w:rFonts w:ascii="Arial" w:hAnsi="Arial" w:cs="Arial"/>
                <w:sz w:val="22"/>
              </w:rPr>
            </w:pPr>
            <w:r w:rsidRPr="00984098">
              <w:rPr>
                <w:rFonts w:ascii="Arial" w:hAnsi="Arial" w:cs="Arial"/>
                <w:sz w:val="22"/>
              </w:rPr>
              <w:t>Make use of expert forecasts of future CPI trends and the impact on housing rents</w:t>
            </w:r>
            <w:r>
              <w:rPr>
                <w:rFonts w:ascii="Arial" w:hAnsi="Arial" w:cs="Arial"/>
                <w:sz w:val="22"/>
              </w:rPr>
              <w:t>.</w:t>
            </w:r>
          </w:p>
          <w:p w14:paraId="71131EE0" w14:textId="77777777" w:rsidR="00AF3DCD" w:rsidRPr="00984098" w:rsidRDefault="00AF3DCD" w:rsidP="00D5019B">
            <w:pPr>
              <w:numPr>
                <w:ilvl w:val="0"/>
                <w:numId w:val="7"/>
              </w:numPr>
              <w:rPr>
                <w:rFonts w:ascii="Arial" w:hAnsi="Arial" w:cs="Arial"/>
                <w:sz w:val="22"/>
              </w:rPr>
            </w:pPr>
            <w:r w:rsidRPr="00984098">
              <w:rPr>
                <w:rFonts w:ascii="Arial" w:hAnsi="Arial" w:cs="Arial"/>
                <w:sz w:val="22"/>
              </w:rPr>
              <w:t>Maintain new 30-year Business Plan to ensure it is up to date with latest MTFS/Outturn position.</w:t>
            </w:r>
          </w:p>
          <w:p w14:paraId="059465F9" w14:textId="77777777" w:rsidR="00AF3DCD" w:rsidRPr="00984098" w:rsidRDefault="00AF3DCD" w:rsidP="00D5019B">
            <w:pPr>
              <w:numPr>
                <w:ilvl w:val="0"/>
                <w:numId w:val="7"/>
              </w:numPr>
              <w:rPr>
                <w:rFonts w:ascii="Arial" w:hAnsi="Arial" w:cs="Arial"/>
                <w:sz w:val="22"/>
              </w:rPr>
            </w:pPr>
            <w:r w:rsidRPr="00984098">
              <w:rPr>
                <w:rFonts w:ascii="Arial" w:hAnsi="Arial" w:cs="Arial"/>
                <w:sz w:val="22"/>
              </w:rPr>
              <w:t>Continual monitoring of arrears and void positions.</w:t>
            </w:r>
          </w:p>
          <w:p w14:paraId="2918B8D5" w14:textId="77777777" w:rsidR="00AF3DCD" w:rsidRPr="00984098" w:rsidRDefault="00AF3DCD" w:rsidP="00D5019B">
            <w:pPr>
              <w:numPr>
                <w:ilvl w:val="0"/>
                <w:numId w:val="7"/>
              </w:numPr>
              <w:rPr>
                <w:rFonts w:ascii="Arial" w:hAnsi="Arial" w:cs="Arial"/>
                <w:sz w:val="22"/>
              </w:rPr>
            </w:pPr>
            <w:r w:rsidRPr="00984098">
              <w:rPr>
                <w:rFonts w:ascii="Arial" w:hAnsi="Arial" w:cs="Arial"/>
                <w:sz w:val="22"/>
              </w:rPr>
              <w:t>Work closely with Benefits Team to consider use of DHP’s where appropriate.</w:t>
            </w:r>
          </w:p>
          <w:p w14:paraId="34777FC6" w14:textId="77777777" w:rsidR="00AF3DCD" w:rsidRPr="00984098" w:rsidRDefault="00AF3DCD" w:rsidP="00D5019B">
            <w:pPr>
              <w:numPr>
                <w:ilvl w:val="0"/>
                <w:numId w:val="7"/>
              </w:numPr>
              <w:rPr>
                <w:rFonts w:ascii="Arial" w:hAnsi="Arial" w:cs="Arial"/>
                <w:sz w:val="22"/>
              </w:rPr>
            </w:pPr>
            <w:r>
              <w:rPr>
                <w:rFonts w:ascii="Arial" w:hAnsi="Arial" w:cs="Arial"/>
                <w:sz w:val="22"/>
              </w:rPr>
              <w:t>Bi-</w:t>
            </w:r>
            <w:r w:rsidRPr="00984098">
              <w:rPr>
                <w:rFonts w:ascii="Arial" w:hAnsi="Arial" w:cs="Arial"/>
                <w:sz w:val="22"/>
              </w:rPr>
              <w:t>Monthly New Homes Board meeting of cross directorate officers monitoring progress of New Build programme and capital &amp; revenue funding</w:t>
            </w:r>
            <w:r>
              <w:rPr>
                <w:rFonts w:ascii="Arial" w:hAnsi="Arial" w:cs="Arial"/>
                <w:sz w:val="22"/>
              </w:rPr>
              <w:t>.</w:t>
            </w:r>
          </w:p>
          <w:p w14:paraId="676D91D7" w14:textId="77777777" w:rsidR="00AF3DCD" w:rsidRPr="00984098" w:rsidRDefault="00AF3DCD" w:rsidP="00D5019B">
            <w:pPr>
              <w:numPr>
                <w:ilvl w:val="0"/>
                <w:numId w:val="7"/>
              </w:numPr>
              <w:rPr>
                <w:rFonts w:ascii="Arial" w:hAnsi="Arial" w:cs="Arial"/>
                <w:sz w:val="22"/>
              </w:rPr>
            </w:pPr>
            <w:r w:rsidRPr="00984098">
              <w:rPr>
                <w:rFonts w:ascii="Arial" w:hAnsi="Arial" w:cs="Arial"/>
                <w:sz w:val="22"/>
              </w:rPr>
              <w:t>Subcontractors engaged to support the void process</w:t>
            </w:r>
            <w:r>
              <w:rPr>
                <w:rFonts w:ascii="Arial" w:hAnsi="Arial" w:cs="Arial"/>
                <w:sz w:val="22"/>
              </w:rPr>
              <w:t>.</w:t>
            </w:r>
          </w:p>
          <w:p w14:paraId="7180C6CF" w14:textId="77777777" w:rsidR="00AF3DCD" w:rsidRPr="00984098" w:rsidRDefault="00AF3DCD" w:rsidP="00D5019B">
            <w:pPr>
              <w:numPr>
                <w:ilvl w:val="0"/>
                <w:numId w:val="7"/>
              </w:numPr>
              <w:rPr>
                <w:rFonts w:ascii="Arial" w:hAnsi="Arial" w:cs="Arial"/>
                <w:sz w:val="22"/>
              </w:rPr>
            </w:pPr>
            <w:r w:rsidRPr="00984098">
              <w:rPr>
                <w:rFonts w:ascii="Arial" w:hAnsi="Arial" w:cs="Arial"/>
                <w:sz w:val="22"/>
              </w:rPr>
              <w:t>RTB disposals reduced following changes to scheme parameters.</w:t>
            </w:r>
          </w:p>
          <w:p w14:paraId="7457EE01" w14:textId="77777777" w:rsidR="00AF3DCD" w:rsidRPr="00984098" w:rsidRDefault="00AF3DCD" w:rsidP="00D5019B">
            <w:pPr>
              <w:numPr>
                <w:ilvl w:val="0"/>
                <w:numId w:val="7"/>
              </w:numPr>
              <w:rPr>
                <w:rFonts w:ascii="Arial" w:hAnsi="Arial" w:cs="Arial"/>
                <w:sz w:val="22"/>
              </w:rPr>
            </w:pPr>
            <w:r w:rsidRPr="00984098">
              <w:rPr>
                <w:rFonts w:ascii="Arial" w:hAnsi="Arial" w:cs="Arial"/>
                <w:sz w:val="22"/>
              </w:rPr>
              <w:t>Respond to consultations on social rent policy</w:t>
            </w:r>
            <w:r>
              <w:rPr>
                <w:rFonts w:ascii="Arial" w:hAnsi="Arial" w:cs="Arial"/>
                <w:sz w:val="22"/>
              </w:rPr>
              <w:t xml:space="preserve"> and rent convergence</w:t>
            </w:r>
          </w:p>
          <w:p w14:paraId="6C529179" w14:textId="77777777" w:rsidR="00AF3DCD" w:rsidRPr="00393DCE" w:rsidRDefault="00AF3DCD" w:rsidP="00D5019B">
            <w:pPr>
              <w:rPr>
                <w:rFonts w:ascii="Arial" w:hAnsi="Arial" w:cs="Arial"/>
                <w:color w:val="0070C0"/>
                <w:sz w:val="22"/>
              </w:rPr>
            </w:pPr>
          </w:p>
        </w:tc>
      </w:tr>
      <w:tr w:rsidR="00E94C11" w:rsidRPr="005C6861" w14:paraId="6FD90200" w14:textId="77777777" w:rsidTr="00991DA6">
        <w:trPr>
          <w:tblHeader/>
        </w:trPr>
        <w:tc>
          <w:tcPr>
            <w:tcW w:w="693" w:type="dxa"/>
            <w:tcBorders>
              <w:top w:val="single" w:sz="4" w:space="0" w:color="auto"/>
              <w:left w:val="single" w:sz="4" w:space="0" w:color="auto"/>
              <w:bottom w:val="single" w:sz="4" w:space="0" w:color="auto"/>
              <w:right w:val="single" w:sz="4" w:space="0" w:color="auto"/>
            </w:tcBorders>
          </w:tcPr>
          <w:p w14:paraId="47A4E25C" w14:textId="3EDC79F6" w:rsidR="00AF3DCD" w:rsidRPr="00D806F1" w:rsidRDefault="00AF3DCD" w:rsidP="00D5019B">
            <w:pPr>
              <w:rPr>
                <w:rFonts w:ascii="Arial" w:hAnsi="Arial" w:cs="Arial"/>
                <w:sz w:val="22"/>
              </w:rPr>
            </w:pPr>
            <w:r w:rsidRPr="00D806F1">
              <w:rPr>
                <w:rFonts w:ascii="Arial" w:hAnsi="Arial" w:cs="Arial"/>
                <w:sz w:val="22"/>
              </w:rPr>
              <w:t>1</w:t>
            </w:r>
            <w:r>
              <w:rPr>
                <w:rFonts w:ascii="Arial" w:hAnsi="Arial" w:cs="Arial"/>
                <w:sz w:val="22"/>
              </w:rPr>
              <w:t>4</w:t>
            </w:r>
          </w:p>
        </w:tc>
        <w:tc>
          <w:tcPr>
            <w:tcW w:w="2108" w:type="dxa"/>
            <w:tcBorders>
              <w:top w:val="single" w:sz="4" w:space="0" w:color="auto"/>
              <w:left w:val="single" w:sz="4" w:space="0" w:color="auto"/>
              <w:bottom w:val="single" w:sz="4" w:space="0" w:color="auto"/>
              <w:right w:val="single" w:sz="4" w:space="0" w:color="auto"/>
            </w:tcBorders>
          </w:tcPr>
          <w:p w14:paraId="1B8CC176" w14:textId="77777777" w:rsidR="00AF3DCD" w:rsidRPr="00D806F1" w:rsidRDefault="00AF3DCD" w:rsidP="00D5019B">
            <w:pPr>
              <w:rPr>
                <w:rFonts w:ascii="Arial" w:hAnsi="Arial" w:cs="Arial"/>
                <w:sz w:val="22"/>
              </w:rPr>
            </w:pPr>
            <w:r w:rsidRPr="00D806F1">
              <w:rPr>
                <w:rFonts w:ascii="Arial" w:hAnsi="Arial" w:cs="Arial"/>
                <w:sz w:val="22"/>
              </w:rPr>
              <w:t>Housing Benefits/Subsidy</w:t>
            </w:r>
          </w:p>
        </w:tc>
        <w:tc>
          <w:tcPr>
            <w:tcW w:w="3420" w:type="dxa"/>
            <w:tcBorders>
              <w:top w:val="single" w:sz="4" w:space="0" w:color="auto"/>
              <w:left w:val="single" w:sz="4" w:space="0" w:color="auto"/>
              <w:bottom w:val="single" w:sz="4" w:space="0" w:color="auto"/>
              <w:right w:val="single" w:sz="4" w:space="0" w:color="auto"/>
            </w:tcBorders>
          </w:tcPr>
          <w:p w14:paraId="01E67DC6" w14:textId="77777777" w:rsidR="00AF3DCD" w:rsidRPr="00D806F1" w:rsidRDefault="00AF3DCD" w:rsidP="00D5019B">
            <w:pPr>
              <w:rPr>
                <w:rFonts w:ascii="Arial" w:hAnsi="Arial" w:cs="Arial"/>
                <w:sz w:val="22"/>
              </w:rPr>
            </w:pPr>
            <w:r w:rsidRPr="00D806F1">
              <w:rPr>
                <w:rFonts w:ascii="Arial" w:hAnsi="Arial" w:cs="Arial"/>
                <w:sz w:val="22"/>
              </w:rPr>
              <w:t>Increase in payments that do not attract 100% subsidy i.e. overpayments and local authority errors</w:t>
            </w:r>
            <w:r>
              <w:rPr>
                <w:rFonts w:ascii="Arial" w:hAnsi="Arial" w:cs="Arial"/>
                <w:sz w:val="22"/>
              </w:rPr>
              <w:t>.</w:t>
            </w:r>
            <w:r w:rsidRPr="00D806F1">
              <w:rPr>
                <w:rFonts w:ascii="Arial" w:hAnsi="Arial" w:cs="Arial"/>
                <w:sz w:val="22"/>
              </w:rPr>
              <w:t xml:space="preserve"> </w:t>
            </w:r>
          </w:p>
          <w:p w14:paraId="0273C75C" w14:textId="77777777" w:rsidR="00AF3DCD" w:rsidRPr="00D806F1" w:rsidRDefault="00AF3DCD" w:rsidP="00D5019B">
            <w:pPr>
              <w:rPr>
                <w:rFonts w:ascii="Arial" w:hAnsi="Arial" w:cs="Arial"/>
                <w:sz w:val="22"/>
              </w:rPr>
            </w:pPr>
          </w:p>
          <w:p w14:paraId="2EB3D144" w14:textId="77777777" w:rsidR="00AF3DCD" w:rsidRPr="00D806F1" w:rsidRDefault="00AF3DCD" w:rsidP="00D5019B">
            <w:pPr>
              <w:rPr>
                <w:rFonts w:ascii="Arial" w:hAnsi="Arial" w:cs="Arial"/>
                <w:sz w:val="22"/>
              </w:rPr>
            </w:pPr>
            <w:r w:rsidRPr="00D806F1">
              <w:rPr>
                <w:rFonts w:ascii="Arial" w:hAnsi="Arial" w:cs="Arial"/>
                <w:sz w:val="22"/>
              </w:rPr>
              <w:t>Failure to comply with complex legislative requirements</w:t>
            </w:r>
            <w:r>
              <w:rPr>
                <w:rFonts w:ascii="Arial" w:hAnsi="Arial" w:cs="Arial"/>
                <w:sz w:val="22"/>
              </w:rPr>
              <w:t>.</w:t>
            </w:r>
          </w:p>
          <w:p w14:paraId="436FFB0F" w14:textId="77777777" w:rsidR="00AF3DCD" w:rsidRPr="00D806F1" w:rsidRDefault="00AF3DCD" w:rsidP="00D5019B">
            <w:pPr>
              <w:rPr>
                <w:rFonts w:ascii="Arial" w:hAnsi="Arial" w:cs="Arial"/>
                <w:sz w:val="22"/>
              </w:rPr>
            </w:pPr>
          </w:p>
          <w:p w14:paraId="39FF4D16" w14:textId="77777777" w:rsidR="00AF3DCD" w:rsidRPr="00D806F1" w:rsidRDefault="00AF3DCD" w:rsidP="00D5019B">
            <w:pPr>
              <w:rPr>
                <w:rFonts w:ascii="Arial" w:hAnsi="Arial" w:cs="Arial"/>
                <w:sz w:val="22"/>
              </w:rPr>
            </w:pPr>
            <w:r w:rsidRPr="00D806F1">
              <w:rPr>
                <w:rFonts w:ascii="Arial" w:hAnsi="Arial" w:cs="Arial"/>
                <w:sz w:val="22"/>
              </w:rPr>
              <w:t>Lack of audit trail to substantiate grant claim</w:t>
            </w:r>
            <w:r>
              <w:rPr>
                <w:rFonts w:ascii="Arial" w:hAnsi="Arial" w:cs="Arial"/>
                <w:sz w:val="22"/>
              </w:rPr>
              <w:t>.</w:t>
            </w:r>
          </w:p>
          <w:p w14:paraId="123D0848" w14:textId="77777777" w:rsidR="00AF3DCD" w:rsidRPr="00D806F1" w:rsidRDefault="00AF3DCD" w:rsidP="00D5019B">
            <w:pPr>
              <w:rPr>
                <w:rFonts w:ascii="Arial" w:hAnsi="Arial" w:cs="Arial"/>
                <w:sz w:val="22"/>
              </w:rPr>
            </w:pPr>
          </w:p>
          <w:p w14:paraId="4A7369FA" w14:textId="77777777" w:rsidR="00AF3DCD" w:rsidRPr="00D806F1" w:rsidRDefault="00AF3DCD" w:rsidP="00D5019B">
            <w:pPr>
              <w:rPr>
                <w:rFonts w:ascii="Arial" w:hAnsi="Arial" w:cs="Arial"/>
                <w:sz w:val="22"/>
              </w:rPr>
            </w:pPr>
            <w:r w:rsidRPr="00D806F1">
              <w:rPr>
                <w:rFonts w:ascii="Arial" w:hAnsi="Arial" w:cs="Arial"/>
                <w:sz w:val="22"/>
              </w:rPr>
              <w:t>Backlog of work</w:t>
            </w:r>
            <w:r>
              <w:rPr>
                <w:rFonts w:ascii="Arial" w:hAnsi="Arial" w:cs="Arial"/>
                <w:sz w:val="22"/>
              </w:rPr>
              <w:t>.</w:t>
            </w:r>
          </w:p>
          <w:p w14:paraId="48B58206" w14:textId="77777777" w:rsidR="00AF3DCD" w:rsidRPr="00D806F1" w:rsidRDefault="00AF3DCD" w:rsidP="00D5019B">
            <w:pPr>
              <w:rPr>
                <w:rFonts w:ascii="Arial" w:hAnsi="Arial" w:cs="Arial"/>
                <w:sz w:val="22"/>
              </w:rPr>
            </w:pPr>
          </w:p>
          <w:p w14:paraId="7649F0BA" w14:textId="77777777" w:rsidR="00AF3DCD" w:rsidRPr="00D806F1" w:rsidRDefault="00AF3DCD" w:rsidP="00D5019B">
            <w:pPr>
              <w:rPr>
                <w:rFonts w:ascii="Arial" w:hAnsi="Arial" w:cs="Arial"/>
                <w:sz w:val="22"/>
              </w:rPr>
            </w:pPr>
            <w:r w:rsidRPr="00D806F1">
              <w:rPr>
                <w:rFonts w:ascii="Arial" w:hAnsi="Arial" w:cs="Arial"/>
                <w:sz w:val="22"/>
              </w:rPr>
              <w:t>Pressures from customer demands and complex enquiries due to welfare changes</w:t>
            </w:r>
            <w:r>
              <w:rPr>
                <w:rFonts w:ascii="Arial" w:hAnsi="Arial" w:cs="Arial"/>
                <w:sz w:val="22"/>
              </w:rPr>
              <w:t>.</w:t>
            </w:r>
          </w:p>
          <w:p w14:paraId="0DA4F387" w14:textId="77777777" w:rsidR="00AF3DCD" w:rsidRPr="00D806F1" w:rsidRDefault="00AF3DCD" w:rsidP="00D5019B">
            <w:pPr>
              <w:rPr>
                <w:rFonts w:ascii="Arial" w:hAnsi="Arial" w:cs="Arial"/>
                <w:sz w:val="22"/>
              </w:rPr>
            </w:pPr>
          </w:p>
          <w:p w14:paraId="0C1F4183" w14:textId="77777777" w:rsidR="00AF3DCD" w:rsidRPr="00D806F1" w:rsidRDefault="00AF3DCD" w:rsidP="00D5019B">
            <w:pPr>
              <w:rPr>
                <w:rFonts w:ascii="Arial" w:hAnsi="Arial" w:cs="Arial"/>
                <w:sz w:val="22"/>
              </w:rPr>
            </w:pPr>
            <w:r w:rsidRPr="00D806F1">
              <w:rPr>
                <w:rFonts w:ascii="Arial" w:hAnsi="Arial" w:cs="Arial"/>
                <w:sz w:val="22"/>
              </w:rPr>
              <w:t>Issues arising from increased use of Bed and Breakfast Accommodation which is capped at LHA levels.</w:t>
            </w:r>
          </w:p>
          <w:p w14:paraId="2620EC4C" w14:textId="77777777" w:rsidR="00AF3DCD" w:rsidRPr="00D806F1" w:rsidRDefault="00AF3DCD" w:rsidP="00D5019B">
            <w:pPr>
              <w:rPr>
                <w:rFonts w:ascii="Arial" w:hAnsi="Arial" w:cs="Arial"/>
                <w:sz w:val="22"/>
              </w:rPr>
            </w:pPr>
          </w:p>
          <w:p w14:paraId="5815F1CE" w14:textId="77777777" w:rsidR="00AF3DCD" w:rsidRPr="00D806F1" w:rsidRDefault="00AF3DCD" w:rsidP="00D5019B">
            <w:pPr>
              <w:rPr>
                <w:rFonts w:ascii="Arial" w:hAnsi="Arial" w:cs="Arial"/>
                <w:sz w:val="22"/>
              </w:rPr>
            </w:pPr>
            <w:r w:rsidRPr="00D806F1">
              <w:rPr>
                <w:rFonts w:ascii="Arial" w:hAnsi="Arial" w:cs="Arial"/>
                <w:sz w:val="22"/>
              </w:rPr>
              <w:t>Increased usage/provision of supported/exempt accommodation above Rent Officer levels.</w:t>
            </w:r>
          </w:p>
          <w:p w14:paraId="5CEA4FA4" w14:textId="77777777" w:rsidR="00AF3DCD" w:rsidRPr="00D806F1" w:rsidRDefault="00AF3DCD" w:rsidP="00D5019B">
            <w:pP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FFC000"/>
          </w:tcPr>
          <w:p w14:paraId="23FE1E52" w14:textId="77777777" w:rsidR="00AF3DCD" w:rsidRPr="00D806F1" w:rsidRDefault="00AF3DCD" w:rsidP="00D5019B">
            <w:pPr>
              <w:jc w:val="center"/>
              <w:rPr>
                <w:rFonts w:ascii="Arial" w:hAnsi="Arial" w:cs="Arial"/>
                <w:sz w:val="22"/>
              </w:rPr>
            </w:pPr>
          </w:p>
          <w:p w14:paraId="66DDFE29" w14:textId="77777777" w:rsidR="00AF3DCD" w:rsidRPr="00D806F1" w:rsidRDefault="00AF3DCD" w:rsidP="00D5019B">
            <w:pPr>
              <w:jc w:val="center"/>
              <w:rPr>
                <w:rFonts w:ascii="Arial" w:hAnsi="Arial" w:cs="Arial"/>
                <w:b/>
                <w:bCs/>
                <w:sz w:val="22"/>
              </w:rPr>
            </w:pPr>
            <w:r w:rsidRPr="00D806F1">
              <w:rPr>
                <w:rFonts w:ascii="Arial" w:hAnsi="Arial" w:cs="Arial"/>
                <w:b/>
                <w:bCs/>
                <w:sz w:val="22"/>
              </w:rPr>
              <w:t xml:space="preserve">Total Score: </w:t>
            </w:r>
            <w:r>
              <w:rPr>
                <w:rFonts w:ascii="Arial" w:hAnsi="Arial" w:cs="Arial"/>
                <w:b/>
                <w:bCs/>
                <w:sz w:val="22"/>
              </w:rPr>
              <w:t>6</w:t>
            </w:r>
          </w:p>
          <w:p w14:paraId="6D6C6AF2" w14:textId="77777777" w:rsidR="00AF3DCD" w:rsidRPr="00D806F1" w:rsidRDefault="00AF3DCD" w:rsidP="00D5019B">
            <w:pPr>
              <w:jc w:val="center"/>
              <w:rPr>
                <w:rFonts w:ascii="Arial" w:hAnsi="Arial" w:cs="Arial"/>
                <w:sz w:val="22"/>
              </w:rPr>
            </w:pPr>
          </w:p>
          <w:p w14:paraId="734FB002" w14:textId="77777777" w:rsidR="00AF3DCD" w:rsidRPr="00D806F1" w:rsidRDefault="00AF3DCD" w:rsidP="00D5019B">
            <w:pPr>
              <w:jc w:val="center"/>
              <w:rPr>
                <w:rFonts w:ascii="Arial" w:hAnsi="Arial" w:cs="Arial"/>
                <w:sz w:val="22"/>
              </w:rPr>
            </w:pPr>
            <w:r w:rsidRPr="00D806F1">
              <w:rPr>
                <w:rFonts w:ascii="Arial" w:hAnsi="Arial" w:cs="Arial"/>
                <w:sz w:val="22"/>
              </w:rPr>
              <w:t>Likelihood: 3</w:t>
            </w:r>
          </w:p>
          <w:p w14:paraId="532044B8" w14:textId="77777777" w:rsidR="00AF3DCD" w:rsidRPr="00D806F1" w:rsidRDefault="00AF3DCD" w:rsidP="00D5019B">
            <w:pPr>
              <w:jc w:val="center"/>
              <w:rPr>
                <w:rFonts w:ascii="Arial" w:hAnsi="Arial" w:cs="Arial"/>
                <w:sz w:val="22"/>
              </w:rPr>
            </w:pPr>
            <w:r w:rsidRPr="00D806F1">
              <w:rPr>
                <w:rFonts w:ascii="Arial" w:hAnsi="Arial" w:cs="Arial"/>
                <w:sz w:val="22"/>
              </w:rPr>
              <w:t xml:space="preserve">Impact: </w:t>
            </w:r>
            <w:r>
              <w:rPr>
                <w:rFonts w:ascii="Arial" w:hAnsi="Arial" w:cs="Arial"/>
                <w:sz w:val="22"/>
              </w:rPr>
              <w:t>2</w:t>
            </w:r>
          </w:p>
        </w:tc>
        <w:tc>
          <w:tcPr>
            <w:tcW w:w="1926" w:type="dxa"/>
            <w:tcBorders>
              <w:top w:val="single" w:sz="4" w:space="0" w:color="auto"/>
              <w:left w:val="single" w:sz="4" w:space="0" w:color="auto"/>
              <w:bottom w:val="single" w:sz="4" w:space="0" w:color="auto"/>
              <w:right w:val="single" w:sz="4" w:space="0" w:color="auto"/>
            </w:tcBorders>
            <w:shd w:val="clear" w:color="auto" w:fill="FFC000" w:themeFill="accent4"/>
          </w:tcPr>
          <w:p w14:paraId="17F93AC3" w14:textId="77777777" w:rsidR="00AF3DCD" w:rsidRPr="00D806F1" w:rsidRDefault="00AF3DCD" w:rsidP="00D5019B">
            <w:pPr>
              <w:jc w:val="center"/>
              <w:rPr>
                <w:rFonts w:ascii="Arial" w:hAnsi="Arial" w:cs="Arial"/>
                <w:sz w:val="22"/>
              </w:rPr>
            </w:pPr>
          </w:p>
          <w:p w14:paraId="4F4FFE3D" w14:textId="77777777" w:rsidR="00AF3DCD" w:rsidRPr="00D806F1" w:rsidRDefault="00AF3DCD" w:rsidP="00D5019B">
            <w:pPr>
              <w:jc w:val="center"/>
              <w:rPr>
                <w:rFonts w:ascii="Arial" w:hAnsi="Arial" w:cs="Arial"/>
                <w:b/>
                <w:sz w:val="22"/>
              </w:rPr>
            </w:pPr>
            <w:r w:rsidRPr="00D806F1">
              <w:rPr>
                <w:rFonts w:ascii="Arial" w:hAnsi="Arial" w:cs="Arial"/>
                <w:b/>
                <w:sz w:val="22"/>
              </w:rPr>
              <w:t xml:space="preserve">Total Score: </w:t>
            </w:r>
            <w:r>
              <w:rPr>
                <w:rFonts w:ascii="Arial" w:hAnsi="Arial" w:cs="Arial"/>
                <w:b/>
                <w:bCs/>
                <w:sz w:val="22"/>
              </w:rPr>
              <w:t>9</w:t>
            </w:r>
          </w:p>
          <w:p w14:paraId="4AD95B3A" w14:textId="77777777" w:rsidR="00AF3DCD" w:rsidRPr="00D806F1" w:rsidRDefault="00AF3DCD" w:rsidP="00D5019B">
            <w:pPr>
              <w:jc w:val="center"/>
              <w:rPr>
                <w:rFonts w:ascii="Arial" w:hAnsi="Arial" w:cs="Arial"/>
                <w:sz w:val="22"/>
              </w:rPr>
            </w:pPr>
          </w:p>
          <w:p w14:paraId="0F8D9D96" w14:textId="77777777" w:rsidR="00AF3DCD" w:rsidRPr="00D806F1" w:rsidRDefault="00AF3DCD" w:rsidP="00D5019B">
            <w:pPr>
              <w:jc w:val="center"/>
              <w:rPr>
                <w:rFonts w:ascii="Arial" w:hAnsi="Arial" w:cs="Arial"/>
                <w:sz w:val="22"/>
              </w:rPr>
            </w:pPr>
            <w:r w:rsidRPr="00D806F1">
              <w:rPr>
                <w:rFonts w:ascii="Arial" w:hAnsi="Arial" w:cs="Arial"/>
                <w:sz w:val="22"/>
              </w:rPr>
              <w:t>Likelihood: 3</w:t>
            </w:r>
          </w:p>
          <w:p w14:paraId="46E32AFB" w14:textId="77777777" w:rsidR="00AF3DCD" w:rsidRPr="00D806F1" w:rsidRDefault="00AF3DCD" w:rsidP="00D5019B">
            <w:pPr>
              <w:jc w:val="center"/>
              <w:rPr>
                <w:rFonts w:ascii="Arial" w:hAnsi="Arial" w:cs="Arial"/>
                <w:sz w:val="22"/>
              </w:rPr>
            </w:pPr>
            <w:r w:rsidRPr="00D806F1">
              <w:rPr>
                <w:rFonts w:ascii="Arial" w:hAnsi="Arial" w:cs="Arial"/>
                <w:sz w:val="22"/>
              </w:rPr>
              <w:t xml:space="preserve">Impact: </w:t>
            </w:r>
            <w:r>
              <w:rPr>
                <w:rFonts w:ascii="Arial" w:hAnsi="Arial" w:cs="Arial"/>
                <w:sz w:val="22"/>
              </w:rPr>
              <w:t>3</w:t>
            </w:r>
          </w:p>
        </w:tc>
        <w:tc>
          <w:tcPr>
            <w:tcW w:w="5276" w:type="dxa"/>
            <w:tcBorders>
              <w:top w:val="single" w:sz="4" w:space="0" w:color="auto"/>
              <w:left w:val="single" w:sz="4" w:space="0" w:color="auto"/>
              <w:bottom w:val="single" w:sz="4" w:space="0" w:color="auto"/>
              <w:right w:val="single" w:sz="4" w:space="0" w:color="auto"/>
            </w:tcBorders>
          </w:tcPr>
          <w:p w14:paraId="13F4AE76" w14:textId="77777777" w:rsidR="00AF3DCD" w:rsidRPr="00D806F1" w:rsidRDefault="00AF3DCD" w:rsidP="00D5019B">
            <w:pPr>
              <w:numPr>
                <w:ilvl w:val="0"/>
                <w:numId w:val="5"/>
              </w:numPr>
              <w:rPr>
                <w:rFonts w:ascii="Arial" w:hAnsi="Arial" w:cs="Arial"/>
                <w:sz w:val="22"/>
              </w:rPr>
            </w:pPr>
            <w:r w:rsidRPr="00D806F1">
              <w:rPr>
                <w:rFonts w:ascii="Arial" w:hAnsi="Arial" w:cs="Arial"/>
                <w:sz w:val="22"/>
              </w:rPr>
              <w:t>Regular monitoring of claims being processed</w:t>
            </w:r>
          </w:p>
          <w:p w14:paraId="2CD59F17" w14:textId="77777777" w:rsidR="00AF3DCD" w:rsidRPr="00D806F1" w:rsidRDefault="00AF3DCD" w:rsidP="00D5019B">
            <w:pPr>
              <w:numPr>
                <w:ilvl w:val="0"/>
                <w:numId w:val="5"/>
              </w:numPr>
              <w:rPr>
                <w:rFonts w:ascii="Arial" w:hAnsi="Arial" w:cs="Arial"/>
                <w:sz w:val="22"/>
              </w:rPr>
            </w:pPr>
            <w:r w:rsidRPr="00D806F1">
              <w:rPr>
                <w:rFonts w:ascii="Arial" w:hAnsi="Arial" w:cs="Arial"/>
                <w:sz w:val="22"/>
              </w:rPr>
              <w:t>Undertake staff training and sample accuracy checks</w:t>
            </w:r>
            <w:r>
              <w:rPr>
                <w:rFonts w:ascii="Arial" w:hAnsi="Arial" w:cs="Arial"/>
                <w:sz w:val="22"/>
              </w:rPr>
              <w:t>.</w:t>
            </w:r>
          </w:p>
          <w:p w14:paraId="1A44EE01" w14:textId="77777777" w:rsidR="00AF3DCD" w:rsidRPr="00D806F1" w:rsidRDefault="00AF3DCD" w:rsidP="00D5019B">
            <w:pPr>
              <w:numPr>
                <w:ilvl w:val="0"/>
                <w:numId w:val="5"/>
              </w:numPr>
              <w:rPr>
                <w:rFonts w:ascii="Arial" w:hAnsi="Arial" w:cs="Arial"/>
                <w:sz w:val="22"/>
              </w:rPr>
            </w:pPr>
            <w:r w:rsidRPr="00D806F1">
              <w:rPr>
                <w:rFonts w:ascii="Arial" w:hAnsi="Arial" w:cs="Arial"/>
                <w:sz w:val="22"/>
              </w:rPr>
              <w:t>Ensure system backups are carried out and historic information is recoverable</w:t>
            </w:r>
            <w:r>
              <w:rPr>
                <w:rFonts w:ascii="Arial" w:hAnsi="Arial" w:cs="Arial"/>
                <w:sz w:val="22"/>
              </w:rPr>
              <w:t>.</w:t>
            </w:r>
          </w:p>
          <w:p w14:paraId="616B5C20" w14:textId="77777777" w:rsidR="00AF3DCD" w:rsidRPr="00D806F1" w:rsidRDefault="00AF3DCD" w:rsidP="00D5019B">
            <w:pPr>
              <w:numPr>
                <w:ilvl w:val="0"/>
                <w:numId w:val="5"/>
              </w:numPr>
              <w:rPr>
                <w:rFonts w:ascii="Arial" w:hAnsi="Arial" w:cs="Arial"/>
                <w:sz w:val="22"/>
              </w:rPr>
            </w:pPr>
            <w:r w:rsidRPr="00D806F1">
              <w:rPr>
                <w:rFonts w:ascii="Arial" w:hAnsi="Arial" w:cs="Arial"/>
                <w:sz w:val="22"/>
              </w:rPr>
              <w:t>Continue to lobby/raise awareness with Government of issues arising from use of temporary and support/exempt accommodation and levels of LHA rates for subsidy reimbursement.</w:t>
            </w:r>
          </w:p>
          <w:p w14:paraId="6EBA2791" w14:textId="77777777" w:rsidR="00AF3DCD" w:rsidRPr="00D806F1" w:rsidRDefault="00AF3DCD" w:rsidP="00D5019B">
            <w:pPr>
              <w:numPr>
                <w:ilvl w:val="0"/>
                <w:numId w:val="5"/>
              </w:numPr>
              <w:rPr>
                <w:rFonts w:ascii="Arial" w:hAnsi="Arial" w:cs="Arial"/>
                <w:sz w:val="22"/>
              </w:rPr>
            </w:pPr>
            <w:r w:rsidRPr="00D806F1">
              <w:rPr>
                <w:rFonts w:ascii="Arial" w:hAnsi="Arial" w:cs="Arial"/>
                <w:sz w:val="22"/>
              </w:rPr>
              <w:t>Close monitoring of temporary accommodation between Housing and Benefits Team.</w:t>
            </w:r>
          </w:p>
          <w:p w14:paraId="768CCDC0" w14:textId="77777777" w:rsidR="00AF3DCD" w:rsidRPr="00D806F1" w:rsidRDefault="00AF3DCD" w:rsidP="00D5019B">
            <w:pPr>
              <w:numPr>
                <w:ilvl w:val="0"/>
                <w:numId w:val="5"/>
              </w:numPr>
              <w:rPr>
                <w:rFonts w:ascii="Arial" w:hAnsi="Arial" w:cs="Arial"/>
                <w:sz w:val="22"/>
              </w:rPr>
            </w:pPr>
            <w:r w:rsidRPr="00D806F1">
              <w:rPr>
                <w:rFonts w:ascii="Arial" w:hAnsi="Arial" w:cs="Arial"/>
                <w:sz w:val="22"/>
              </w:rPr>
              <w:t>Links to wider issue around the availability of temporary accommodation within the City and interventions that are being sought – see service demands re affordable housing and interventions to be undertaken</w:t>
            </w:r>
            <w:r>
              <w:rPr>
                <w:rFonts w:ascii="Arial" w:hAnsi="Arial" w:cs="Arial"/>
                <w:sz w:val="22"/>
              </w:rPr>
              <w:t>.</w:t>
            </w:r>
          </w:p>
          <w:p w14:paraId="12BE2422" w14:textId="77777777" w:rsidR="00AF3DCD" w:rsidRPr="00D806F1" w:rsidRDefault="00AF3DCD" w:rsidP="00D5019B">
            <w:pPr>
              <w:numPr>
                <w:ilvl w:val="0"/>
                <w:numId w:val="5"/>
              </w:numPr>
              <w:rPr>
                <w:rFonts w:ascii="Arial" w:hAnsi="Arial" w:cs="Arial"/>
                <w:sz w:val="22"/>
              </w:rPr>
            </w:pPr>
            <w:r w:rsidRPr="00D806F1">
              <w:rPr>
                <w:rFonts w:ascii="Arial" w:hAnsi="Arial" w:cs="Arial"/>
                <w:sz w:val="22"/>
              </w:rPr>
              <w:t>MTFS budgets refreshed to reflect increased demand in short term.</w:t>
            </w:r>
          </w:p>
          <w:p w14:paraId="237CD6B0" w14:textId="77777777" w:rsidR="00AF3DCD" w:rsidRPr="00A37B5D" w:rsidRDefault="00AF3DCD" w:rsidP="00D5019B">
            <w:pPr>
              <w:tabs>
                <w:tab w:val="num" w:pos="473"/>
              </w:tabs>
              <w:ind w:left="454" w:hanging="341"/>
              <w:rPr>
                <w:rFonts w:ascii="Arial" w:hAnsi="Arial" w:cs="Arial"/>
                <w:sz w:val="22"/>
              </w:rPr>
            </w:pPr>
          </w:p>
          <w:p w14:paraId="0744E978" w14:textId="77777777" w:rsidR="00AF3DCD" w:rsidRPr="00A37B5D" w:rsidRDefault="00AF3DCD" w:rsidP="00D5019B">
            <w:pPr>
              <w:tabs>
                <w:tab w:val="num" w:pos="473"/>
              </w:tabs>
              <w:ind w:left="454" w:hanging="341"/>
              <w:rPr>
                <w:rFonts w:ascii="Arial" w:hAnsi="Arial" w:cs="Arial"/>
                <w:sz w:val="22"/>
              </w:rPr>
            </w:pPr>
          </w:p>
          <w:p w14:paraId="79BD57AA" w14:textId="77777777" w:rsidR="00AF3DCD" w:rsidRPr="00A37B5D" w:rsidRDefault="00AF3DCD" w:rsidP="00D5019B">
            <w:pPr>
              <w:tabs>
                <w:tab w:val="num" w:pos="473"/>
              </w:tabs>
              <w:ind w:left="454" w:hanging="341"/>
              <w:rPr>
                <w:rFonts w:ascii="Arial" w:hAnsi="Arial" w:cs="Arial"/>
                <w:sz w:val="22"/>
              </w:rPr>
            </w:pPr>
          </w:p>
        </w:tc>
      </w:tr>
      <w:tr w:rsidR="00E94C11" w:rsidRPr="005C6861" w14:paraId="509E637B" w14:textId="77777777" w:rsidTr="00991DA6">
        <w:trPr>
          <w:tblHeader/>
        </w:trPr>
        <w:tc>
          <w:tcPr>
            <w:tcW w:w="693" w:type="dxa"/>
          </w:tcPr>
          <w:p w14:paraId="4CB52760" w14:textId="437F2D48" w:rsidR="00AF3DCD" w:rsidRPr="002F3F06" w:rsidRDefault="00AF3DCD" w:rsidP="00D5019B">
            <w:pPr>
              <w:rPr>
                <w:rFonts w:ascii="Arial" w:hAnsi="Arial" w:cs="Arial"/>
                <w:sz w:val="22"/>
              </w:rPr>
            </w:pPr>
            <w:r w:rsidRPr="002F3F06">
              <w:rPr>
                <w:rFonts w:ascii="Arial" w:hAnsi="Arial" w:cs="Arial"/>
                <w:sz w:val="22"/>
              </w:rPr>
              <w:t>1</w:t>
            </w:r>
            <w:r>
              <w:rPr>
                <w:rFonts w:ascii="Arial" w:hAnsi="Arial" w:cs="Arial"/>
                <w:sz w:val="22"/>
              </w:rPr>
              <w:t>5</w:t>
            </w:r>
          </w:p>
        </w:tc>
        <w:tc>
          <w:tcPr>
            <w:tcW w:w="2108" w:type="dxa"/>
          </w:tcPr>
          <w:p w14:paraId="5CB46757" w14:textId="77777777" w:rsidR="00AF3DCD" w:rsidRPr="002F3F06" w:rsidRDefault="00AF3DCD" w:rsidP="00D5019B">
            <w:pPr>
              <w:rPr>
                <w:rFonts w:ascii="Arial" w:hAnsi="Arial" w:cs="Arial"/>
                <w:sz w:val="22"/>
              </w:rPr>
            </w:pPr>
            <w:r w:rsidRPr="002F3F06">
              <w:rPr>
                <w:rFonts w:ascii="Arial" w:hAnsi="Arial" w:cs="Arial"/>
                <w:sz w:val="22"/>
              </w:rPr>
              <w:t>Council Tax Base &amp; Council Tax Support Scheme</w:t>
            </w:r>
          </w:p>
          <w:p w14:paraId="0FED49CD" w14:textId="77777777" w:rsidR="00AF3DCD" w:rsidRPr="002F3F06" w:rsidRDefault="00AF3DCD" w:rsidP="00D5019B">
            <w:pPr>
              <w:jc w:val="right"/>
              <w:rPr>
                <w:rFonts w:ascii="Arial" w:hAnsi="Arial" w:cs="Arial"/>
                <w:sz w:val="22"/>
              </w:rPr>
            </w:pPr>
          </w:p>
        </w:tc>
        <w:tc>
          <w:tcPr>
            <w:tcW w:w="3420" w:type="dxa"/>
            <w:tcBorders>
              <w:bottom w:val="single" w:sz="4" w:space="0" w:color="auto"/>
            </w:tcBorders>
          </w:tcPr>
          <w:p w14:paraId="1D35051B" w14:textId="77777777" w:rsidR="00AF3DCD" w:rsidRPr="002F3F06" w:rsidRDefault="00AF3DCD" w:rsidP="00D5019B">
            <w:pPr>
              <w:rPr>
                <w:rFonts w:ascii="Arial" w:hAnsi="Arial" w:cs="Arial"/>
                <w:sz w:val="22"/>
              </w:rPr>
            </w:pPr>
            <w:r w:rsidRPr="002F3F06">
              <w:rPr>
                <w:rFonts w:ascii="Arial" w:hAnsi="Arial" w:cs="Arial"/>
                <w:sz w:val="22"/>
              </w:rPr>
              <w:t>In year variations to budget not containable within Collection Fund balances</w:t>
            </w:r>
          </w:p>
          <w:p w14:paraId="1611A92A" w14:textId="77777777" w:rsidR="00AF3DCD" w:rsidRPr="002F3F06" w:rsidRDefault="00AF3DCD" w:rsidP="00D5019B">
            <w:pPr>
              <w:rPr>
                <w:rFonts w:ascii="Arial" w:hAnsi="Arial" w:cs="Arial"/>
                <w:sz w:val="22"/>
              </w:rPr>
            </w:pPr>
          </w:p>
          <w:p w14:paraId="3E936741" w14:textId="77777777" w:rsidR="00AF3DCD" w:rsidRPr="002F3F06" w:rsidRDefault="00AF3DCD" w:rsidP="00D5019B">
            <w:pPr>
              <w:rPr>
                <w:rFonts w:ascii="Arial" w:hAnsi="Arial" w:cs="Arial"/>
                <w:sz w:val="22"/>
              </w:rPr>
            </w:pPr>
            <w:r w:rsidRPr="002F3F06">
              <w:rPr>
                <w:rFonts w:ascii="Arial" w:hAnsi="Arial" w:cs="Arial"/>
                <w:sz w:val="22"/>
              </w:rPr>
              <w:t>Reduction in income/declared deficits due to:</w:t>
            </w:r>
          </w:p>
          <w:p w14:paraId="37ED0EE4" w14:textId="77777777" w:rsidR="00AF3DCD" w:rsidRPr="002F3F06" w:rsidRDefault="00AF3DCD" w:rsidP="00D5019B">
            <w:pPr>
              <w:numPr>
                <w:ilvl w:val="0"/>
                <w:numId w:val="17"/>
              </w:numPr>
              <w:rPr>
                <w:rFonts w:ascii="Arial" w:hAnsi="Arial" w:cs="Arial"/>
                <w:sz w:val="22"/>
              </w:rPr>
            </w:pPr>
            <w:r w:rsidRPr="002F3F06">
              <w:rPr>
                <w:rFonts w:ascii="Arial" w:hAnsi="Arial" w:cs="Arial"/>
                <w:sz w:val="22"/>
              </w:rPr>
              <w:t>Actual CT base different to estimate</w:t>
            </w:r>
          </w:p>
          <w:p w14:paraId="1C611859" w14:textId="77777777" w:rsidR="00AF3DCD" w:rsidRPr="002F3F06" w:rsidRDefault="00AF3DCD" w:rsidP="00D5019B">
            <w:pPr>
              <w:numPr>
                <w:ilvl w:val="0"/>
                <w:numId w:val="17"/>
              </w:numPr>
              <w:rPr>
                <w:rFonts w:ascii="Arial" w:hAnsi="Arial" w:cs="Arial"/>
                <w:sz w:val="22"/>
              </w:rPr>
            </w:pPr>
            <w:r w:rsidRPr="002F3F06">
              <w:rPr>
                <w:rFonts w:ascii="Arial" w:hAnsi="Arial" w:cs="Arial"/>
                <w:sz w:val="22"/>
              </w:rPr>
              <w:t>Collection rates/bad debt provisions</w:t>
            </w:r>
          </w:p>
          <w:p w14:paraId="53EFC7CD" w14:textId="77777777" w:rsidR="00AF3DCD" w:rsidRPr="002F3F06" w:rsidRDefault="00AF3DCD" w:rsidP="00D5019B">
            <w:pPr>
              <w:numPr>
                <w:ilvl w:val="0"/>
                <w:numId w:val="17"/>
              </w:numPr>
              <w:rPr>
                <w:rFonts w:ascii="Arial" w:hAnsi="Arial" w:cs="Arial"/>
                <w:sz w:val="22"/>
              </w:rPr>
            </w:pPr>
            <w:r w:rsidRPr="002F3F06">
              <w:rPr>
                <w:rFonts w:ascii="Arial" w:hAnsi="Arial" w:cs="Arial"/>
                <w:sz w:val="22"/>
              </w:rPr>
              <w:t>Increase in LCTS caseload or reduction not as anticipated.</w:t>
            </w:r>
          </w:p>
          <w:p w14:paraId="30D0E987" w14:textId="77777777" w:rsidR="00AF3DCD" w:rsidRPr="002F3F06" w:rsidRDefault="00AF3DCD" w:rsidP="00D5019B">
            <w:pPr>
              <w:numPr>
                <w:ilvl w:val="0"/>
                <w:numId w:val="17"/>
              </w:numPr>
              <w:rPr>
                <w:rFonts w:ascii="Arial" w:hAnsi="Arial" w:cs="Arial"/>
                <w:sz w:val="22"/>
              </w:rPr>
            </w:pPr>
            <w:r w:rsidRPr="002F3F06">
              <w:rPr>
                <w:rFonts w:ascii="Arial" w:hAnsi="Arial" w:cs="Arial"/>
                <w:sz w:val="22"/>
              </w:rPr>
              <w:t>Referendum rate of CT increases below budgeted rate</w:t>
            </w:r>
          </w:p>
          <w:p w14:paraId="599BA2A7" w14:textId="77777777" w:rsidR="00AF3DCD" w:rsidRPr="002F3F06" w:rsidRDefault="00AF3DCD" w:rsidP="00D5019B">
            <w:pPr>
              <w:rPr>
                <w:rFonts w:ascii="Arial" w:hAnsi="Arial" w:cs="Arial"/>
                <w:sz w:val="22"/>
              </w:rPr>
            </w:pPr>
          </w:p>
        </w:tc>
        <w:tc>
          <w:tcPr>
            <w:tcW w:w="1980" w:type="dxa"/>
            <w:tcBorders>
              <w:bottom w:val="single" w:sz="4" w:space="0" w:color="auto"/>
            </w:tcBorders>
            <w:shd w:val="clear" w:color="auto" w:fill="FFC000" w:themeFill="accent4"/>
          </w:tcPr>
          <w:p w14:paraId="42BBCCDD" w14:textId="77777777" w:rsidR="00AF3DCD" w:rsidRPr="002F3F06" w:rsidRDefault="00AF3DCD" w:rsidP="00D5019B">
            <w:pPr>
              <w:jc w:val="center"/>
              <w:rPr>
                <w:rFonts w:ascii="Arial" w:hAnsi="Arial" w:cs="Arial"/>
                <w:color w:val="0070C0"/>
                <w:sz w:val="22"/>
              </w:rPr>
            </w:pPr>
          </w:p>
          <w:p w14:paraId="39AF1F37" w14:textId="77777777" w:rsidR="00AF3DCD" w:rsidRPr="002F3F06" w:rsidRDefault="00AF3DCD" w:rsidP="00D5019B">
            <w:pPr>
              <w:jc w:val="center"/>
              <w:rPr>
                <w:rFonts w:ascii="Arial" w:hAnsi="Arial" w:cs="Arial"/>
                <w:b/>
                <w:sz w:val="22"/>
                <w:szCs w:val="22"/>
              </w:rPr>
            </w:pPr>
            <w:r w:rsidRPr="002F3F06">
              <w:rPr>
                <w:rFonts w:ascii="Arial" w:hAnsi="Arial" w:cs="Arial"/>
                <w:b/>
                <w:sz w:val="22"/>
                <w:szCs w:val="22"/>
              </w:rPr>
              <w:t>Total Score: 6</w:t>
            </w:r>
          </w:p>
          <w:p w14:paraId="0E4D4E29" w14:textId="77777777" w:rsidR="00AF3DCD" w:rsidRPr="002F3F06" w:rsidRDefault="00AF3DCD" w:rsidP="00D5019B">
            <w:pPr>
              <w:jc w:val="center"/>
              <w:rPr>
                <w:rFonts w:ascii="Arial" w:hAnsi="Arial" w:cs="Arial"/>
                <w:sz w:val="22"/>
                <w:szCs w:val="22"/>
              </w:rPr>
            </w:pPr>
          </w:p>
          <w:p w14:paraId="46BC31D1" w14:textId="77777777" w:rsidR="00AF3DCD" w:rsidRPr="002F3F06" w:rsidRDefault="00AF3DCD" w:rsidP="00D5019B">
            <w:pPr>
              <w:jc w:val="center"/>
              <w:rPr>
                <w:rFonts w:ascii="Arial" w:hAnsi="Arial" w:cs="Arial"/>
                <w:sz w:val="22"/>
                <w:szCs w:val="22"/>
              </w:rPr>
            </w:pPr>
            <w:r w:rsidRPr="002F3F06">
              <w:rPr>
                <w:rFonts w:ascii="Arial" w:hAnsi="Arial" w:cs="Arial"/>
                <w:sz w:val="22"/>
                <w:szCs w:val="22"/>
              </w:rPr>
              <w:t>Likelihood: 3</w:t>
            </w:r>
          </w:p>
          <w:p w14:paraId="3CCFFE3C" w14:textId="77777777" w:rsidR="00AF3DCD" w:rsidRPr="002F3F06" w:rsidRDefault="00AF3DCD" w:rsidP="00D5019B">
            <w:pPr>
              <w:jc w:val="center"/>
              <w:rPr>
                <w:rFonts w:ascii="Arial" w:hAnsi="Arial" w:cs="Arial"/>
                <w:color w:val="0070C0"/>
                <w:sz w:val="22"/>
              </w:rPr>
            </w:pPr>
            <w:r w:rsidRPr="002F3F06">
              <w:rPr>
                <w:rFonts w:ascii="Arial" w:hAnsi="Arial" w:cs="Arial"/>
                <w:sz w:val="22"/>
                <w:szCs w:val="22"/>
              </w:rPr>
              <w:t>Impact: 2</w:t>
            </w:r>
          </w:p>
        </w:tc>
        <w:tc>
          <w:tcPr>
            <w:tcW w:w="1926" w:type="dxa"/>
            <w:tcBorders>
              <w:bottom w:val="single" w:sz="4" w:space="0" w:color="auto"/>
            </w:tcBorders>
            <w:shd w:val="clear" w:color="auto" w:fill="FFC000" w:themeFill="accent4"/>
          </w:tcPr>
          <w:p w14:paraId="12591F70" w14:textId="77777777" w:rsidR="00AF3DCD" w:rsidRPr="002F3F06" w:rsidRDefault="00AF3DCD" w:rsidP="00D5019B">
            <w:pPr>
              <w:jc w:val="center"/>
              <w:rPr>
                <w:rFonts w:ascii="Arial" w:hAnsi="Arial" w:cs="Arial"/>
                <w:color w:val="0070C0"/>
                <w:sz w:val="22"/>
              </w:rPr>
            </w:pPr>
          </w:p>
          <w:p w14:paraId="0017C4C9" w14:textId="77777777" w:rsidR="00AF3DCD" w:rsidRPr="002F3F06" w:rsidRDefault="00AF3DCD" w:rsidP="00D5019B">
            <w:pPr>
              <w:jc w:val="center"/>
              <w:rPr>
                <w:rFonts w:ascii="Arial" w:hAnsi="Arial" w:cs="Arial"/>
                <w:b/>
                <w:sz w:val="22"/>
                <w:szCs w:val="22"/>
              </w:rPr>
            </w:pPr>
            <w:r w:rsidRPr="002F3F06">
              <w:rPr>
                <w:rFonts w:ascii="Arial" w:hAnsi="Arial" w:cs="Arial"/>
                <w:b/>
                <w:sz w:val="22"/>
                <w:szCs w:val="22"/>
              </w:rPr>
              <w:t>Total Score: 6</w:t>
            </w:r>
          </w:p>
          <w:p w14:paraId="2AE5163B" w14:textId="77777777" w:rsidR="00AF3DCD" w:rsidRPr="002F3F06" w:rsidRDefault="00AF3DCD" w:rsidP="00D5019B">
            <w:pPr>
              <w:jc w:val="center"/>
              <w:rPr>
                <w:rFonts w:ascii="Arial" w:hAnsi="Arial" w:cs="Arial"/>
                <w:sz w:val="22"/>
                <w:szCs w:val="22"/>
              </w:rPr>
            </w:pPr>
          </w:p>
          <w:p w14:paraId="3192ACA7" w14:textId="77777777" w:rsidR="00AF3DCD" w:rsidRPr="002F3F06" w:rsidRDefault="00AF3DCD" w:rsidP="00D5019B">
            <w:pPr>
              <w:jc w:val="center"/>
              <w:rPr>
                <w:rFonts w:ascii="Arial" w:hAnsi="Arial" w:cs="Arial"/>
                <w:sz w:val="22"/>
                <w:szCs w:val="22"/>
              </w:rPr>
            </w:pPr>
            <w:r w:rsidRPr="002F3F06">
              <w:rPr>
                <w:rFonts w:ascii="Arial" w:hAnsi="Arial" w:cs="Arial"/>
                <w:sz w:val="22"/>
                <w:szCs w:val="22"/>
              </w:rPr>
              <w:t>Likelihood: 3</w:t>
            </w:r>
          </w:p>
          <w:p w14:paraId="62F65443" w14:textId="77777777" w:rsidR="00AF3DCD" w:rsidRPr="002F3F06" w:rsidRDefault="00AF3DCD" w:rsidP="00D5019B">
            <w:pPr>
              <w:jc w:val="center"/>
              <w:rPr>
                <w:rFonts w:ascii="Arial" w:hAnsi="Arial" w:cs="Arial"/>
                <w:color w:val="0070C0"/>
                <w:sz w:val="22"/>
              </w:rPr>
            </w:pPr>
            <w:r w:rsidRPr="002F3F06">
              <w:rPr>
                <w:rFonts w:ascii="Arial" w:hAnsi="Arial" w:cs="Arial"/>
                <w:sz w:val="22"/>
                <w:szCs w:val="22"/>
              </w:rPr>
              <w:t>Impact: 2</w:t>
            </w:r>
          </w:p>
        </w:tc>
        <w:tc>
          <w:tcPr>
            <w:tcW w:w="5276" w:type="dxa"/>
            <w:tcBorders>
              <w:bottom w:val="single" w:sz="4" w:space="0" w:color="auto"/>
            </w:tcBorders>
          </w:tcPr>
          <w:p w14:paraId="1F0B8720" w14:textId="77777777" w:rsidR="00AF3DCD" w:rsidRPr="002F3F06" w:rsidRDefault="00AF3DCD" w:rsidP="00D5019B">
            <w:pPr>
              <w:numPr>
                <w:ilvl w:val="0"/>
                <w:numId w:val="21"/>
              </w:numPr>
              <w:tabs>
                <w:tab w:val="clear" w:pos="833"/>
                <w:tab w:val="num" w:pos="385"/>
              </w:tabs>
              <w:ind w:left="385" w:hanging="180"/>
              <w:rPr>
                <w:rFonts w:ascii="Arial" w:hAnsi="Arial" w:cs="Arial"/>
                <w:sz w:val="22"/>
              </w:rPr>
            </w:pPr>
            <w:r w:rsidRPr="002F3F06">
              <w:rPr>
                <w:rFonts w:ascii="Arial" w:hAnsi="Arial" w:cs="Arial"/>
                <w:sz w:val="22"/>
              </w:rPr>
              <w:t>Monthly monitoring of the Collection Fund -collection rates, CT discount caseload, council tax base.</w:t>
            </w:r>
          </w:p>
          <w:p w14:paraId="184BA8F9" w14:textId="77777777" w:rsidR="00AF3DCD" w:rsidRPr="002F3F06" w:rsidRDefault="00AF3DCD" w:rsidP="00D5019B">
            <w:pPr>
              <w:numPr>
                <w:ilvl w:val="0"/>
                <w:numId w:val="7"/>
              </w:numPr>
              <w:tabs>
                <w:tab w:val="num" w:pos="385"/>
              </w:tabs>
              <w:ind w:left="385" w:hanging="180"/>
              <w:rPr>
                <w:rFonts w:ascii="Arial" w:hAnsi="Arial" w:cs="Arial"/>
                <w:sz w:val="22"/>
              </w:rPr>
            </w:pPr>
            <w:r w:rsidRPr="002F3F06">
              <w:rPr>
                <w:rFonts w:ascii="Arial" w:hAnsi="Arial" w:cs="Arial"/>
                <w:sz w:val="22"/>
              </w:rPr>
              <w:t xml:space="preserve">Report quarterly to Corporate Management Team, Executive and Performance Scrutiny Committee </w:t>
            </w:r>
          </w:p>
          <w:p w14:paraId="299E23D6" w14:textId="77777777" w:rsidR="00AF3DCD" w:rsidRPr="002F3F06" w:rsidRDefault="00AF3DCD" w:rsidP="00D5019B">
            <w:pPr>
              <w:numPr>
                <w:ilvl w:val="0"/>
                <w:numId w:val="7"/>
              </w:numPr>
              <w:tabs>
                <w:tab w:val="num" w:pos="385"/>
              </w:tabs>
              <w:ind w:left="385" w:hanging="180"/>
              <w:rPr>
                <w:rFonts w:ascii="Arial" w:hAnsi="Arial" w:cs="Arial"/>
                <w:sz w:val="22"/>
              </w:rPr>
            </w:pPr>
            <w:r w:rsidRPr="002F3F06">
              <w:rPr>
                <w:rFonts w:ascii="Arial" w:hAnsi="Arial" w:cs="Arial"/>
                <w:sz w:val="22"/>
              </w:rPr>
              <w:t>Produce quarterly collection rate statements – monitored via the Revenues and Benefits Operational Board, and Revenues and Benefits Management Team.  Also report quarterly to Corporate Management Team, Executive and Performance Scrutiny Committee if targets are not being met, increased recovery action or further initiatives to increase collection</w:t>
            </w:r>
          </w:p>
          <w:p w14:paraId="32D1983E" w14:textId="77777777" w:rsidR="00AF3DCD" w:rsidRPr="002F3F06" w:rsidRDefault="00AF3DCD" w:rsidP="00D5019B">
            <w:pPr>
              <w:numPr>
                <w:ilvl w:val="0"/>
                <w:numId w:val="7"/>
              </w:numPr>
              <w:tabs>
                <w:tab w:val="num" w:pos="385"/>
              </w:tabs>
              <w:ind w:left="385" w:hanging="180"/>
              <w:rPr>
                <w:rFonts w:ascii="Arial" w:hAnsi="Arial" w:cs="Arial"/>
                <w:sz w:val="22"/>
              </w:rPr>
            </w:pPr>
            <w:r w:rsidRPr="002F3F06">
              <w:rPr>
                <w:rFonts w:ascii="Arial" w:hAnsi="Arial" w:cs="Arial"/>
                <w:sz w:val="22"/>
              </w:rPr>
              <w:t>Annual increases in Council Tax considered alongside national expected increases</w:t>
            </w:r>
            <w:r>
              <w:rPr>
                <w:rFonts w:ascii="Arial" w:hAnsi="Arial" w:cs="Arial"/>
                <w:sz w:val="22"/>
              </w:rPr>
              <w:t xml:space="preserve"> – 0% proposed for 2026/27.</w:t>
            </w:r>
          </w:p>
          <w:p w14:paraId="2DCA51A6" w14:textId="77777777" w:rsidR="00AF3DCD" w:rsidRPr="009E63D4" w:rsidRDefault="00AF3DCD" w:rsidP="00D5019B">
            <w:pPr>
              <w:numPr>
                <w:ilvl w:val="0"/>
                <w:numId w:val="7"/>
              </w:numPr>
              <w:tabs>
                <w:tab w:val="num" w:pos="385"/>
              </w:tabs>
              <w:ind w:left="385" w:hanging="180"/>
              <w:rPr>
                <w:rFonts w:ascii="Arial" w:hAnsi="Arial" w:cs="Arial"/>
                <w:sz w:val="22"/>
              </w:rPr>
            </w:pPr>
            <w:r w:rsidRPr="009E63D4">
              <w:rPr>
                <w:rFonts w:ascii="Arial" w:hAnsi="Arial" w:cs="Arial"/>
                <w:sz w:val="22"/>
              </w:rPr>
              <w:t>Council Tax Support scheme still provides for a maximum of 100% of support, with no changes proposed for 202</w:t>
            </w:r>
            <w:r>
              <w:rPr>
                <w:rFonts w:ascii="Arial" w:hAnsi="Arial" w:cs="Arial"/>
                <w:sz w:val="22"/>
              </w:rPr>
              <w:t>6</w:t>
            </w:r>
            <w:r w:rsidRPr="009E63D4">
              <w:rPr>
                <w:rFonts w:ascii="Arial" w:hAnsi="Arial" w:cs="Arial"/>
                <w:sz w:val="22"/>
              </w:rPr>
              <w:t>/2</w:t>
            </w:r>
            <w:r>
              <w:rPr>
                <w:rFonts w:ascii="Arial" w:hAnsi="Arial" w:cs="Arial"/>
                <w:sz w:val="22"/>
              </w:rPr>
              <w:t>7</w:t>
            </w:r>
            <w:r w:rsidRPr="009E63D4">
              <w:rPr>
                <w:rFonts w:ascii="Arial" w:hAnsi="Arial" w:cs="Arial"/>
                <w:sz w:val="22"/>
              </w:rPr>
              <w:t>.</w:t>
            </w:r>
          </w:p>
          <w:p w14:paraId="45AB1FF3" w14:textId="77777777" w:rsidR="00AF3DCD" w:rsidRDefault="00AF3DCD" w:rsidP="00D5019B">
            <w:pPr>
              <w:numPr>
                <w:ilvl w:val="0"/>
                <w:numId w:val="7"/>
              </w:numPr>
              <w:tabs>
                <w:tab w:val="num" w:pos="385"/>
              </w:tabs>
              <w:ind w:left="385" w:hanging="180"/>
              <w:rPr>
                <w:rFonts w:ascii="Arial" w:hAnsi="Arial" w:cs="Arial"/>
                <w:sz w:val="22"/>
              </w:rPr>
            </w:pPr>
            <w:r w:rsidRPr="009E63D4">
              <w:rPr>
                <w:rFonts w:ascii="Arial" w:hAnsi="Arial" w:cs="Arial"/>
                <w:sz w:val="22"/>
              </w:rPr>
              <w:t>Council Tax Hardship Fund in place.</w:t>
            </w:r>
          </w:p>
          <w:p w14:paraId="50F59487" w14:textId="77777777" w:rsidR="00AF3DCD" w:rsidRPr="009E63D4" w:rsidRDefault="00AF3DCD" w:rsidP="00D5019B">
            <w:pPr>
              <w:numPr>
                <w:ilvl w:val="0"/>
                <w:numId w:val="7"/>
              </w:numPr>
              <w:tabs>
                <w:tab w:val="num" w:pos="385"/>
              </w:tabs>
              <w:ind w:left="385" w:hanging="180"/>
              <w:rPr>
                <w:rFonts w:ascii="Arial" w:hAnsi="Arial" w:cs="Arial"/>
                <w:sz w:val="22"/>
              </w:rPr>
            </w:pPr>
            <w:r>
              <w:rPr>
                <w:rFonts w:ascii="Arial" w:hAnsi="Arial" w:cs="Arial"/>
                <w:sz w:val="22"/>
              </w:rPr>
              <w:t>Cost of Living Co-ordinator in place and range of support/interventions in place.</w:t>
            </w:r>
          </w:p>
          <w:p w14:paraId="784FE46B" w14:textId="77777777" w:rsidR="00AF3DCD" w:rsidRPr="009E63D4" w:rsidRDefault="00AF3DCD" w:rsidP="00D5019B">
            <w:pPr>
              <w:numPr>
                <w:ilvl w:val="0"/>
                <w:numId w:val="7"/>
              </w:numPr>
              <w:tabs>
                <w:tab w:val="num" w:pos="385"/>
              </w:tabs>
              <w:ind w:left="385" w:hanging="180"/>
              <w:rPr>
                <w:rFonts w:ascii="Arial" w:hAnsi="Arial" w:cs="Arial"/>
                <w:sz w:val="22"/>
              </w:rPr>
            </w:pPr>
            <w:r>
              <w:rPr>
                <w:rFonts w:ascii="Arial" w:hAnsi="Arial" w:cs="Arial"/>
                <w:sz w:val="22"/>
              </w:rPr>
              <w:t>Continue to m</w:t>
            </w:r>
            <w:r w:rsidRPr="009E63D4">
              <w:rPr>
                <w:rFonts w:ascii="Arial" w:hAnsi="Arial" w:cs="Arial"/>
                <w:sz w:val="22"/>
              </w:rPr>
              <w:t>onitor impact of adoption of new legislation allowing 100% CT premiums on second homes and long term empties.</w:t>
            </w:r>
          </w:p>
          <w:p w14:paraId="2BFAD3DC" w14:textId="77777777" w:rsidR="00AF3DCD" w:rsidRPr="00942FA9" w:rsidRDefault="00AF3DCD" w:rsidP="00D5019B">
            <w:pPr>
              <w:ind w:left="385"/>
              <w:rPr>
                <w:rFonts w:ascii="Arial" w:hAnsi="Arial" w:cs="Arial"/>
                <w:sz w:val="22"/>
              </w:rPr>
            </w:pPr>
          </w:p>
        </w:tc>
      </w:tr>
      <w:tr w:rsidR="00E94C11" w:rsidRPr="005C6861" w14:paraId="790B6EDA" w14:textId="77777777" w:rsidTr="00991DA6">
        <w:trPr>
          <w:tblHeader/>
        </w:trPr>
        <w:tc>
          <w:tcPr>
            <w:tcW w:w="693" w:type="dxa"/>
            <w:tcBorders>
              <w:top w:val="single" w:sz="4" w:space="0" w:color="auto"/>
              <w:left w:val="single" w:sz="4" w:space="0" w:color="auto"/>
              <w:bottom w:val="single" w:sz="4" w:space="0" w:color="auto"/>
              <w:right w:val="single" w:sz="4" w:space="0" w:color="auto"/>
            </w:tcBorders>
          </w:tcPr>
          <w:p w14:paraId="7E06B9D7" w14:textId="77777777" w:rsidR="00AE657B" w:rsidRPr="004237BA" w:rsidRDefault="00AE657B" w:rsidP="00D5019B">
            <w:pPr>
              <w:rPr>
                <w:rFonts w:ascii="Arial" w:hAnsi="Arial" w:cs="Arial"/>
                <w:sz w:val="22"/>
              </w:rPr>
            </w:pPr>
            <w:r w:rsidRPr="004237BA">
              <w:rPr>
                <w:rFonts w:ascii="Arial" w:hAnsi="Arial" w:cs="Arial"/>
                <w:sz w:val="22"/>
              </w:rPr>
              <w:t>1</w:t>
            </w:r>
            <w:r>
              <w:rPr>
                <w:rFonts w:ascii="Arial" w:hAnsi="Arial" w:cs="Arial"/>
                <w:sz w:val="22"/>
              </w:rPr>
              <w:t>6</w:t>
            </w:r>
          </w:p>
        </w:tc>
        <w:tc>
          <w:tcPr>
            <w:tcW w:w="2108" w:type="dxa"/>
            <w:tcBorders>
              <w:top w:val="single" w:sz="4" w:space="0" w:color="auto"/>
              <w:left w:val="single" w:sz="4" w:space="0" w:color="auto"/>
              <w:bottom w:val="single" w:sz="4" w:space="0" w:color="auto"/>
              <w:right w:val="single" w:sz="4" w:space="0" w:color="auto"/>
            </w:tcBorders>
          </w:tcPr>
          <w:p w14:paraId="63146763" w14:textId="77777777" w:rsidR="00AE657B" w:rsidRPr="004237BA" w:rsidRDefault="00AE657B" w:rsidP="00D5019B">
            <w:pPr>
              <w:rPr>
                <w:rFonts w:ascii="Arial" w:hAnsi="Arial" w:cs="Arial"/>
                <w:sz w:val="22"/>
              </w:rPr>
            </w:pPr>
            <w:r w:rsidRPr="004237BA">
              <w:rPr>
                <w:rFonts w:ascii="Arial" w:hAnsi="Arial" w:cs="Arial"/>
                <w:sz w:val="22"/>
              </w:rPr>
              <w:t>Sundry Debtors and Housing Benefit Overpayments</w:t>
            </w:r>
          </w:p>
        </w:tc>
        <w:tc>
          <w:tcPr>
            <w:tcW w:w="3420" w:type="dxa"/>
            <w:tcBorders>
              <w:top w:val="single" w:sz="4" w:space="0" w:color="auto"/>
              <w:left w:val="single" w:sz="4" w:space="0" w:color="auto"/>
              <w:bottom w:val="single" w:sz="4" w:space="0" w:color="auto"/>
              <w:right w:val="single" w:sz="4" w:space="0" w:color="auto"/>
            </w:tcBorders>
          </w:tcPr>
          <w:p w14:paraId="20CF2B97" w14:textId="77777777" w:rsidR="00AE657B" w:rsidRPr="004237BA" w:rsidRDefault="00AE657B" w:rsidP="00D5019B">
            <w:pPr>
              <w:rPr>
                <w:rFonts w:ascii="Arial" w:hAnsi="Arial" w:cs="Arial"/>
                <w:sz w:val="22"/>
              </w:rPr>
            </w:pPr>
            <w:r w:rsidRPr="004237BA">
              <w:rPr>
                <w:rFonts w:ascii="Arial" w:hAnsi="Arial" w:cs="Arial"/>
                <w:sz w:val="22"/>
              </w:rPr>
              <w:t>The Council’s existing Bad Debt provision proves insufficient to meet any increase in the value of debts written off.</w:t>
            </w:r>
          </w:p>
          <w:p w14:paraId="46C8058A" w14:textId="77777777" w:rsidR="00AE657B" w:rsidRPr="004237BA" w:rsidRDefault="00AE657B" w:rsidP="00D5019B">
            <w:pPr>
              <w:rPr>
                <w:rFonts w:ascii="Arial" w:hAnsi="Arial" w:cs="Arial"/>
                <w:sz w:val="22"/>
              </w:rPr>
            </w:pPr>
          </w:p>
          <w:p w14:paraId="02895621" w14:textId="77777777" w:rsidR="00AE657B" w:rsidRPr="004237BA" w:rsidRDefault="00AE657B" w:rsidP="00D5019B">
            <w:pPr>
              <w:rPr>
                <w:rFonts w:ascii="Arial" w:hAnsi="Arial" w:cs="Arial"/>
                <w:sz w:val="22"/>
              </w:rPr>
            </w:pPr>
          </w:p>
          <w:p w14:paraId="69B9DF0B" w14:textId="77777777" w:rsidR="00AE657B" w:rsidRPr="004237BA" w:rsidRDefault="00AE657B" w:rsidP="00D5019B">
            <w:pP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shd w:val="clear" w:color="auto" w:fill="FFC000" w:themeFill="accent4"/>
          </w:tcPr>
          <w:p w14:paraId="1AAE858A" w14:textId="77777777" w:rsidR="00AE657B" w:rsidRPr="004237BA" w:rsidRDefault="00AE657B" w:rsidP="00D5019B">
            <w:pPr>
              <w:ind w:left="113"/>
              <w:jc w:val="center"/>
              <w:rPr>
                <w:rFonts w:ascii="Arial" w:hAnsi="Arial" w:cs="Arial"/>
                <w:sz w:val="22"/>
              </w:rPr>
            </w:pPr>
          </w:p>
          <w:p w14:paraId="3445AFC3" w14:textId="77777777" w:rsidR="00AE657B" w:rsidRPr="004237BA" w:rsidRDefault="00AE657B" w:rsidP="00D5019B">
            <w:pPr>
              <w:ind w:left="113"/>
              <w:jc w:val="center"/>
              <w:rPr>
                <w:rFonts w:ascii="Arial" w:hAnsi="Arial" w:cs="Arial"/>
                <w:b/>
                <w:sz w:val="22"/>
              </w:rPr>
            </w:pPr>
            <w:r w:rsidRPr="004237BA">
              <w:rPr>
                <w:rFonts w:ascii="Arial" w:hAnsi="Arial" w:cs="Arial"/>
                <w:b/>
                <w:sz w:val="22"/>
              </w:rPr>
              <w:t>Total Score: 6</w:t>
            </w:r>
          </w:p>
          <w:p w14:paraId="7074A141" w14:textId="77777777" w:rsidR="00AE657B" w:rsidRPr="004237BA" w:rsidRDefault="00AE657B" w:rsidP="00D5019B">
            <w:pPr>
              <w:ind w:left="113"/>
              <w:jc w:val="center"/>
              <w:rPr>
                <w:rFonts w:ascii="Arial" w:hAnsi="Arial" w:cs="Arial"/>
                <w:sz w:val="22"/>
              </w:rPr>
            </w:pPr>
          </w:p>
          <w:p w14:paraId="455B3D83" w14:textId="77777777" w:rsidR="00AE657B" w:rsidRPr="004237BA" w:rsidRDefault="00AE657B" w:rsidP="00D5019B">
            <w:pPr>
              <w:ind w:left="113"/>
              <w:jc w:val="center"/>
              <w:rPr>
                <w:rFonts w:ascii="Arial" w:hAnsi="Arial" w:cs="Arial"/>
                <w:sz w:val="22"/>
              </w:rPr>
            </w:pPr>
            <w:r w:rsidRPr="004237BA">
              <w:rPr>
                <w:rFonts w:ascii="Arial" w:hAnsi="Arial" w:cs="Arial"/>
                <w:sz w:val="22"/>
              </w:rPr>
              <w:t>Likelihood: 3</w:t>
            </w:r>
          </w:p>
          <w:p w14:paraId="5853B104" w14:textId="77777777" w:rsidR="00AE657B" w:rsidRPr="004237BA" w:rsidRDefault="00AE657B" w:rsidP="00D5019B">
            <w:pPr>
              <w:jc w:val="center"/>
              <w:rPr>
                <w:rFonts w:ascii="Arial" w:hAnsi="Arial" w:cs="Arial"/>
                <w:b/>
                <w:sz w:val="22"/>
                <w:szCs w:val="22"/>
              </w:rPr>
            </w:pPr>
            <w:r w:rsidRPr="004237BA">
              <w:rPr>
                <w:rFonts w:ascii="Arial" w:hAnsi="Arial" w:cs="Arial"/>
                <w:sz w:val="22"/>
              </w:rPr>
              <w:t>Impact: 2</w:t>
            </w:r>
          </w:p>
        </w:tc>
        <w:tc>
          <w:tcPr>
            <w:tcW w:w="1926" w:type="dxa"/>
            <w:tcBorders>
              <w:top w:val="single" w:sz="4" w:space="0" w:color="auto"/>
              <w:left w:val="single" w:sz="4" w:space="0" w:color="auto"/>
              <w:bottom w:val="single" w:sz="4" w:space="0" w:color="auto"/>
              <w:right w:val="single" w:sz="4" w:space="0" w:color="auto"/>
            </w:tcBorders>
            <w:shd w:val="clear" w:color="auto" w:fill="FFC000" w:themeFill="accent4"/>
          </w:tcPr>
          <w:p w14:paraId="1DBACBE9" w14:textId="77777777" w:rsidR="00AE657B" w:rsidRPr="004237BA" w:rsidRDefault="00AE657B" w:rsidP="00D5019B">
            <w:pPr>
              <w:ind w:left="113"/>
              <w:jc w:val="center"/>
              <w:rPr>
                <w:rFonts w:ascii="Arial" w:hAnsi="Arial" w:cs="Arial"/>
                <w:sz w:val="22"/>
              </w:rPr>
            </w:pPr>
          </w:p>
          <w:p w14:paraId="222D5AE0" w14:textId="77777777" w:rsidR="00AE657B" w:rsidRPr="004237BA" w:rsidRDefault="00AE657B" w:rsidP="00D5019B">
            <w:pPr>
              <w:ind w:left="113"/>
              <w:jc w:val="center"/>
              <w:rPr>
                <w:rFonts w:ascii="Arial" w:hAnsi="Arial" w:cs="Arial"/>
                <w:b/>
                <w:sz w:val="22"/>
              </w:rPr>
            </w:pPr>
            <w:r w:rsidRPr="004237BA">
              <w:rPr>
                <w:rFonts w:ascii="Arial" w:hAnsi="Arial" w:cs="Arial"/>
                <w:b/>
                <w:sz w:val="22"/>
              </w:rPr>
              <w:t>Total Score: 6</w:t>
            </w:r>
          </w:p>
          <w:p w14:paraId="410403D0" w14:textId="77777777" w:rsidR="00AE657B" w:rsidRPr="004237BA" w:rsidRDefault="00AE657B" w:rsidP="00D5019B">
            <w:pPr>
              <w:ind w:left="113"/>
              <w:jc w:val="center"/>
              <w:rPr>
                <w:rFonts w:ascii="Arial" w:hAnsi="Arial" w:cs="Arial"/>
                <w:sz w:val="22"/>
              </w:rPr>
            </w:pPr>
          </w:p>
          <w:p w14:paraId="5213247E" w14:textId="77777777" w:rsidR="00AE657B" w:rsidRPr="004237BA" w:rsidRDefault="00AE657B" w:rsidP="00D5019B">
            <w:pPr>
              <w:ind w:left="113"/>
              <w:jc w:val="center"/>
              <w:rPr>
                <w:rFonts w:ascii="Arial" w:hAnsi="Arial" w:cs="Arial"/>
                <w:sz w:val="22"/>
              </w:rPr>
            </w:pPr>
            <w:r w:rsidRPr="004237BA">
              <w:rPr>
                <w:rFonts w:ascii="Arial" w:hAnsi="Arial" w:cs="Arial"/>
                <w:sz w:val="22"/>
              </w:rPr>
              <w:t>Likelihood: 3</w:t>
            </w:r>
          </w:p>
          <w:p w14:paraId="436BDF1F" w14:textId="77777777" w:rsidR="00AE657B" w:rsidRPr="004237BA" w:rsidRDefault="00AE657B" w:rsidP="00D5019B">
            <w:pPr>
              <w:ind w:left="113"/>
              <w:jc w:val="center"/>
              <w:rPr>
                <w:rFonts w:ascii="Arial" w:hAnsi="Arial" w:cs="Arial"/>
                <w:sz w:val="22"/>
              </w:rPr>
            </w:pPr>
            <w:r w:rsidRPr="004237BA">
              <w:rPr>
                <w:rFonts w:ascii="Arial" w:hAnsi="Arial" w:cs="Arial"/>
                <w:sz w:val="22"/>
              </w:rPr>
              <w:t>Impact: 2</w:t>
            </w:r>
          </w:p>
        </w:tc>
        <w:tc>
          <w:tcPr>
            <w:tcW w:w="5276" w:type="dxa"/>
            <w:tcBorders>
              <w:top w:val="single" w:sz="4" w:space="0" w:color="auto"/>
              <w:left w:val="single" w:sz="4" w:space="0" w:color="auto"/>
              <w:bottom w:val="single" w:sz="4" w:space="0" w:color="auto"/>
              <w:right w:val="single" w:sz="4" w:space="0" w:color="auto"/>
            </w:tcBorders>
          </w:tcPr>
          <w:p w14:paraId="1C5B90F0" w14:textId="77777777" w:rsidR="00AE657B" w:rsidRPr="004237BA" w:rsidRDefault="00AE657B" w:rsidP="00D5019B">
            <w:pPr>
              <w:numPr>
                <w:ilvl w:val="0"/>
                <w:numId w:val="6"/>
              </w:numPr>
              <w:rPr>
                <w:rFonts w:ascii="Arial" w:hAnsi="Arial" w:cs="Arial"/>
                <w:sz w:val="22"/>
              </w:rPr>
            </w:pPr>
            <w:r w:rsidRPr="004237BA">
              <w:rPr>
                <w:rFonts w:ascii="Arial" w:hAnsi="Arial" w:cs="Arial"/>
                <w:sz w:val="22"/>
              </w:rPr>
              <w:t>Follow established debt recovery and write off procedures</w:t>
            </w:r>
            <w:r>
              <w:rPr>
                <w:rFonts w:ascii="Arial" w:hAnsi="Arial" w:cs="Arial"/>
                <w:sz w:val="22"/>
              </w:rPr>
              <w:t>.</w:t>
            </w:r>
          </w:p>
          <w:p w14:paraId="7FD41782" w14:textId="77777777" w:rsidR="00AE657B" w:rsidRPr="004237BA" w:rsidRDefault="00AE657B" w:rsidP="00D5019B">
            <w:pPr>
              <w:numPr>
                <w:ilvl w:val="0"/>
                <w:numId w:val="6"/>
              </w:numPr>
              <w:rPr>
                <w:rFonts w:ascii="Arial" w:hAnsi="Arial" w:cs="Arial"/>
                <w:sz w:val="22"/>
              </w:rPr>
            </w:pPr>
            <w:r w:rsidRPr="004237BA">
              <w:rPr>
                <w:rFonts w:ascii="Arial" w:hAnsi="Arial" w:cs="Arial"/>
                <w:sz w:val="22"/>
              </w:rPr>
              <w:t>Specific monitoring in place for key rentals/leases</w:t>
            </w:r>
            <w:r>
              <w:rPr>
                <w:rFonts w:ascii="Arial" w:hAnsi="Arial" w:cs="Arial"/>
                <w:sz w:val="22"/>
              </w:rPr>
              <w:t>.</w:t>
            </w:r>
          </w:p>
          <w:p w14:paraId="0696CBA5" w14:textId="77777777" w:rsidR="00AE657B" w:rsidRPr="004237BA" w:rsidRDefault="00AE657B" w:rsidP="00D5019B">
            <w:pPr>
              <w:numPr>
                <w:ilvl w:val="0"/>
                <w:numId w:val="6"/>
              </w:numPr>
              <w:rPr>
                <w:rFonts w:ascii="Arial" w:hAnsi="Arial" w:cs="Arial"/>
                <w:sz w:val="22"/>
              </w:rPr>
            </w:pPr>
            <w:r w:rsidRPr="004237BA">
              <w:rPr>
                <w:rFonts w:ascii="Arial" w:hAnsi="Arial" w:cs="Arial"/>
                <w:sz w:val="22"/>
              </w:rPr>
              <w:t>Monitor age debt profile of debts against bad debt provision</w:t>
            </w:r>
            <w:r>
              <w:rPr>
                <w:rFonts w:ascii="Arial" w:hAnsi="Arial" w:cs="Arial"/>
                <w:sz w:val="22"/>
              </w:rPr>
              <w:t>.</w:t>
            </w:r>
          </w:p>
          <w:p w14:paraId="620F1E54" w14:textId="77777777" w:rsidR="00AE657B" w:rsidRPr="0009595A" w:rsidRDefault="00AE657B" w:rsidP="00D5019B">
            <w:pPr>
              <w:tabs>
                <w:tab w:val="num" w:pos="473"/>
              </w:tabs>
              <w:ind w:left="454" w:hanging="341"/>
              <w:rPr>
                <w:rFonts w:ascii="Arial" w:hAnsi="Arial" w:cs="Arial"/>
                <w:sz w:val="22"/>
              </w:rPr>
            </w:pPr>
          </w:p>
        </w:tc>
      </w:tr>
      <w:tr w:rsidR="00E94C11" w:rsidRPr="005C6861" w14:paraId="5D7F54E1" w14:textId="77777777" w:rsidTr="00991DA6">
        <w:trPr>
          <w:tblHeader/>
        </w:trPr>
        <w:tc>
          <w:tcPr>
            <w:tcW w:w="693" w:type="dxa"/>
          </w:tcPr>
          <w:p w14:paraId="47F8FE5B" w14:textId="6A8D3A20" w:rsidR="00AE657B" w:rsidRPr="00BF2990" w:rsidRDefault="00AE657B" w:rsidP="00D5019B">
            <w:pPr>
              <w:rPr>
                <w:rFonts w:ascii="Arial" w:hAnsi="Arial" w:cs="Arial"/>
                <w:sz w:val="22"/>
              </w:rPr>
            </w:pPr>
            <w:r w:rsidRPr="00BF2990">
              <w:rPr>
                <w:rFonts w:ascii="Arial" w:hAnsi="Arial" w:cs="Arial"/>
                <w:sz w:val="22"/>
              </w:rPr>
              <w:t>1</w:t>
            </w:r>
            <w:r w:rsidR="00AF3DCD">
              <w:rPr>
                <w:rFonts w:ascii="Arial" w:hAnsi="Arial" w:cs="Arial"/>
                <w:sz w:val="22"/>
              </w:rPr>
              <w:t>7</w:t>
            </w:r>
          </w:p>
        </w:tc>
        <w:tc>
          <w:tcPr>
            <w:tcW w:w="2108" w:type="dxa"/>
          </w:tcPr>
          <w:p w14:paraId="3642BB1B" w14:textId="77777777" w:rsidR="00AE657B" w:rsidRPr="00BF2990" w:rsidRDefault="00AE657B" w:rsidP="00D5019B">
            <w:pPr>
              <w:rPr>
                <w:rFonts w:ascii="Arial" w:hAnsi="Arial" w:cs="Arial"/>
                <w:sz w:val="22"/>
              </w:rPr>
            </w:pPr>
            <w:r w:rsidRPr="00BF2990">
              <w:rPr>
                <w:rFonts w:ascii="Arial" w:hAnsi="Arial" w:cs="Arial"/>
                <w:sz w:val="22"/>
              </w:rPr>
              <w:t>Key Service Delivery Contracts</w:t>
            </w:r>
          </w:p>
        </w:tc>
        <w:tc>
          <w:tcPr>
            <w:tcW w:w="3420" w:type="dxa"/>
            <w:shd w:val="clear" w:color="auto" w:fill="FFFFFF" w:themeFill="background1"/>
          </w:tcPr>
          <w:p w14:paraId="3910D0AD" w14:textId="77777777" w:rsidR="00AE657B" w:rsidRPr="00BF2990" w:rsidRDefault="00AE657B" w:rsidP="00D5019B">
            <w:pPr>
              <w:rPr>
                <w:rFonts w:ascii="Arial" w:hAnsi="Arial" w:cs="Arial"/>
                <w:sz w:val="22"/>
                <w:szCs w:val="22"/>
              </w:rPr>
            </w:pPr>
            <w:r w:rsidRPr="00BF2990">
              <w:rPr>
                <w:rFonts w:ascii="Arial" w:hAnsi="Arial" w:cs="Arial"/>
                <w:sz w:val="22"/>
                <w:szCs w:val="22"/>
              </w:rPr>
              <w:t xml:space="preserve">Actual cost of Waste Collection, Street Cleansing and Grounds Maintenance contracts and new Food Waste service above tender </w:t>
            </w:r>
            <w:r>
              <w:rPr>
                <w:rFonts w:ascii="Arial" w:hAnsi="Arial" w:cs="Arial"/>
                <w:sz w:val="22"/>
                <w:szCs w:val="22"/>
              </w:rPr>
              <w:t xml:space="preserve">and service demand </w:t>
            </w:r>
            <w:r w:rsidRPr="00BF2990">
              <w:rPr>
                <w:rFonts w:ascii="Arial" w:hAnsi="Arial" w:cs="Arial"/>
                <w:sz w:val="22"/>
                <w:szCs w:val="22"/>
              </w:rPr>
              <w:t>estimates</w:t>
            </w:r>
          </w:p>
          <w:p w14:paraId="55225CD4" w14:textId="77777777" w:rsidR="00AE657B" w:rsidRPr="00BF2990" w:rsidRDefault="00AE657B" w:rsidP="00D5019B">
            <w:pPr>
              <w:rPr>
                <w:rFonts w:ascii="Arial" w:hAnsi="Arial" w:cs="Arial"/>
                <w:sz w:val="22"/>
                <w:szCs w:val="22"/>
              </w:rPr>
            </w:pPr>
          </w:p>
        </w:tc>
        <w:tc>
          <w:tcPr>
            <w:tcW w:w="1980" w:type="dxa"/>
            <w:tcBorders>
              <w:bottom w:val="single" w:sz="4" w:space="0" w:color="auto"/>
            </w:tcBorders>
            <w:shd w:val="clear" w:color="auto" w:fill="00B050"/>
          </w:tcPr>
          <w:p w14:paraId="22502502" w14:textId="77777777" w:rsidR="00AE657B" w:rsidRPr="00BF2990" w:rsidRDefault="00AE657B" w:rsidP="00D5019B">
            <w:pPr>
              <w:jc w:val="center"/>
              <w:rPr>
                <w:rFonts w:ascii="Arial" w:hAnsi="Arial" w:cs="Arial"/>
                <w:sz w:val="22"/>
              </w:rPr>
            </w:pPr>
          </w:p>
          <w:p w14:paraId="77A87818" w14:textId="77777777" w:rsidR="00AE657B" w:rsidRPr="00BF2990" w:rsidRDefault="00AE657B" w:rsidP="00D5019B">
            <w:pPr>
              <w:jc w:val="center"/>
              <w:rPr>
                <w:rFonts w:ascii="Arial" w:hAnsi="Arial" w:cs="Arial"/>
                <w:sz w:val="22"/>
                <w:szCs w:val="22"/>
              </w:rPr>
            </w:pPr>
            <w:r w:rsidRPr="00BF2990">
              <w:rPr>
                <w:rFonts w:ascii="Arial" w:hAnsi="Arial" w:cs="Arial"/>
                <w:b/>
                <w:sz w:val="22"/>
                <w:szCs w:val="22"/>
              </w:rPr>
              <w:t>Total Score: 4</w:t>
            </w:r>
          </w:p>
          <w:p w14:paraId="15141DAB" w14:textId="77777777" w:rsidR="00AE657B" w:rsidRPr="00BF2990" w:rsidRDefault="00AE657B" w:rsidP="00D5019B">
            <w:pPr>
              <w:jc w:val="center"/>
              <w:rPr>
                <w:rFonts w:ascii="Arial" w:hAnsi="Arial" w:cs="Arial"/>
                <w:sz w:val="22"/>
                <w:szCs w:val="22"/>
              </w:rPr>
            </w:pPr>
          </w:p>
          <w:p w14:paraId="3FC2E0CB" w14:textId="77777777" w:rsidR="00AE657B" w:rsidRPr="00BF2990" w:rsidRDefault="00AE657B" w:rsidP="00D5019B">
            <w:pPr>
              <w:jc w:val="center"/>
              <w:rPr>
                <w:rFonts w:ascii="Arial" w:hAnsi="Arial" w:cs="Arial"/>
                <w:sz w:val="22"/>
                <w:szCs w:val="22"/>
              </w:rPr>
            </w:pPr>
            <w:r w:rsidRPr="00BF2990">
              <w:rPr>
                <w:rFonts w:ascii="Arial" w:hAnsi="Arial" w:cs="Arial"/>
                <w:sz w:val="22"/>
                <w:szCs w:val="22"/>
              </w:rPr>
              <w:t>Likelihood: 2</w:t>
            </w:r>
          </w:p>
          <w:p w14:paraId="3236A403" w14:textId="77777777" w:rsidR="00AE657B" w:rsidRPr="00BF2990" w:rsidRDefault="00AE657B" w:rsidP="00D5019B">
            <w:pPr>
              <w:jc w:val="center"/>
              <w:rPr>
                <w:rFonts w:ascii="Arial" w:hAnsi="Arial" w:cs="Arial"/>
                <w:sz w:val="22"/>
                <w:szCs w:val="22"/>
              </w:rPr>
            </w:pPr>
            <w:r w:rsidRPr="00BF2990">
              <w:rPr>
                <w:rFonts w:ascii="Arial" w:hAnsi="Arial" w:cs="Arial"/>
                <w:sz w:val="22"/>
                <w:szCs w:val="22"/>
              </w:rPr>
              <w:t>Impact: 2</w:t>
            </w:r>
          </w:p>
        </w:tc>
        <w:tc>
          <w:tcPr>
            <w:tcW w:w="1926" w:type="dxa"/>
            <w:tcBorders>
              <w:bottom w:val="single" w:sz="4" w:space="0" w:color="auto"/>
            </w:tcBorders>
            <w:shd w:val="clear" w:color="auto" w:fill="00B050"/>
          </w:tcPr>
          <w:p w14:paraId="753EDFE0" w14:textId="77777777" w:rsidR="00AE657B" w:rsidRPr="00BF2990" w:rsidRDefault="00AE657B" w:rsidP="00D5019B">
            <w:pPr>
              <w:jc w:val="center"/>
              <w:rPr>
                <w:rFonts w:ascii="Arial" w:hAnsi="Arial" w:cs="Arial"/>
                <w:sz w:val="22"/>
              </w:rPr>
            </w:pPr>
          </w:p>
          <w:p w14:paraId="081F9DF2" w14:textId="77777777" w:rsidR="00AE657B" w:rsidRPr="00BF2990" w:rsidRDefault="00AE657B" w:rsidP="00D5019B">
            <w:pPr>
              <w:jc w:val="center"/>
              <w:rPr>
                <w:rFonts w:ascii="Arial" w:hAnsi="Arial" w:cs="Arial"/>
                <w:sz w:val="22"/>
                <w:szCs w:val="22"/>
              </w:rPr>
            </w:pPr>
            <w:r w:rsidRPr="00BF2990">
              <w:rPr>
                <w:rFonts w:ascii="Arial" w:hAnsi="Arial" w:cs="Arial"/>
                <w:b/>
                <w:sz w:val="22"/>
                <w:szCs w:val="22"/>
              </w:rPr>
              <w:t>Total Score: 4</w:t>
            </w:r>
          </w:p>
          <w:p w14:paraId="3FFB1346" w14:textId="77777777" w:rsidR="00AE657B" w:rsidRPr="00BF2990" w:rsidRDefault="00AE657B" w:rsidP="00D5019B">
            <w:pPr>
              <w:jc w:val="center"/>
              <w:rPr>
                <w:rFonts w:ascii="Arial" w:hAnsi="Arial" w:cs="Arial"/>
                <w:sz w:val="22"/>
                <w:szCs w:val="22"/>
              </w:rPr>
            </w:pPr>
          </w:p>
          <w:p w14:paraId="1E1F2D6A" w14:textId="77777777" w:rsidR="00AE657B" w:rsidRPr="00BF2990" w:rsidRDefault="00AE657B" w:rsidP="00D5019B">
            <w:pPr>
              <w:jc w:val="center"/>
              <w:rPr>
                <w:rFonts w:ascii="Arial" w:hAnsi="Arial" w:cs="Arial"/>
                <w:sz w:val="22"/>
                <w:szCs w:val="22"/>
              </w:rPr>
            </w:pPr>
            <w:r w:rsidRPr="00BF2990">
              <w:rPr>
                <w:rFonts w:ascii="Arial" w:hAnsi="Arial" w:cs="Arial"/>
                <w:sz w:val="22"/>
                <w:szCs w:val="22"/>
              </w:rPr>
              <w:t>Likelihood: 2</w:t>
            </w:r>
          </w:p>
          <w:p w14:paraId="2D1DEBD7" w14:textId="77777777" w:rsidR="00AE657B" w:rsidRPr="00BF2990" w:rsidRDefault="00AE657B" w:rsidP="00D5019B">
            <w:pPr>
              <w:jc w:val="center"/>
              <w:rPr>
                <w:rFonts w:ascii="Arial" w:hAnsi="Arial" w:cs="Arial"/>
                <w:sz w:val="22"/>
              </w:rPr>
            </w:pPr>
            <w:r w:rsidRPr="00BF2990">
              <w:rPr>
                <w:rFonts w:ascii="Arial" w:hAnsi="Arial" w:cs="Arial"/>
                <w:sz w:val="22"/>
                <w:szCs w:val="22"/>
              </w:rPr>
              <w:t>Impact: 2</w:t>
            </w:r>
          </w:p>
        </w:tc>
        <w:tc>
          <w:tcPr>
            <w:tcW w:w="5276" w:type="dxa"/>
            <w:shd w:val="clear" w:color="auto" w:fill="FFFFFF" w:themeFill="background1"/>
          </w:tcPr>
          <w:p w14:paraId="6FED50A6" w14:textId="77777777" w:rsidR="00AE657B" w:rsidRPr="006F3337" w:rsidRDefault="00AE657B" w:rsidP="00D5019B">
            <w:pPr>
              <w:numPr>
                <w:ilvl w:val="0"/>
                <w:numId w:val="19"/>
              </w:numPr>
              <w:rPr>
                <w:rFonts w:ascii="Arial" w:hAnsi="Arial" w:cs="Arial"/>
                <w:sz w:val="22"/>
              </w:rPr>
            </w:pPr>
            <w:r w:rsidRPr="006F3337">
              <w:rPr>
                <w:rFonts w:ascii="Arial" w:hAnsi="Arial" w:cs="Arial"/>
                <w:sz w:val="22"/>
              </w:rPr>
              <w:t>Project Management in place</w:t>
            </w:r>
          </w:p>
          <w:p w14:paraId="7E3BDD52" w14:textId="77777777" w:rsidR="00AE657B" w:rsidRPr="006F3337" w:rsidRDefault="00AE657B" w:rsidP="00D5019B">
            <w:pPr>
              <w:numPr>
                <w:ilvl w:val="0"/>
                <w:numId w:val="19"/>
              </w:numPr>
              <w:rPr>
                <w:rFonts w:ascii="Arial" w:hAnsi="Arial" w:cs="Arial"/>
                <w:sz w:val="22"/>
              </w:rPr>
            </w:pPr>
            <w:r w:rsidRPr="006F3337">
              <w:rPr>
                <w:rFonts w:ascii="Arial" w:hAnsi="Arial" w:cs="Arial"/>
                <w:sz w:val="22"/>
              </w:rPr>
              <w:t>Extensive work undertaken on design of specifications and quantities</w:t>
            </w:r>
          </w:p>
          <w:p w14:paraId="59A69E14" w14:textId="77777777" w:rsidR="00AE657B" w:rsidRPr="006F3337" w:rsidRDefault="00AE657B" w:rsidP="00D5019B">
            <w:pPr>
              <w:numPr>
                <w:ilvl w:val="0"/>
                <w:numId w:val="19"/>
              </w:numPr>
              <w:rPr>
                <w:rFonts w:ascii="Arial" w:hAnsi="Arial" w:cs="Arial"/>
                <w:sz w:val="22"/>
              </w:rPr>
            </w:pPr>
            <w:r w:rsidRPr="006F3337">
              <w:rPr>
                <w:rFonts w:ascii="Arial" w:hAnsi="Arial" w:cs="Arial"/>
                <w:sz w:val="22"/>
              </w:rPr>
              <w:t>Prices subject to inflationary clauses prior to commencement.</w:t>
            </w:r>
          </w:p>
          <w:p w14:paraId="680B58E1" w14:textId="77777777" w:rsidR="00AE657B" w:rsidRPr="006F3337" w:rsidRDefault="00AE657B" w:rsidP="00D5019B">
            <w:pPr>
              <w:numPr>
                <w:ilvl w:val="0"/>
                <w:numId w:val="19"/>
              </w:numPr>
              <w:rPr>
                <w:rFonts w:ascii="Arial" w:hAnsi="Arial" w:cs="Arial"/>
                <w:sz w:val="22"/>
              </w:rPr>
            </w:pPr>
            <w:r w:rsidRPr="006F3337">
              <w:rPr>
                <w:rFonts w:ascii="Arial" w:hAnsi="Arial" w:cs="Arial"/>
                <w:sz w:val="22"/>
              </w:rPr>
              <w:t>Robust contract management arrangements in place – training provided to relevant officers.</w:t>
            </w:r>
          </w:p>
          <w:p w14:paraId="165D93FF" w14:textId="77777777" w:rsidR="00AE657B" w:rsidRPr="006F3337" w:rsidRDefault="00AE657B" w:rsidP="00D5019B">
            <w:pPr>
              <w:numPr>
                <w:ilvl w:val="0"/>
                <w:numId w:val="19"/>
              </w:numPr>
              <w:rPr>
                <w:rFonts w:ascii="Arial" w:hAnsi="Arial" w:cs="Arial"/>
                <w:sz w:val="22"/>
              </w:rPr>
            </w:pPr>
            <w:r w:rsidRPr="006F3337">
              <w:rPr>
                <w:rFonts w:ascii="Arial" w:hAnsi="Arial" w:cs="Arial"/>
                <w:sz w:val="22"/>
              </w:rPr>
              <w:t>Monthly monitoring of contractor charges.</w:t>
            </w:r>
          </w:p>
          <w:p w14:paraId="1F035277" w14:textId="77777777" w:rsidR="00AE657B" w:rsidRPr="000F26E0" w:rsidRDefault="00AE657B" w:rsidP="00D5019B">
            <w:pPr>
              <w:ind w:left="454"/>
              <w:rPr>
                <w:rFonts w:ascii="Arial" w:hAnsi="Arial" w:cs="Arial"/>
                <w:sz w:val="22"/>
                <w:highlight w:val="yellow"/>
              </w:rPr>
            </w:pPr>
          </w:p>
        </w:tc>
      </w:tr>
      <w:tr w:rsidR="00E94C11" w:rsidRPr="005C6861" w14:paraId="48A7E035" w14:textId="77777777" w:rsidTr="00991DA6">
        <w:trPr>
          <w:tblHeader/>
        </w:trPr>
        <w:tc>
          <w:tcPr>
            <w:tcW w:w="693" w:type="dxa"/>
          </w:tcPr>
          <w:p w14:paraId="72A70F50" w14:textId="7837647D" w:rsidR="00AF3DCD" w:rsidRPr="002E11E0" w:rsidRDefault="00AF3DCD" w:rsidP="00D5019B">
            <w:pPr>
              <w:rPr>
                <w:rFonts w:ascii="Arial" w:hAnsi="Arial" w:cs="Arial"/>
                <w:sz w:val="22"/>
              </w:rPr>
            </w:pPr>
            <w:r>
              <w:rPr>
                <w:rFonts w:ascii="Arial" w:hAnsi="Arial" w:cs="Arial"/>
                <w:sz w:val="22"/>
              </w:rPr>
              <w:t>28</w:t>
            </w:r>
          </w:p>
        </w:tc>
        <w:tc>
          <w:tcPr>
            <w:tcW w:w="2108" w:type="dxa"/>
          </w:tcPr>
          <w:p w14:paraId="0E036268" w14:textId="77777777" w:rsidR="00AF3DCD" w:rsidRPr="002E11E0" w:rsidRDefault="00AF3DCD" w:rsidP="00D5019B">
            <w:pPr>
              <w:rPr>
                <w:rFonts w:ascii="Arial" w:hAnsi="Arial" w:cs="Arial"/>
                <w:sz w:val="22"/>
                <w:szCs w:val="22"/>
              </w:rPr>
            </w:pPr>
            <w:r w:rsidRPr="002E11E0">
              <w:rPr>
                <w:rFonts w:ascii="Arial" w:hAnsi="Arial" w:cs="Arial"/>
                <w:sz w:val="22"/>
                <w:szCs w:val="22"/>
              </w:rPr>
              <w:t>Business Rates Base</w:t>
            </w:r>
          </w:p>
          <w:p w14:paraId="32E2EA74" w14:textId="77777777" w:rsidR="00AF3DCD" w:rsidRPr="002E11E0" w:rsidRDefault="00AF3DCD" w:rsidP="00D5019B">
            <w:pPr>
              <w:rPr>
                <w:rFonts w:ascii="Arial" w:hAnsi="Arial" w:cs="Arial"/>
                <w:sz w:val="22"/>
                <w:szCs w:val="22"/>
              </w:rPr>
            </w:pPr>
          </w:p>
          <w:p w14:paraId="4649203C" w14:textId="77777777" w:rsidR="00AF3DCD" w:rsidRPr="002E11E0" w:rsidRDefault="00AF3DCD" w:rsidP="00D5019B">
            <w:pPr>
              <w:rPr>
                <w:rFonts w:ascii="Arial" w:hAnsi="Arial" w:cs="Arial"/>
                <w:sz w:val="22"/>
                <w:szCs w:val="22"/>
              </w:rPr>
            </w:pPr>
          </w:p>
          <w:p w14:paraId="7E666B32" w14:textId="77777777" w:rsidR="00AF3DCD" w:rsidRPr="002E11E0" w:rsidRDefault="00AF3DCD" w:rsidP="00D5019B">
            <w:pPr>
              <w:rPr>
                <w:rFonts w:ascii="Arial" w:hAnsi="Arial" w:cs="Arial"/>
                <w:sz w:val="22"/>
                <w:szCs w:val="22"/>
              </w:rPr>
            </w:pPr>
          </w:p>
        </w:tc>
        <w:tc>
          <w:tcPr>
            <w:tcW w:w="3420" w:type="dxa"/>
          </w:tcPr>
          <w:p w14:paraId="3A2B4F5B" w14:textId="77777777" w:rsidR="00AF3DCD" w:rsidRPr="002E11E0" w:rsidRDefault="00AF3DCD" w:rsidP="00D5019B">
            <w:pPr>
              <w:rPr>
                <w:rFonts w:ascii="Arial" w:hAnsi="Arial" w:cs="Arial"/>
                <w:sz w:val="22"/>
              </w:rPr>
            </w:pPr>
            <w:r w:rsidRPr="002E11E0">
              <w:rPr>
                <w:rFonts w:ascii="Arial" w:hAnsi="Arial" w:cs="Arial"/>
                <w:sz w:val="22"/>
              </w:rPr>
              <w:t>In year variations to budget not containable within Collection Fund balances.</w:t>
            </w:r>
          </w:p>
          <w:p w14:paraId="2A902901" w14:textId="77777777" w:rsidR="00AF3DCD" w:rsidRPr="002E11E0" w:rsidRDefault="00AF3DCD" w:rsidP="00D5019B">
            <w:pPr>
              <w:rPr>
                <w:rFonts w:ascii="Arial" w:hAnsi="Arial" w:cs="Arial"/>
                <w:sz w:val="22"/>
                <w:szCs w:val="22"/>
              </w:rPr>
            </w:pPr>
          </w:p>
          <w:p w14:paraId="7781E81F" w14:textId="77777777" w:rsidR="00AF3DCD" w:rsidRPr="002E11E0" w:rsidRDefault="00AF3DCD" w:rsidP="00D5019B">
            <w:pPr>
              <w:rPr>
                <w:rFonts w:ascii="Arial" w:hAnsi="Arial" w:cs="Arial"/>
                <w:sz w:val="22"/>
                <w:szCs w:val="22"/>
              </w:rPr>
            </w:pPr>
            <w:r w:rsidRPr="002E11E0">
              <w:rPr>
                <w:rFonts w:ascii="Arial" w:hAnsi="Arial" w:cs="Arial"/>
                <w:sz w:val="22"/>
                <w:szCs w:val="22"/>
              </w:rPr>
              <w:t>Reduction and/or fluctuations in income against budget variation in:</w:t>
            </w:r>
          </w:p>
          <w:p w14:paraId="4DB2E885" w14:textId="77777777" w:rsidR="00AF3DCD" w:rsidRPr="002E11E0" w:rsidRDefault="00AF3DCD" w:rsidP="00D5019B">
            <w:pPr>
              <w:numPr>
                <w:ilvl w:val="0"/>
                <w:numId w:val="18"/>
              </w:numPr>
              <w:rPr>
                <w:rFonts w:ascii="Arial" w:hAnsi="Arial" w:cs="Arial"/>
                <w:sz w:val="22"/>
                <w:szCs w:val="22"/>
              </w:rPr>
            </w:pPr>
            <w:r w:rsidRPr="002E11E0">
              <w:rPr>
                <w:rFonts w:ascii="Arial" w:hAnsi="Arial" w:cs="Arial"/>
                <w:sz w:val="22"/>
                <w:szCs w:val="22"/>
              </w:rPr>
              <w:t>Recovery/growth compared to forecasts</w:t>
            </w:r>
          </w:p>
          <w:p w14:paraId="638F0883" w14:textId="77777777" w:rsidR="00AF3DCD" w:rsidRPr="002E11E0" w:rsidRDefault="00AF3DCD" w:rsidP="00D5019B">
            <w:pPr>
              <w:numPr>
                <w:ilvl w:val="0"/>
                <w:numId w:val="18"/>
              </w:numPr>
              <w:rPr>
                <w:rFonts w:ascii="Arial" w:hAnsi="Arial" w:cs="Arial"/>
                <w:sz w:val="22"/>
                <w:szCs w:val="22"/>
              </w:rPr>
            </w:pPr>
            <w:r w:rsidRPr="002E11E0">
              <w:rPr>
                <w:rFonts w:ascii="Arial" w:hAnsi="Arial" w:cs="Arial"/>
                <w:sz w:val="22"/>
                <w:szCs w:val="22"/>
              </w:rPr>
              <w:t xml:space="preserve">Changes in the NNDR base </w:t>
            </w:r>
          </w:p>
          <w:p w14:paraId="01466D66" w14:textId="77777777" w:rsidR="00AF3DCD" w:rsidRPr="002E11E0" w:rsidRDefault="00AF3DCD" w:rsidP="00D5019B">
            <w:pPr>
              <w:numPr>
                <w:ilvl w:val="0"/>
                <w:numId w:val="18"/>
              </w:numPr>
              <w:rPr>
                <w:rFonts w:ascii="Arial" w:hAnsi="Arial" w:cs="Arial"/>
                <w:sz w:val="22"/>
                <w:szCs w:val="22"/>
              </w:rPr>
            </w:pPr>
            <w:r w:rsidRPr="002E11E0">
              <w:rPr>
                <w:rFonts w:ascii="Arial" w:hAnsi="Arial" w:cs="Arial"/>
                <w:sz w:val="22"/>
                <w:szCs w:val="22"/>
              </w:rPr>
              <w:t>Changes in rateable values (e.g. appeals, economic downturn, changes in use, material change in circumstances)</w:t>
            </w:r>
          </w:p>
          <w:p w14:paraId="05DF9370" w14:textId="77777777" w:rsidR="00AF3DCD" w:rsidRPr="002E11E0" w:rsidRDefault="00AF3DCD" w:rsidP="00D5019B">
            <w:pPr>
              <w:numPr>
                <w:ilvl w:val="0"/>
                <w:numId w:val="18"/>
              </w:numPr>
              <w:rPr>
                <w:rFonts w:ascii="Arial" w:hAnsi="Arial" w:cs="Arial"/>
                <w:sz w:val="22"/>
                <w:szCs w:val="22"/>
              </w:rPr>
            </w:pPr>
            <w:r w:rsidRPr="002E11E0">
              <w:rPr>
                <w:rFonts w:ascii="Arial" w:hAnsi="Arial" w:cs="Arial"/>
                <w:sz w:val="22"/>
                <w:szCs w:val="22"/>
              </w:rPr>
              <w:t>Collection rates</w:t>
            </w:r>
          </w:p>
          <w:p w14:paraId="6D27D7B3" w14:textId="77777777" w:rsidR="00AF3DCD" w:rsidRPr="002E11E0" w:rsidRDefault="00AF3DCD" w:rsidP="00D5019B">
            <w:pPr>
              <w:numPr>
                <w:ilvl w:val="0"/>
                <w:numId w:val="18"/>
              </w:numPr>
              <w:rPr>
                <w:rFonts w:ascii="Arial" w:hAnsi="Arial" w:cs="Arial"/>
                <w:sz w:val="22"/>
                <w:szCs w:val="22"/>
              </w:rPr>
            </w:pPr>
            <w:r w:rsidRPr="002E11E0">
              <w:rPr>
                <w:rFonts w:ascii="Arial" w:hAnsi="Arial" w:cs="Arial"/>
                <w:sz w:val="22"/>
                <w:szCs w:val="22"/>
              </w:rPr>
              <w:t>Ongoing impact on the NNDR base of successful appeals</w:t>
            </w:r>
          </w:p>
          <w:p w14:paraId="2C8AD337" w14:textId="77777777" w:rsidR="00AF3DCD" w:rsidRPr="002E11E0" w:rsidRDefault="00AF3DCD" w:rsidP="00D5019B">
            <w:pPr>
              <w:numPr>
                <w:ilvl w:val="0"/>
                <w:numId w:val="22"/>
              </w:numPr>
              <w:rPr>
                <w:rFonts w:ascii="Arial" w:hAnsi="Arial" w:cs="Arial"/>
                <w:sz w:val="22"/>
                <w:szCs w:val="22"/>
              </w:rPr>
            </w:pPr>
            <w:r w:rsidRPr="002E11E0">
              <w:rPr>
                <w:rFonts w:ascii="Arial" w:hAnsi="Arial" w:cs="Arial"/>
                <w:sz w:val="22"/>
                <w:szCs w:val="22"/>
              </w:rPr>
              <w:t xml:space="preserve">Estimates of appeals provision higher/lower than actually required </w:t>
            </w:r>
          </w:p>
          <w:p w14:paraId="64D5AFD5" w14:textId="77777777" w:rsidR="00AF3DCD" w:rsidRPr="002E11E0" w:rsidRDefault="00AF3DCD" w:rsidP="00D5019B">
            <w:pPr>
              <w:numPr>
                <w:ilvl w:val="0"/>
                <w:numId w:val="18"/>
              </w:numPr>
              <w:rPr>
                <w:rFonts w:ascii="Arial" w:hAnsi="Arial" w:cs="Arial"/>
                <w:sz w:val="22"/>
                <w:szCs w:val="22"/>
              </w:rPr>
            </w:pPr>
            <w:r w:rsidRPr="002E11E0">
              <w:rPr>
                <w:rFonts w:ascii="Arial" w:hAnsi="Arial" w:cs="Arial"/>
                <w:sz w:val="22"/>
                <w:szCs w:val="22"/>
              </w:rPr>
              <w:t>Changes nationally to the valuation assessments of certain property/infrastructure</w:t>
            </w:r>
          </w:p>
          <w:p w14:paraId="74C769D3" w14:textId="77777777" w:rsidR="00AF3DCD" w:rsidRPr="002E11E0" w:rsidRDefault="00AF3DCD" w:rsidP="00D5019B">
            <w:pPr>
              <w:rPr>
                <w:rFonts w:ascii="Arial" w:hAnsi="Arial" w:cs="Arial"/>
                <w:sz w:val="22"/>
                <w:szCs w:val="22"/>
              </w:rPr>
            </w:pPr>
          </w:p>
          <w:p w14:paraId="2133AFA0" w14:textId="77777777" w:rsidR="00AF3DCD" w:rsidRPr="002E11E0" w:rsidRDefault="00AF3DCD" w:rsidP="00D5019B">
            <w:pPr>
              <w:rPr>
                <w:rFonts w:ascii="Arial" w:hAnsi="Arial" w:cs="Arial"/>
                <w:sz w:val="22"/>
                <w:szCs w:val="22"/>
              </w:rPr>
            </w:pPr>
          </w:p>
        </w:tc>
        <w:tc>
          <w:tcPr>
            <w:tcW w:w="1980" w:type="dxa"/>
            <w:tcBorders>
              <w:bottom w:val="single" w:sz="4" w:space="0" w:color="auto"/>
            </w:tcBorders>
            <w:shd w:val="clear" w:color="auto" w:fill="00B050"/>
          </w:tcPr>
          <w:p w14:paraId="56E55D39" w14:textId="77777777" w:rsidR="00AF3DCD" w:rsidRPr="007C09CF" w:rsidRDefault="00AF3DCD" w:rsidP="00D5019B">
            <w:pPr>
              <w:jc w:val="center"/>
              <w:rPr>
                <w:rFonts w:ascii="Arial" w:hAnsi="Arial" w:cs="Arial"/>
                <w:sz w:val="22"/>
                <w:szCs w:val="22"/>
              </w:rPr>
            </w:pPr>
          </w:p>
          <w:p w14:paraId="38363437" w14:textId="77777777" w:rsidR="00AF3DCD" w:rsidRPr="007C09CF" w:rsidRDefault="00AF3DCD" w:rsidP="00D5019B">
            <w:pPr>
              <w:jc w:val="center"/>
              <w:rPr>
                <w:rFonts w:ascii="Arial" w:hAnsi="Arial" w:cs="Arial"/>
                <w:b/>
                <w:sz w:val="22"/>
                <w:szCs w:val="22"/>
              </w:rPr>
            </w:pPr>
            <w:r w:rsidRPr="007C09CF">
              <w:rPr>
                <w:rFonts w:ascii="Arial" w:hAnsi="Arial" w:cs="Arial"/>
                <w:b/>
                <w:sz w:val="22"/>
                <w:szCs w:val="22"/>
              </w:rPr>
              <w:t xml:space="preserve">Total Score: </w:t>
            </w:r>
            <w:r>
              <w:rPr>
                <w:rFonts w:ascii="Arial" w:hAnsi="Arial" w:cs="Arial"/>
                <w:b/>
                <w:sz w:val="22"/>
                <w:szCs w:val="22"/>
              </w:rPr>
              <w:t>3</w:t>
            </w:r>
          </w:p>
          <w:p w14:paraId="127DFA06" w14:textId="77777777" w:rsidR="00AF3DCD" w:rsidRPr="007C09CF" w:rsidRDefault="00AF3DCD" w:rsidP="00D5019B">
            <w:pPr>
              <w:jc w:val="center"/>
              <w:rPr>
                <w:rFonts w:ascii="Arial" w:hAnsi="Arial" w:cs="Arial"/>
                <w:sz w:val="22"/>
                <w:szCs w:val="22"/>
              </w:rPr>
            </w:pPr>
          </w:p>
          <w:p w14:paraId="05ED7C12" w14:textId="77777777" w:rsidR="00AF3DCD" w:rsidRPr="007C09CF" w:rsidRDefault="00AF3DCD" w:rsidP="00D5019B">
            <w:pPr>
              <w:jc w:val="center"/>
              <w:rPr>
                <w:rFonts w:ascii="Arial" w:hAnsi="Arial" w:cs="Arial"/>
                <w:sz w:val="22"/>
                <w:szCs w:val="22"/>
              </w:rPr>
            </w:pPr>
          </w:p>
          <w:p w14:paraId="02BD6163" w14:textId="77777777" w:rsidR="00AF3DCD" w:rsidRPr="007C09CF" w:rsidRDefault="00AF3DCD" w:rsidP="00D5019B">
            <w:pPr>
              <w:jc w:val="center"/>
              <w:rPr>
                <w:rFonts w:ascii="Arial" w:hAnsi="Arial" w:cs="Arial"/>
                <w:sz w:val="22"/>
                <w:szCs w:val="22"/>
              </w:rPr>
            </w:pPr>
            <w:r w:rsidRPr="007C09CF">
              <w:rPr>
                <w:rFonts w:ascii="Arial" w:hAnsi="Arial" w:cs="Arial"/>
                <w:sz w:val="22"/>
                <w:szCs w:val="22"/>
              </w:rPr>
              <w:t xml:space="preserve">Likelihood: </w:t>
            </w:r>
            <w:r>
              <w:rPr>
                <w:rFonts w:ascii="Arial" w:hAnsi="Arial" w:cs="Arial"/>
                <w:sz w:val="22"/>
                <w:szCs w:val="22"/>
              </w:rPr>
              <w:t>3</w:t>
            </w:r>
          </w:p>
          <w:p w14:paraId="364DB1D6" w14:textId="77777777" w:rsidR="00AF3DCD" w:rsidRPr="00F0797B" w:rsidRDefault="00AF3DCD" w:rsidP="00D5019B">
            <w:pPr>
              <w:jc w:val="center"/>
              <w:rPr>
                <w:rFonts w:ascii="Arial" w:hAnsi="Arial" w:cs="Arial"/>
                <w:sz w:val="22"/>
                <w:szCs w:val="22"/>
                <w:highlight w:val="yellow"/>
              </w:rPr>
            </w:pPr>
            <w:r w:rsidRPr="007C09CF">
              <w:rPr>
                <w:rFonts w:ascii="Arial" w:hAnsi="Arial" w:cs="Arial"/>
                <w:sz w:val="22"/>
                <w:szCs w:val="22"/>
              </w:rPr>
              <w:t xml:space="preserve">Impact: </w:t>
            </w:r>
            <w:r>
              <w:rPr>
                <w:rFonts w:ascii="Arial" w:hAnsi="Arial" w:cs="Arial"/>
                <w:sz w:val="22"/>
                <w:szCs w:val="22"/>
              </w:rPr>
              <w:t>1</w:t>
            </w:r>
          </w:p>
        </w:tc>
        <w:tc>
          <w:tcPr>
            <w:tcW w:w="1926" w:type="dxa"/>
            <w:tcBorders>
              <w:bottom w:val="single" w:sz="4" w:space="0" w:color="auto"/>
            </w:tcBorders>
            <w:shd w:val="clear" w:color="auto" w:fill="FFC000"/>
          </w:tcPr>
          <w:p w14:paraId="5DAC324A" w14:textId="77777777" w:rsidR="00AF3DCD" w:rsidRPr="00F0797B" w:rsidRDefault="00AF3DCD" w:rsidP="00D5019B">
            <w:pPr>
              <w:jc w:val="center"/>
              <w:rPr>
                <w:rFonts w:ascii="Arial" w:hAnsi="Arial" w:cs="Arial"/>
                <w:sz w:val="22"/>
                <w:szCs w:val="22"/>
                <w:highlight w:val="yellow"/>
              </w:rPr>
            </w:pPr>
          </w:p>
          <w:p w14:paraId="32121FAB" w14:textId="77777777" w:rsidR="00AF3DCD" w:rsidRPr="001578AA" w:rsidRDefault="00AF3DCD" w:rsidP="00D5019B">
            <w:pPr>
              <w:jc w:val="center"/>
              <w:rPr>
                <w:rFonts w:ascii="Arial" w:hAnsi="Arial" w:cs="Arial"/>
                <w:b/>
                <w:sz w:val="22"/>
                <w:szCs w:val="22"/>
              </w:rPr>
            </w:pPr>
            <w:r w:rsidRPr="001578AA">
              <w:rPr>
                <w:rFonts w:ascii="Arial" w:hAnsi="Arial" w:cs="Arial"/>
                <w:b/>
                <w:sz w:val="22"/>
                <w:szCs w:val="22"/>
              </w:rPr>
              <w:t xml:space="preserve">Total Score: </w:t>
            </w:r>
            <w:r>
              <w:rPr>
                <w:rFonts w:ascii="Arial" w:hAnsi="Arial" w:cs="Arial"/>
                <w:b/>
                <w:sz w:val="22"/>
                <w:szCs w:val="22"/>
              </w:rPr>
              <w:t>6</w:t>
            </w:r>
          </w:p>
          <w:p w14:paraId="7C55B457" w14:textId="77777777" w:rsidR="00AF3DCD" w:rsidRPr="001578AA" w:rsidRDefault="00AF3DCD" w:rsidP="00D5019B">
            <w:pPr>
              <w:jc w:val="center"/>
              <w:rPr>
                <w:rFonts w:ascii="Arial" w:hAnsi="Arial" w:cs="Arial"/>
                <w:sz w:val="22"/>
                <w:szCs w:val="22"/>
              </w:rPr>
            </w:pPr>
          </w:p>
          <w:p w14:paraId="7EF469E8" w14:textId="77777777" w:rsidR="00AF3DCD" w:rsidRPr="001578AA" w:rsidRDefault="00AF3DCD" w:rsidP="00D5019B">
            <w:pPr>
              <w:jc w:val="center"/>
              <w:rPr>
                <w:rFonts w:ascii="Arial" w:hAnsi="Arial" w:cs="Arial"/>
                <w:sz w:val="22"/>
                <w:szCs w:val="22"/>
              </w:rPr>
            </w:pPr>
          </w:p>
          <w:p w14:paraId="018FF6AD" w14:textId="77777777" w:rsidR="00AF3DCD" w:rsidRPr="001578AA" w:rsidRDefault="00AF3DCD" w:rsidP="00D5019B">
            <w:pPr>
              <w:jc w:val="center"/>
              <w:rPr>
                <w:rFonts w:ascii="Arial" w:hAnsi="Arial" w:cs="Arial"/>
                <w:sz w:val="22"/>
                <w:szCs w:val="22"/>
              </w:rPr>
            </w:pPr>
            <w:r w:rsidRPr="001578AA">
              <w:rPr>
                <w:rFonts w:ascii="Arial" w:hAnsi="Arial" w:cs="Arial"/>
                <w:sz w:val="22"/>
                <w:szCs w:val="22"/>
              </w:rPr>
              <w:t>Likelihood: 3</w:t>
            </w:r>
          </w:p>
          <w:p w14:paraId="0AF6F509" w14:textId="77777777" w:rsidR="00AF3DCD" w:rsidRPr="00F0797B" w:rsidRDefault="00AF3DCD" w:rsidP="00D5019B">
            <w:pPr>
              <w:jc w:val="center"/>
              <w:rPr>
                <w:rFonts w:ascii="Arial" w:hAnsi="Arial" w:cs="Arial"/>
                <w:sz w:val="22"/>
                <w:szCs w:val="22"/>
                <w:highlight w:val="yellow"/>
              </w:rPr>
            </w:pPr>
            <w:r w:rsidRPr="001578AA">
              <w:rPr>
                <w:rFonts w:ascii="Arial" w:hAnsi="Arial" w:cs="Arial"/>
                <w:sz w:val="22"/>
                <w:szCs w:val="22"/>
              </w:rPr>
              <w:t xml:space="preserve">Impact: </w:t>
            </w:r>
            <w:r>
              <w:rPr>
                <w:rFonts w:ascii="Arial" w:hAnsi="Arial" w:cs="Arial"/>
                <w:sz w:val="22"/>
                <w:szCs w:val="22"/>
              </w:rPr>
              <w:t>2</w:t>
            </w:r>
          </w:p>
        </w:tc>
        <w:tc>
          <w:tcPr>
            <w:tcW w:w="5276" w:type="dxa"/>
          </w:tcPr>
          <w:p w14:paraId="3F2317DD" w14:textId="77777777" w:rsidR="00AF3DCD" w:rsidRPr="007C09CF" w:rsidRDefault="00AF3DCD" w:rsidP="00D5019B">
            <w:pPr>
              <w:numPr>
                <w:ilvl w:val="0"/>
                <w:numId w:val="13"/>
              </w:numPr>
              <w:tabs>
                <w:tab w:val="clear" w:pos="780"/>
                <w:tab w:val="num" w:pos="486"/>
              </w:tabs>
              <w:ind w:left="486"/>
              <w:rPr>
                <w:rFonts w:ascii="Arial" w:hAnsi="Arial" w:cs="Arial"/>
                <w:sz w:val="22"/>
              </w:rPr>
            </w:pPr>
            <w:r>
              <w:rPr>
                <w:rFonts w:ascii="Arial" w:hAnsi="Arial" w:cs="Arial"/>
                <w:sz w:val="22"/>
              </w:rPr>
              <w:t>Monthly</w:t>
            </w:r>
            <w:r w:rsidRPr="007C09CF">
              <w:rPr>
                <w:rFonts w:ascii="Arial" w:hAnsi="Arial" w:cs="Arial"/>
                <w:sz w:val="22"/>
              </w:rPr>
              <w:t xml:space="preserve"> monitoring of the NNDR base, Collection Fund, collection rates, growth assumptions and rateable value appeals.</w:t>
            </w:r>
          </w:p>
          <w:p w14:paraId="4057441A" w14:textId="77777777" w:rsidR="00AF3DCD" w:rsidRPr="007C09CF" w:rsidRDefault="00AF3DCD" w:rsidP="00D5019B">
            <w:pPr>
              <w:numPr>
                <w:ilvl w:val="0"/>
                <w:numId w:val="13"/>
              </w:numPr>
              <w:tabs>
                <w:tab w:val="clear" w:pos="780"/>
                <w:tab w:val="num" w:pos="486"/>
              </w:tabs>
              <w:ind w:left="486"/>
              <w:rPr>
                <w:rFonts w:ascii="Arial" w:hAnsi="Arial" w:cs="Arial"/>
                <w:sz w:val="22"/>
              </w:rPr>
            </w:pPr>
            <w:r w:rsidRPr="007C09CF">
              <w:rPr>
                <w:rFonts w:ascii="Arial" w:hAnsi="Arial" w:cs="Arial"/>
                <w:sz w:val="22"/>
              </w:rPr>
              <w:t>Produce monthly collection rate statements – monitored via the Revenues and Benefits Operational Board, and Revenues and Benefits Management Team.  Also report quarterly to Corporate Management Team, Executive and Performance Scrutiny Committee if targets are not being met, increased recovery action or further initiatives to increase collection</w:t>
            </w:r>
          </w:p>
          <w:p w14:paraId="6EDC6E43" w14:textId="77777777" w:rsidR="00AF3DCD" w:rsidRPr="007C09CF" w:rsidRDefault="00AF3DCD" w:rsidP="00D5019B">
            <w:pPr>
              <w:numPr>
                <w:ilvl w:val="0"/>
                <w:numId w:val="13"/>
              </w:numPr>
              <w:tabs>
                <w:tab w:val="clear" w:pos="780"/>
                <w:tab w:val="num" w:pos="486"/>
              </w:tabs>
              <w:ind w:left="486"/>
              <w:rPr>
                <w:rFonts w:ascii="Arial" w:hAnsi="Arial" w:cs="Arial"/>
                <w:sz w:val="22"/>
              </w:rPr>
            </w:pPr>
            <w:r w:rsidRPr="007C09CF">
              <w:rPr>
                <w:rFonts w:ascii="Arial" w:hAnsi="Arial" w:cs="Arial"/>
                <w:sz w:val="22"/>
              </w:rPr>
              <w:t xml:space="preserve">Report quarterly to Corporate Management Team, Executive and Performance Scrutiny Committee </w:t>
            </w:r>
          </w:p>
          <w:p w14:paraId="197EF1DC" w14:textId="77777777" w:rsidR="00AF3DCD" w:rsidRPr="007C09CF" w:rsidRDefault="00AF3DCD" w:rsidP="00D5019B">
            <w:pPr>
              <w:numPr>
                <w:ilvl w:val="0"/>
                <w:numId w:val="13"/>
              </w:numPr>
              <w:tabs>
                <w:tab w:val="clear" w:pos="780"/>
                <w:tab w:val="num" w:pos="486"/>
              </w:tabs>
              <w:ind w:left="486"/>
              <w:rPr>
                <w:rFonts w:ascii="Arial" w:hAnsi="Arial" w:cs="Arial"/>
                <w:sz w:val="22"/>
              </w:rPr>
            </w:pPr>
            <w:r w:rsidRPr="007C09CF">
              <w:rPr>
                <w:rFonts w:ascii="Arial" w:hAnsi="Arial" w:cs="Arial"/>
                <w:sz w:val="22"/>
              </w:rPr>
              <w:t xml:space="preserve">A Business Rate Volatility Reserve is maintained to provide a degree of protection from fluctuations in Business Rate Income </w:t>
            </w:r>
          </w:p>
          <w:p w14:paraId="36113F97" w14:textId="77777777" w:rsidR="00AF3DCD" w:rsidRPr="007C09CF" w:rsidRDefault="00AF3DCD" w:rsidP="00D5019B">
            <w:pPr>
              <w:numPr>
                <w:ilvl w:val="0"/>
                <w:numId w:val="13"/>
              </w:numPr>
              <w:tabs>
                <w:tab w:val="clear" w:pos="780"/>
                <w:tab w:val="num" w:pos="486"/>
              </w:tabs>
              <w:ind w:left="486"/>
              <w:rPr>
                <w:rFonts w:ascii="Arial" w:hAnsi="Arial" w:cs="Arial"/>
                <w:sz w:val="22"/>
              </w:rPr>
            </w:pPr>
            <w:r w:rsidRPr="007C09CF">
              <w:rPr>
                <w:rFonts w:ascii="Arial" w:hAnsi="Arial" w:cs="Arial"/>
                <w:sz w:val="22"/>
              </w:rPr>
              <w:t>Independent specialist assessment made of the required level of NNDR appeals provision</w:t>
            </w:r>
          </w:p>
          <w:p w14:paraId="4EC16650" w14:textId="77777777" w:rsidR="00AF3DCD" w:rsidRPr="007C09CF" w:rsidRDefault="00AF3DCD" w:rsidP="00D5019B">
            <w:pPr>
              <w:numPr>
                <w:ilvl w:val="0"/>
                <w:numId w:val="13"/>
              </w:numPr>
              <w:tabs>
                <w:tab w:val="clear" w:pos="780"/>
                <w:tab w:val="num" w:pos="486"/>
              </w:tabs>
              <w:ind w:left="486"/>
              <w:rPr>
                <w:rFonts w:ascii="Arial" w:hAnsi="Arial" w:cs="Arial"/>
                <w:sz w:val="22"/>
              </w:rPr>
            </w:pPr>
            <w:r w:rsidRPr="007C09CF">
              <w:rPr>
                <w:rFonts w:ascii="Arial" w:hAnsi="Arial" w:cs="Arial"/>
                <w:sz w:val="22"/>
              </w:rPr>
              <w:t>Specialist advice sought to assist in budgeting assumptions and assessment of implications of changes to the funding system</w:t>
            </w:r>
          </w:p>
          <w:p w14:paraId="6C7ED876" w14:textId="77777777" w:rsidR="00AF3DCD" w:rsidRPr="007C09CF" w:rsidRDefault="00AF3DCD" w:rsidP="00D5019B">
            <w:pPr>
              <w:numPr>
                <w:ilvl w:val="0"/>
                <w:numId w:val="13"/>
              </w:numPr>
              <w:tabs>
                <w:tab w:val="clear" w:pos="780"/>
                <w:tab w:val="num" w:pos="486"/>
              </w:tabs>
              <w:ind w:left="486"/>
              <w:rPr>
                <w:rFonts w:ascii="Arial" w:hAnsi="Arial" w:cs="Arial"/>
                <w:sz w:val="22"/>
              </w:rPr>
            </w:pPr>
            <w:r w:rsidRPr="007C09CF">
              <w:rPr>
                <w:rFonts w:ascii="Arial" w:hAnsi="Arial" w:cs="Arial"/>
                <w:sz w:val="22"/>
              </w:rPr>
              <w:t>Delivery of key schemes in Vision 20</w:t>
            </w:r>
            <w:r>
              <w:rPr>
                <w:rFonts w:ascii="Arial" w:hAnsi="Arial" w:cs="Arial"/>
                <w:sz w:val="22"/>
              </w:rPr>
              <w:t>30</w:t>
            </w:r>
            <w:r w:rsidRPr="007C09CF">
              <w:rPr>
                <w:rFonts w:ascii="Arial" w:hAnsi="Arial" w:cs="Arial"/>
                <w:sz w:val="22"/>
              </w:rPr>
              <w:t xml:space="preserve"> to support recovery of the High Street, City and the economy, including direct investment by the Council.</w:t>
            </w:r>
          </w:p>
          <w:p w14:paraId="5943190F" w14:textId="4B9B43C4" w:rsidR="00AF3DCD" w:rsidRPr="00096067" w:rsidRDefault="00AF3DCD" w:rsidP="00D5019B">
            <w:pPr>
              <w:numPr>
                <w:ilvl w:val="0"/>
                <w:numId w:val="13"/>
              </w:numPr>
              <w:tabs>
                <w:tab w:val="clear" w:pos="780"/>
                <w:tab w:val="num" w:pos="486"/>
              </w:tabs>
              <w:ind w:left="486"/>
              <w:rPr>
                <w:rFonts w:ascii="Arial" w:hAnsi="Arial" w:cs="Arial"/>
                <w:sz w:val="22"/>
              </w:rPr>
            </w:pPr>
            <w:r w:rsidRPr="00096067">
              <w:rPr>
                <w:rFonts w:ascii="Arial" w:hAnsi="Arial" w:cs="Arial"/>
                <w:sz w:val="22"/>
              </w:rPr>
              <w:t xml:space="preserve">MTFS assumes funding </w:t>
            </w:r>
            <w:r w:rsidR="00802ABE">
              <w:rPr>
                <w:rFonts w:ascii="Arial" w:hAnsi="Arial" w:cs="Arial"/>
                <w:sz w:val="22"/>
              </w:rPr>
              <w:t>marginally above</w:t>
            </w:r>
            <w:r w:rsidRPr="00096067">
              <w:rPr>
                <w:rFonts w:ascii="Arial" w:hAnsi="Arial" w:cs="Arial"/>
                <w:sz w:val="22"/>
              </w:rPr>
              <w:t xml:space="preserve"> baseline funding level with no assumed </w:t>
            </w:r>
            <w:r w:rsidR="00802ABE">
              <w:rPr>
                <w:rFonts w:ascii="Arial" w:hAnsi="Arial" w:cs="Arial"/>
                <w:sz w:val="22"/>
              </w:rPr>
              <w:t xml:space="preserve">future </w:t>
            </w:r>
            <w:r w:rsidRPr="00096067">
              <w:rPr>
                <w:rFonts w:ascii="Arial" w:hAnsi="Arial" w:cs="Arial"/>
                <w:sz w:val="22"/>
              </w:rPr>
              <w:t>growth.</w:t>
            </w:r>
          </w:p>
          <w:p w14:paraId="7E252764" w14:textId="77777777" w:rsidR="00AF3DCD" w:rsidRPr="00096067" w:rsidRDefault="00AF3DCD" w:rsidP="00D5019B">
            <w:pPr>
              <w:numPr>
                <w:ilvl w:val="0"/>
                <w:numId w:val="13"/>
              </w:numPr>
              <w:tabs>
                <w:tab w:val="clear" w:pos="780"/>
                <w:tab w:val="num" w:pos="486"/>
              </w:tabs>
              <w:ind w:left="486"/>
              <w:rPr>
                <w:rFonts w:ascii="Arial" w:hAnsi="Arial" w:cs="Arial"/>
                <w:sz w:val="22"/>
              </w:rPr>
            </w:pPr>
            <w:r w:rsidRPr="00096067">
              <w:rPr>
                <w:rFonts w:ascii="Arial" w:hAnsi="Arial" w:cs="Arial"/>
                <w:sz w:val="22"/>
              </w:rPr>
              <w:t>100% safety net in place for 2026/27</w:t>
            </w:r>
          </w:p>
          <w:p w14:paraId="72652A73" w14:textId="77777777" w:rsidR="00AF3DCD" w:rsidRPr="00096067" w:rsidRDefault="00AF3DCD" w:rsidP="00D5019B">
            <w:pPr>
              <w:numPr>
                <w:ilvl w:val="0"/>
                <w:numId w:val="13"/>
              </w:numPr>
              <w:tabs>
                <w:tab w:val="clear" w:pos="780"/>
                <w:tab w:val="num" w:pos="486"/>
              </w:tabs>
              <w:ind w:left="486"/>
              <w:rPr>
                <w:rFonts w:ascii="Arial" w:hAnsi="Arial" w:cs="Arial"/>
                <w:sz w:val="22"/>
              </w:rPr>
            </w:pPr>
            <w:r w:rsidRPr="00096067">
              <w:rPr>
                <w:rFonts w:ascii="Arial" w:hAnsi="Arial" w:cs="Arial"/>
                <w:sz w:val="22"/>
              </w:rPr>
              <w:t>Element of risk removed with move from net to gross rates methodology.</w:t>
            </w:r>
          </w:p>
          <w:p w14:paraId="2E1A7930" w14:textId="77777777" w:rsidR="00AF3DCD" w:rsidRPr="00C35FD4" w:rsidRDefault="00AF3DCD" w:rsidP="00D5019B">
            <w:pPr>
              <w:ind w:left="486"/>
              <w:rPr>
                <w:rFonts w:ascii="Arial" w:hAnsi="Arial" w:cs="Arial"/>
                <w:sz w:val="22"/>
              </w:rPr>
            </w:pPr>
          </w:p>
        </w:tc>
      </w:tr>
      <w:tr w:rsidR="00E94C11" w:rsidRPr="005C6861" w14:paraId="764C3858" w14:textId="77777777" w:rsidTr="00991DA6">
        <w:trPr>
          <w:tblHeader/>
        </w:trPr>
        <w:tc>
          <w:tcPr>
            <w:tcW w:w="693" w:type="dxa"/>
          </w:tcPr>
          <w:p w14:paraId="272F57CD" w14:textId="228AA9BB" w:rsidR="00AF3DCD" w:rsidRPr="00EB2204" w:rsidRDefault="00AF3DCD" w:rsidP="00D5019B">
            <w:pPr>
              <w:rPr>
                <w:rFonts w:ascii="Arial" w:hAnsi="Arial" w:cs="Arial"/>
                <w:sz w:val="22"/>
              </w:rPr>
            </w:pPr>
            <w:r>
              <w:rPr>
                <w:rFonts w:ascii="Arial" w:hAnsi="Arial" w:cs="Arial"/>
                <w:sz w:val="22"/>
              </w:rPr>
              <w:t>19</w:t>
            </w:r>
          </w:p>
        </w:tc>
        <w:tc>
          <w:tcPr>
            <w:tcW w:w="2108" w:type="dxa"/>
          </w:tcPr>
          <w:p w14:paraId="5E482A76" w14:textId="77777777" w:rsidR="00AF3DCD" w:rsidRPr="00EB2204" w:rsidRDefault="00AF3DCD" w:rsidP="00D5019B">
            <w:pPr>
              <w:rPr>
                <w:rFonts w:ascii="Arial" w:hAnsi="Arial" w:cs="Arial"/>
                <w:sz w:val="22"/>
              </w:rPr>
            </w:pPr>
            <w:r w:rsidRPr="00EB2204">
              <w:rPr>
                <w:rFonts w:ascii="Arial" w:hAnsi="Arial" w:cs="Arial"/>
                <w:sz w:val="22"/>
              </w:rPr>
              <w:t>Government Funding – Fair Funding Assessment</w:t>
            </w:r>
          </w:p>
        </w:tc>
        <w:tc>
          <w:tcPr>
            <w:tcW w:w="3420" w:type="dxa"/>
            <w:shd w:val="clear" w:color="auto" w:fill="FFFFFF" w:themeFill="background1"/>
          </w:tcPr>
          <w:p w14:paraId="1191ECA7" w14:textId="77777777" w:rsidR="00AF3DCD" w:rsidRDefault="00AF3DCD" w:rsidP="00D5019B">
            <w:pPr>
              <w:rPr>
                <w:rFonts w:ascii="Arial" w:hAnsi="Arial" w:cs="Arial"/>
                <w:sz w:val="22"/>
                <w:szCs w:val="22"/>
              </w:rPr>
            </w:pPr>
            <w:r w:rsidRPr="00EB2204">
              <w:rPr>
                <w:rFonts w:ascii="Arial" w:hAnsi="Arial" w:cs="Arial"/>
                <w:sz w:val="22"/>
                <w:szCs w:val="22"/>
              </w:rPr>
              <w:t>Impact of Spending Review 2028 and on other national funding changes on overall Departmental Expenditure Limits, reducing funding to local government.</w:t>
            </w:r>
          </w:p>
          <w:p w14:paraId="710921B3" w14:textId="77777777" w:rsidR="005B24DD" w:rsidRDefault="005B24DD" w:rsidP="00D5019B">
            <w:pPr>
              <w:rPr>
                <w:rFonts w:ascii="Arial" w:hAnsi="Arial" w:cs="Arial"/>
                <w:sz w:val="22"/>
                <w:szCs w:val="22"/>
              </w:rPr>
            </w:pPr>
          </w:p>
          <w:p w14:paraId="7AC3E314" w14:textId="4DA0E241" w:rsidR="005B24DD" w:rsidRPr="00EB2204" w:rsidRDefault="005B24DD" w:rsidP="00D5019B">
            <w:pPr>
              <w:rPr>
                <w:rFonts w:ascii="Arial" w:hAnsi="Arial" w:cs="Arial"/>
                <w:sz w:val="22"/>
                <w:szCs w:val="22"/>
              </w:rPr>
            </w:pPr>
            <w:r>
              <w:rPr>
                <w:rFonts w:ascii="Arial" w:hAnsi="Arial" w:cs="Arial"/>
                <w:sz w:val="22"/>
                <w:szCs w:val="22"/>
              </w:rPr>
              <w:t>Although 3-year Settlement announced, only 2026/27 figures are fixed with potential for change in future years.</w:t>
            </w:r>
          </w:p>
          <w:p w14:paraId="263078D8" w14:textId="77777777" w:rsidR="00AF3DCD" w:rsidRPr="00EB2204" w:rsidRDefault="00AF3DCD" w:rsidP="00D5019B">
            <w:pPr>
              <w:rPr>
                <w:rFonts w:ascii="Arial" w:hAnsi="Arial" w:cs="Arial"/>
                <w:sz w:val="22"/>
                <w:szCs w:val="22"/>
              </w:rPr>
            </w:pPr>
          </w:p>
          <w:p w14:paraId="2C98B676" w14:textId="77777777" w:rsidR="00AF3DCD" w:rsidRPr="00EB2204" w:rsidRDefault="00AF3DCD" w:rsidP="00D5019B">
            <w:pPr>
              <w:rPr>
                <w:rFonts w:ascii="Arial" w:hAnsi="Arial" w:cs="Arial"/>
                <w:sz w:val="22"/>
              </w:rPr>
            </w:pPr>
          </w:p>
        </w:tc>
        <w:tc>
          <w:tcPr>
            <w:tcW w:w="1980" w:type="dxa"/>
            <w:shd w:val="clear" w:color="auto" w:fill="00B050"/>
          </w:tcPr>
          <w:p w14:paraId="799C84FC" w14:textId="77777777" w:rsidR="00AF3DCD" w:rsidRPr="00EB2204" w:rsidRDefault="00AF3DCD" w:rsidP="00D5019B">
            <w:pPr>
              <w:jc w:val="center"/>
              <w:rPr>
                <w:rFonts w:ascii="Arial" w:hAnsi="Arial" w:cs="Arial"/>
                <w:sz w:val="22"/>
              </w:rPr>
            </w:pPr>
          </w:p>
          <w:p w14:paraId="04A6B9A0" w14:textId="77777777" w:rsidR="00AF3DCD" w:rsidRPr="00EB2204" w:rsidRDefault="00AF3DCD" w:rsidP="00D5019B">
            <w:pPr>
              <w:jc w:val="center"/>
              <w:rPr>
                <w:rFonts w:ascii="Arial" w:hAnsi="Arial" w:cs="Arial"/>
                <w:b/>
                <w:sz w:val="22"/>
                <w:szCs w:val="22"/>
              </w:rPr>
            </w:pPr>
            <w:r w:rsidRPr="00EB2204">
              <w:rPr>
                <w:rFonts w:ascii="Arial" w:hAnsi="Arial" w:cs="Arial"/>
                <w:b/>
                <w:sz w:val="22"/>
                <w:szCs w:val="22"/>
              </w:rPr>
              <w:t>Total Score: 2</w:t>
            </w:r>
          </w:p>
          <w:p w14:paraId="0B2BEF31" w14:textId="77777777" w:rsidR="00AF3DCD" w:rsidRPr="00EB2204" w:rsidRDefault="00AF3DCD" w:rsidP="00D5019B">
            <w:pPr>
              <w:jc w:val="center"/>
              <w:rPr>
                <w:rFonts w:ascii="Arial" w:hAnsi="Arial" w:cs="Arial"/>
                <w:b/>
                <w:sz w:val="22"/>
                <w:szCs w:val="22"/>
              </w:rPr>
            </w:pPr>
          </w:p>
          <w:p w14:paraId="2F83E9E4" w14:textId="77777777" w:rsidR="00AF3DCD" w:rsidRPr="00EB2204" w:rsidRDefault="00AF3DCD" w:rsidP="00D5019B">
            <w:pPr>
              <w:jc w:val="center"/>
              <w:rPr>
                <w:rFonts w:ascii="Arial" w:hAnsi="Arial" w:cs="Arial"/>
                <w:sz w:val="22"/>
                <w:szCs w:val="22"/>
              </w:rPr>
            </w:pPr>
            <w:r w:rsidRPr="00EB2204">
              <w:rPr>
                <w:rFonts w:ascii="Arial" w:hAnsi="Arial" w:cs="Arial"/>
                <w:sz w:val="22"/>
                <w:szCs w:val="22"/>
              </w:rPr>
              <w:t>Likelihood: 1</w:t>
            </w:r>
          </w:p>
          <w:p w14:paraId="72B0A76B" w14:textId="77777777" w:rsidR="00AF3DCD" w:rsidRPr="00EB2204" w:rsidRDefault="00AF3DCD" w:rsidP="00D5019B">
            <w:pPr>
              <w:jc w:val="center"/>
              <w:rPr>
                <w:rFonts w:ascii="Arial" w:hAnsi="Arial" w:cs="Arial"/>
                <w:sz w:val="22"/>
                <w:szCs w:val="22"/>
              </w:rPr>
            </w:pPr>
            <w:r w:rsidRPr="00EB2204">
              <w:rPr>
                <w:rFonts w:ascii="Arial" w:hAnsi="Arial" w:cs="Arial"/>
                <w:sz w:val="22"/>
                <w:szCs w:val="22"/>
              </w:rPr>
              <w:t>Impact: 1</w:t>
            </w:r>
          </w:p>
        </w:tc>
        <w:tc>
          <w:tcPr>
            <w:tcW w:w="1926" w:type="dxa"/>
            <w:shd w:val="clear" w:color="auto" w:fill="FF0000"/>
          </w:tcPr>
          <w:p w14:paraId="7E139AAB" w14:textId="77777777" w:rsidR="00AF3DCD" w:rsidRPr="00EB2204" w:rsidRDefault="00AF3DCD" w:rsidP="00D5019B">
            <w:pPr>
              <w:jc w:val="center"/>
              <w:rPr>
                <w:rFonts w:ascii="Arial" w:hAnsi="Arial" w:cs="Arial"/>
                <w:sz w:val="22"/>
              </w:rPr>
            </w:pPr>
          </w:p>
          <w:p w14:paraId="51219A6A" w14:textId="77777777" w:rsidR="00AF3DCD" w:rsidRPr="00EB2204" w:rsidRDefault="00AF3DCD" w:rsidP="00D5019B">
            <w:pPr>
              <w:jc w:val="center"/>
              <w:rPr>
                <w:rFonts w:ascii="Arial" w:hAnsi="Arial" w:cs="Arial"/>
                <w:b/>
                <w:sz w:val="22"/>
                <w:szCs w:val="22"/>
              </w:rPr>
            </w:pPr>
            <w:r w:rsidRPr="00EB2204">
              <w:rPr>
                <w:rFonts w:ascii="Arial" w:hAnsi="Arial" w:cs="Arial"/>
                <w:b/>
                <w:sz w:val="22"/>
                <w:szCs w:val="22"/>
              </w:rPr>
              <w:t>Total Score: 1</w:t>
            </w:r>
            <w:r>
              <w:rPr>
                <w:rFonts w:ascii="Arial" w:hAnsi="Arial" w:cs="Arial"/>
                <w:b/>
                <w:sz w:val="22"/>
                <w:szCs w:val="22"/>
              </w:rPr>
              <w:t>6</w:t>
            </w:r>
          </w:p>
          <w:p w14:paraId="112DBDEF" w14:textId="77777777" w:rsidR="00AF3DCD" w:rsidRPr="00EB2204" w:rsidRDefault="00AF3DCD" w:rsidP="00D5019B">
            <w:pPr>
              <w:jc w:val="center"/>
              <w:rPr>
                <w:rFonts w:ascii="Arial" w:hAnsi="Arial" w:cs="Arial"/>
                <w:sz w:val="22"/>
                <w:szCs w:val="22"/>
              </w:rPr>
            </w:pPr>
          </w:p>
          <w:p w14:paraId="22DC431B" w14:textId="77777777" w:rsidR="00AF3DCD" w:rsidRPr="00EB2204" w:rsidRDefault="00AF3DCD" w:rsidP="00D5019B">
            <w:pPr>
              <w:jc w:val="center"/>
              <w:rPr>
                <w:rFonts w:ascii="Arial" w:hAnsi="Arial" w:cs="Arial"/>
                <w:sz w:val="22"/>
                <w:szCs w:val="22"/>
              </w:rPr>
            </w:pPr>
            <w:r w:rsidRPr="00EB2204">
              <w:rPr>
                <w:rFonts w:ascii="Arial" w:hAnsi="Arial" w:cs="Arial"/>
                <w:sz w:val="22"/>
                <w:szCs w:val="22"/>
              </w:rPr>
              <w:t>Likelihood: 4</w:t>
            </w:r>
          </w:p>
          <w:p w14:paraId="77072F02" w14:textId="77777777" w:rsidR="00AF3DCD" w:rsidRPr="00EB2204" w:rsidRDefault="00AF3DCD" w:rsidP="00D5019B">
            <w:pPr>
              <w:jc w:val="center"/>
              <w:rPr>
                <w:rFonts w:ascii="Arial" w:hAnsi="Arial" w:cs="Arial"/>
                <w:sz w:val="22"/>
              </w:rPr>
            </w:pPr>
            <w:r w:rsidRPr="00EB2204">
              <w:rPr>
                <w:rFonts w:ascii="Arial" w:hAnsi="Arial" w:cs="Arial"/>
                <w:sz w:val="22"/>
                <w:szCs w:val="22"/>
              </w:rPr>
              <w:t xml:space="preserve">Impact: </w:t>
            </w:r>
            <w:r>
              <w:rPr>
                <w:rFonts w:ascii="Arial" w:hAnsi="Arial" w:cs="Arial"/>
                <w:sz w:val="22"/>
                <w:szCs w:val="22"/>
              </w:rPr>
              <w:t>4</w:t>
            </w:r>
          </w:p>
        </w:tc>
        <w:tc>
          <w:tcPr>
            <w:tcW w:w="5276" w:type="dxa"/>
            <w:shd w:val="clear" w:color="auto" w:fill="FFFFFF" w:themeFill="background1"/>
          </w:tcPr>
          <w:p w14:paraId="69A35583" w14:textId="77777777" w:rsidR="00AF3DCD" w:rsidRPr="00EB2204" w:rsidRDefault="00AF3DCD" w:rsidP="00D5019B">
            <w:pPr>
              <w:numPr>
                <w:ilvl w:val="0"/>
                <w:numId w:val="19"/>
              </w:numPr>
              <w:rPr>
                <w:rFonts w:ascii="Arial" w:hAnsi="Arial" w:cs="Arial"/>
                <w:sz w:val="22"/>
              </w:rPr>
            </w:pPr>
            <w:r w:rsidRPr="00EB2204">
              <w:rPr>
                <w:rFonts w:ascii="Arial" w:hAnsi="Arial" w:cs="Arial"/>
                <w:sz w:val="22"/>
              </w:rPr>
              <w:t>Regular review of grant figures and distribution mechanisms.</w:t>
            </w:r>
          </w:p>
          <w:p w14:paraId="3A14711C" w14:textId="77777777" w:rsidR="00AF3DCD" w:rsidRPr="00EB2204" w:rsidRDefault="00AF3DCD" w:rsidP="00D5019B">
            <w:pPr>
              <w:numPr>
                <w:ilvl w:val="0"/>
                <w:numId w:val="19"/>
              </w:numPr>
              <w:rPr>
                <w:rFonts w:ascii="Arial" w:hAnsi="Arial" w:cs="Arial"/>
                <w:sz w:val="22"/>
              </w:rPr>
            </w:pPr>
            <w:r w:rsidRPr="00EB2204">
              <w:rPr>
                <w:rFonts w:ascii="Arial" w:hAnsi="Arial" w:cs="Arial"/>
                <w:sz w:val="22"/>
              </w:rPr>
              <w:t>Lobby through national groups, respond to national consultations</w:t>
            </w:r>
          </w:p>
          <w:p w14:paraId="3D4415F0" w14:textId="77777777" w:rsidR="00AF3DCD" w:rsidRPr="00EB2204" w:rsidRDefault="00AF3DCD" w:rsidP="00D5019B">
            <w:pPr>
              <w:numPr>
                <w:ilvl w:val="0"/>
                <w:numId w:val="19"/>
              </w:numPr>
              <w:rPr>
                <w:rFonts w:ascii="Arial" w:hAnsi="Arial" w:cs="Arial"/>
                <w:sz w:val="22"/>
              </w:rPr>
            </w:pPr>
            <w:r w:rsidRPr="00EB2204">
              <w:rPr>
                <w:rFonts w:ascii="Arial" w:hAnsi="Arial" w:cs="Arial"/>
                <w:sz w:val="22"/>
              </w:rPr>
              <w:t>Work with Association of Lincolnshire Finance Officers and the Society of District Treasures</w:t>
            </w:r>
          </w:p>
          <w:p w14:paraId="780A7F10" w14:textId="77777777" w:rsidR="00AF3DCD" w:rsidRPr="00EB2204" w:rsidRDefault="00AF3DCD" w:rsidP="00D5019B">
            <w:pPr>
              <w:numPr>
                <w:ilvl w:val="0"/>
                <w:numId w:val="19"/>
              </w:numPr>
              <w:rPr>
                <w:rFonts w:ascii="Arial" w:hAnsi="Arial" w:cs="Arial"/>
                <w:sz w:val="22"/>
              </w:rPr>
            </w:pPr>
            <w:r w:rsidRPr="00EB2204">
              <w:rPr>
                <w:rFonts w:ascii="Arial" w:hAnsi="Arial" w:cs="Arial"/>
                <w:sz w:val="22"/>
              </w:rPr>
              <w:t>MTFS assume Recovery Grant ends 2028/29 and FFA is cash flat from 2028/29 onwards.</w:t>
            </w:r>
          </w:p>
          <w:p w14:paraId="45B971B6" w14:textId="77777777" w:rsidR="00AF3DCD" w:rsidRPr="006C036F" w:rsidRDefault="00AF3DCD" w:rsidP="00D5019B">
            <w:pPr>
              <w:rPr>
                <w:rFonts w:ascii="Arial" w:hAnsi="Arial" w:cs="Arial"/>
                <w:sz w:val="22"/>
              </w:rPr>
            </w:pPr>
          </w:p>
        </w:tc>
      </w:tr>
      <w:tr w:rsidR="00E94C11" w:rsidRPr="005C6861" w14:paraId="2197564C" w14:textId="77777777" w:rsidTr="00991DA6">
        <w:trPr>
          <w:tblHeader/>
        </w:trPr>
        <w:tc>
          <w:tcPr>
            <w:tcW w:w="693" w:type="dxa"/>
          </w:tcPr>
          <w:p w14:paraId="5046180E" w14:textId="1BD5D33B" w:rsidR="00AF3DCD" w:rsidRPr="00EB2204" w:rsidRDefault="00AF3DCD" w:rsidP="00D5019B">
            <w:pPr>
              <w:rPr>
                <w:rFonts w:ascii="Arial" w:hAnsi="Arial" w:cs="Arial"/>
                <w:sz w:val="22"/>
              </w:rPr>
            </w:pPr>
            <w:r>
              <w:rPr>
                <w:rFonts w:ascii="Arial" w:hAnsi="Arial" w:cs="Arial"/>
                <w:sz w:val="22"/>
              </w:rPr>
              <w:t>20</w:t>
            </w:r>
          </w:p>
        </w:tc>
        <w:tc>
          <w:tcPr>
            <w:tcW w:w="2108" w:type="dxa"/>
          </w:tcPr>
          <w:p w14:paraId="2C15A070" w14:textId="77777777" w:rsidR="00AF3DCD" w:rsidRPr="00EB2204" w:rsidRDefault="00AF3DCD" w:rsidP="00D5019B">
            <w:pPr>
              <w:rPr>
                <w:rFonts w:ascii="Arial" w:hAnsi="Arial" w:cs="Arial"/>
                <w:sz w:val="22"/>
              </w:rPr>
            </w:pPr>
            <w:r>
              <w:rPr>
                <w:rFonts w:ascii="Arial" w:hAnsi="Arial" w:cs="Arial"/>
                <w:sz w:val="22"/>
              </w:rPr>
              <w:t>Government Funding – Extended Producer Responsibility</w:t>
            </w:r>
          </w:p>
        </w:tc>
        <w:tc>
          <w:tcPr>
            <w:tcW w:w="3420" w:type="dxa"/>
            <w:shd w:val="clear" w:color="auto" w:fill="FFFFFF" w:themeFill="background1"/>
          </w:tcPr>
          <w:p w14:paraId="54B8A9E0" w14:textId="77777777" w:rsidR="00AF3DCD" w:rsidRDefault="00AF3DCD" w:rsidP="00D5019B">
            <w:pPr>
              <w:rPr>
                <w:rFonts w:ascii="Arial" w:hAnsi="Arial" w:cs="Arial"/>
                <w:sz w:val="22"/>
                <w:szCs w:val="22"/>
              </w:rPr>
            </w:pPr>
            <w:r>
              <w:rPr>
                <w:rFonts w:ascii="Arial" w:hAnsi="Arial" w:cs="Arial"/>
                <w:sz w:val="22"/>
                <w:szCs w:val="22"/>
              </w:rPr>
              <w:t>Potential for actual EPR allocations to be below assumed levels in the MTFS.</w:t>
            </w:r>
          </w:p>
          <w:p w14:paraId="4B59D143" w14:textId="77777777" w:rsidR="00AF3DCD" w:rsidRDefault="00AF3DCD" w:rsidP="00D5019B">
            <w:pPr>
              <w:rPr>
                <w:rFonts w:ascii="Arial" w:hAnsi="Arial" w:cs="Arial"/>
                <w:sz w:val="22"/>
                <w:szCs w:val="22"/>
              </w:rPr>
            </w:pPr>
          </w:p>
          <w:p w14:paraId="4FBDDDD7" w14:textId="38980497" w:rsidR="00AF3DCD" w:rsidRDefault="00AF3DCD" w:rsidP="00D5019B">
            <w:pPr>
              <w:rPr>
                <w:rFonts w:ascii="Arial" w:hAnsi="Arial" w:cs="Arial"/>
                <w:sz w:val="22"/>
                <w:szCs w:val="22"/>
              </w:rPr>
            </w:pPr>
            <w:r>
              <w:rPr>
                <w:rFonts w:ascii="Arial" w:hAnsi="Arial" w:cs="Arial"/>
                <w:sz w:val="22"/>
                <w:szCs w:val="22"/>
              </w:rPr>
              <w:t>Potential for future requirements on use of funding to be imposed (currently used to offset cost of recycling)</w:t>
            </w:r>
            <w:r w:rsidR="00453471">
              <w:rPr>
                <w:rFonts w:ascii="Arial" w:hAnsi="Arial" w:cs="Arial"/>
                <w:sz w:val="22"/>
                <w:szCs w:val="22"/>
              </w:rPr>
              <w:t>.</w:t>
            </w:r>
          </w:p>
          <w:p w14:paraId="627B8891" w14:textId="77777777" w:rsidR="00453471" w:rsidRDefault="00453471" w:rsidP="00D5019B">
            <w:pPr>
              <w:rPr>
                <w:rFonts w:ascii="Arial" w:hAnsi="Arial" w:cs="Arial"/>
                <w:sz w:val="22"/>
                <w:szCs w:val="22"/>
              </w:rPr>
            </w:pPr>
          </w:p>
          <w:p w14:paraId="18477788" w14:textId="776233A7" w:rsidR="00453471" w:rsidRDefault="00453471" w:rsidP="00D5019B">
            <w:pPr>
              <w:rPr>
                <w:rFonts w:ascii="Arial" w:hAnsi="Arial" w:cs="Arial"/>
                <w:sz w:val="22"/>
                <w:szCs w:val="22"/>
              </w:rPr>
            </w:pPr>
            <w:r>
              <w:rPr>
                <w:rFonts w:ascii="Arial" w:hAnsi="Arial" w:cs="Arial"/>
                <w:sz w:val="22"/>
                <w:szCs w:val="22"/>
              </w:rPr>
              <w:t>Removal of funding scheme and/or inclusion in future CSP.</w:t>
            </w:r>
          </w:p>
          <w:p w14:paraId="41F46D87" w14:textId="77777777" w:rsidR="00AF3DCD" w:rsidRPr="00EB2204" w:rsidRDefault="00AF3DCD" w:rsidP="00D5019B">
            <w:pPr>
              <w:rPr>
                <w:rFonts w:ascii="Arial" w:hAnsi="Arial" w:cs="Arial"/>
                <w:sz w:val="22"/>
                <w:szCs w:val="22"/>
              </w:rPr>
            </w:pPr>
          </w:p>
        </w:tc>
        <w:tc>
          <w:tcPr>
            <w:tcW w:w="1980" w:type="dxa"/>
            <w:shd w:val="clear" w:color="auto" w:fill="00B050"/>
          </w:tcPr>
          <w:p w14:paraId="591AA783" w14:textId="77777777" w:rsidR="00AF3DCD" w:rsidRPr="00EB2204" w:rsidRDefault="00AF3DCD" w:rsidP="00D5019B">
            <w:pPr>
              <w:jc w:val="center"/>
              <w:rPr>
                <w:rFonts w:ascii="Arial" w:hAnsi="Arial" w:cs="Arial"/>
                <w:sz w:val="22"/>
              </w:rPr>
            </w:pPr>
          </w:p>
          <w:p w14:paraId="6E9933C3" w14:textId="77777777" w:rsidR="00AF3DCD" w:rsidRPr="00EB2204" w:rsidRDefault="00AF3DCD" w:rsidP="00D5019B">
            <w:pPr>
              <w:jc w:val="center"/>
              <w:rPr>
                <w:rFonts w:ascii="Arial" w:hAnsi="Arial" w:cs="Arial"/>
                <w:b/>
                <w:sz w:val="22"/>
                <w:szCs w:val="22"/>
              </w:rPr>
            </w:pPr>
            <w:r w:rsidRPr="00EB2204">
              <w:rPr>
                <w:rFonts w:ascii="Arial" w:hAnsi="Arial" w:cs="Arial"/>
                <w:b/>
                <w:sz w:val="22"/>
                <w:szCs w:val="22"/>
              </w:rPr>
              <w:t>Total Score: 2</w:t>
            </w:r>
          </w:p>
          <w:p w14:paraId="0663C49E" w14:textId="77777777" w:rsidR="00AF3DCD" w:rsidRPr="00EB2204" w:rsidRDefault="00AF3DCD" w:rsidP="00D5019B">
            <w:pPr>
              <w:jc w:val="center"/>
              <w:rPr>
                <w:rFonts w:ascii="Arial" w:hAnsi="Arial" w:cs="Arial"/>
                <w:b/>
                <w:sz w:val="22"/>
                <w:szCs w:val="22"/>
              </w:rPr>
            </w:pPr>
          </w:p>
          <w:p w14:paraId="3C7A8FC8" w14:textId="77777777" w:rsidR="00AF3DCD" w:rsidRPr="00EB2204" w:rsidRDefault="00AF3DCD" w:rsidP="00D5019B">
            <w:pPr>
              <w:jc w:val="center"/>
              <w:rPr>
                <w:rFonts w:ascii="Arial" w:hAnsi="Arial" w:cs="Arial"/>
                <w:sz w:val="22"/>
                <w:szCs w:val="22"/>
              </w:rPr>
            </w:pPr>
            <w:r w:rsidRPr="00EB2204">
              <w:rPr>
                <w:rFonts w:ascii="Arial" w:hAnsi="Arial" w:cs="Arial"/>
                <w:sz w:val="22"/>
                <w:szCs w:val="22"/>
              </w:rPr>
              <w:t>Likelihood: 1</w:t>
            </w:r>
          </w:p>
          <w:p w14:paraId="44EAAFD7" w14:textId="77777777" w:rsidR="00AF3DCD" w:rsidRPr="00EB2204" w:rsidRDefault="00AF3DCD" w:rsidP="00D5019B">
            <w:pPr>
              <w:jc w:val="center"/>
              <w:rPr>
                <w:rFonts w:ascii="Arial" w:hAnsi="Arial" w:cs="Arial"/>
                <w:sz w:val="22"/>
              </w:rPr>
            </w:pPr>
            <w:r w:rsidRPr="00EB2204">
              <w:rPr>
                <w:rFonts w:ascii="Arial" w:hAnsi="Arial" w:cs="Arial"/>
                <w:sz w:val="22"/>
                <w:szCs w:val="22"/>
              </w:rPr>
              <w:t xml:space="preserve">Impact: </w:t>
            </w:r>
            <w:r>
              <w:rPr>
                <w:rFonts w:ascii="Arial" w:hAnsi="Arial" w:cs="Arial"/>
                <w:sz w:val="22"/>
                <w:szCs w:val="22"/>
              </w:rPr>
              <w:t>2</w:t>
            </w:r>
          </w:p>
        </w:tc>
        <w:tc>
          <w:tcPr>
            <w:tcW w:w="1926" w:type="dxa"/>
            <w:shd w:val="clear" w:color="auto" w:fill="FFC000"/>
          </w:tcPr>
          <w:p w14:paraId="7A68B02E" w14:textId="77777777" w:rsidR="00AF3DCD" w:rsidRPr="00EB2204" w:rsidRDefault="00AF3DCD" w:rsidP="00D5019B">
            <w:pPr>
              <w:jc w:val="center"/>
              <w:rPr>
                <w:rFonts w:ascii="Arial" w:hAnsi="Arial" w:cs="Arial"/>
                <w:sz w:val="22"/>
              </w:rPr>
            </w:pPr>
          </w:p>
          <w:p w14:paraId="1D3BD631" w14:textId="77777777" w:rsidR="00AF3DCD" w:rsidRPr="00EB2204" w:rsidRDefault="00AF3DCD" w:rsidP="00D5019B">
            <w:pPr>
              <w:jc w:val="center"/>
              <w:rPr>
                <w:rFonts w:ascii="Arial" w:hAnsi="Arial" w:cs="Arial"/>
                <w:b/>
                <w:sz w:val="22"/>
                <w:szCs w:val="22"/>
              </w:rPr>
            </w:pPr>
            <w:r w:rsidRPr="00EB2204">
              <w:rPr>
                <w:rFonts w:ascii="Arial" w:hAnsi="Arial" w:cs="Arial"/>
                <w:b/>
                <w:sz w:val="22"/>
                <w:szCs w:val="22"/>
              </w:rPr>
              <w:t xml:space="preserve">Total Score: </w:t>
            </w:r>
            <w:r>
              <w:rPr>
                <w:rFonts w:ascii="Arial" w:hAnsi="Arial" w:cs="Arial"/>
                <w:b/>
                <w:sz w:val="22"/>
                <w:szCs w:val="22"/>
              </w:rPr>
              <w:t>9</w:t>
            </w:r>
          </w:p>
          <w:p w14:paraId="1B94C47C" w14:textId="77777777" w:rsidR="00AF3DCD" w:rsidRPr="00EB2204" w:rsidRDefault="00AF3DCD" w:rsidP="00D5019B">
            <w:pPr>
              <w:jc w:val="center"/>
              <w:rPr>
                <w:rFonts w:ascii="Arial" w:hAnsi="Arial" w:cs="Arial"/>
                <w:sz w:val="22"/>
                <w:szCs w:val="22"/>
              </w:rPr>
            </w:pPr>
          </w:p>
          <w:p w14:paraId="354282BE" w14:textId="77777777" w:rsidR="00AF3DCD" w:rsidRPr="00EB2204" w:rsidRDefault="00AF3DCD" w:rsidP="00D5019B">
            <w:pPr>
              <w:jc w:val="center"/>
              <w:rPr>
                <w:rFonts w:ascii="Arial" w:hAnsi="Arial" w:cs="Arial"/>
                <w:sz w:val="22"/>
                <w:szCs w:val="22"/>
              </w:rPr>
            </w:pPr>
            <w:r w:rsidRPr="00EB2204">
              <w:rPr>
                <w:rFonts w:ascii="Arial" w:hAnsi="Arial" w:cs="Arial"/>
                <w:sz w:val="22"/>
                <w:szCs w:val="22"/>
              </w:rPr>
              <w:t xml:space="preserve">Likelihood: </w:t>
            </w:r>
            <w:r>
              <w:rPr>
                <w:rFonts w:ascii="Arial" w:hAnsi="Arial" w:cs="Arial"/>
                <w:sz w:val="22"/>
                <w:szCs w:val="22"/>
              </w:rPr>
              <w:t>3</w:t>
            </w:r>
          </w:p>
          <w:p w14:paraId="539E879E" w14:textId="77777777" w:rsidR="00AF3DCD" w:rsidRPr="00EB2204" w:rsidRDefault="00AF3DCD" w:rsidP="00D5019B">
            <w:pPr>
              <w:jc w:val="center"/>
              <w:rPr>
                <w:rFonts w:ascii="Arial" w:hAnsi="Arial" w:cs="Arial"/>
                <w:sz w:val="22"/>
              </w:rPr>
            </w:pPr>
            <w:r w:rsidRPr="00EB2204">
              <w:rPr>
                <w:rFonts w:ascii="Arial" w:hAnsi="Arial" w:cs="Arial"/>
                <w:sz w:val="22"/>
                <w:szCs w:val="22"/>
              </w:rPr>
              <w:t>Impact: 3</w:t>
            </w:r>
          </w:p>
        </w:tc>
        <w:tc>
          <w:tcPr>
            <w:tcW w:w="5276" w:type="dxa"/>
            <w:shd w:val="clear" w:color="auto" w:fill="FFFFFF" w:themeFill="background1"/>
          </w:tcPr>
          <w:p w14:paraId="03C59504" w14:textId="77777777" w:rsidR="00AF3DCD" w:rsidRDefault="00AF3DCD" w:rsidP="00D5019B">
            <w:pPr>
              <w:numPr>
                <w:ilvl w:val="0"/>
                <w:numId w:val="19"/>
              </w:numPr>
              <w:rPr>
                <w:rFonts w:ascii="Arial" w:hAnsi="Arial" w:cs="Arial"/>
                <w:sz w:val="22"/>
              </w:rPr>
            </w:pPr>
            <w:r>
              <w:rPr>
                <w:rFonts w:ascii="Arial" w:hAnsi="Arial" w:cs="Arial"/>
                <w:sz w:val="22"/>
              </w:rPr>
              <w:t>Prudent approach in MTFS with reductions of 20% p.a. assumed.</w:t>
            </w:r>
          </w:p>
          <w:p w14:paraId="4DF25B0C" w14:textId="77777777" w:rsidR="00AF3DCD" w:rsidRDefault="00AF3DCD" w:rsidP="00D5019B">
            <w:pPr>
              <w:numPr>
                <w:ilvl w:val="0"/>
                <w:numId w:val="19"/>
              </w:numPr>
              <w:rPr>
                <w:rFonts w:ascii="Arial" w:hAnsi="Arial" w:cs="Arial"/>
                <w:sz w:val="22"/>
              </w:rPr>
            </w:pPr>
            <w:r>
              <w:rPr>
                <w:rFonts w:ascii="Arial" w:hAnsi="Arial" w:cs="Arial"/>
                <w:sz w:val="22"/>
              </w:rPr>
              <w:t>Continue to monitor national developments and lobby as required.</w:t>
            </w:r>
          </w:p>
          <w:p w14:paraId="659BB5B9" w14:textId="77777777" w:rsidR="00AF3DCD" w:rsidRPr="00323A14" w:rsidRDefault="00AF3DCD" w:rsidP="00D5019B">
            <w:pPr>
              <w:numPr>
                <w:ilvl w:val="0"/>
                <w:numId w:val="19"/>
              </w:numPr>
              <w:rPr>
                <w:rFonts w:ascii="Arial" w:hAnsi="Arial" w:cs="Arial"/>
                <w:sz w:val="22"/>
              </w:rPr>
            </w:pPr>
            <w:r>
              <w:rPr>
                <w:rFonts w:ascii="Arial" w:hAnsi="Arial" w:cs="Arial"/>
                <w:sz w:val="22"/>
              </w:rPr>
              <w:t>Review budget assumptions each year in light of current year allocations.</w:t>
            </w:r>
          </w:p>
        </w:tc>
      </w:tr>
      <w:tr w:rsidR="00E94C11" w:rsidRPr="005C6861" w14:paraId="040E36E7" w14:textId="77777777" w:rsidTr="00D61139">
        <w:trPr>
          <w:tblHeader/>
        </w:trPr>
        <w:tc>
          <w:tcPr>
            <w:tcW w:w="693" w:type="dxa"/>
          </w:tcPr>
          <w:p w14:paraId="18C4E0E4" w14:textId="1B9B6269" w:rsidR="00E8526B" w:rsidRPr="00D61139" w:rsidRDefault="00AF3DCD" w:rsidP="00E8526B">
            <w:pPr>
              <w:rPr>
                <w:rFonts w:ascii="Arial" w:hAnsi="Arial" w:cs="Arial"/>
                <w:sz w:val="22"/>
              </w:rPr>
            </w:pPr>
            <w:r>
              <w:rPr>
                <w:rFonts w:ascii="Arial" w:hAnsi="Arial" w:cs="Arial"/>
                <w:sz w:val="22"/>
              </w:rPr>
              <w:t>21</w:t>
            </w:r>
          </w:p>
        </w:tc>
        <w:tc>
          <w:tcPr>
            <w:tcW w:w="2108" w:type="dxa"/>
          </w:tcPr>
          <w:p w14:paraId="599D0100" w14:textId="4E6626D0" w:rsidR="00E8526B" w:rsidRPr="00D61139" w:rsidRDefault="00E8526B" w:rsidP="00E8526B">
            <w:pPr>
              <w:rPr>
                <w:rFonts w:ascii="Arial" w:hAnsi="Arial" w:cs="Arial"/>
                <w:sz w:val="22"/>
              </w:rPr>
            </w:pPr>
            <w:r w:rsidRPr="00D61139">
              <w:rPr>
                <w:rFonts w:ascii="Arial" w:hAnsi="Arial" w:cs="Arial"/>
                <w:sz w:val="22"/>
              </w:rPr>
              <w:t>Government legislation/ regulations</w:t>
            </w:r>
          </w:p>
          <w:p w14:paraId="53F43CF4" w14:textId="0E7C823C" w:rsidR="00E8526B" w:rsidRPr="00D61139" w:rsidRDefault="00E8526B" w:rsidP="00E8526B">
            <w:pPr>
              <w:rPr>
                <w:rFonts w:ascii="Arial" w:hAnsi="Arial" w:cs="Arial"/>
                <w:sz w:val="22"/>
              </w:rPr>
            </w:pPr>
          </w:p>
        </w:tc>
        <w:tc>
          <w:tcPr>
            <w:tcW w:w="3420" w:type="dxa"/>
          </w:tcPr>
          <w:p w14:paraId="293A14C0" w14:textId="5A37377D" w:rsidR="00E8526B" w:rsidRPr="00D61139" w:rsidRDefault="00E8526B" w:rsidP="00E8526B">
            <w:pPr>
              <w:rPr>
                <w:rFonts w:ascii="Arial" w:hAnsi="Arial" w:cs="Arial"/>
                <w:sz w:val="22"/>
                <w:szCs w:val="22"/>
              </w:rPr>
            </w:pPr>
            <w:r w:rsidRPr="00D61139">
              <w:rPr>
                <w:rFonts w:ascii="Arial" w:hAnsi="Arial" w:cs="Arial"/>
                <w:sz w:val="22"/>
                <w:szCs w:val="22"/>
              </w:rPr>
              <w:t xml:space="preserve">Impact of </w:t>
            </w:r>
            <w:r w:rsidR="007E619C" w:rsidRPr="00D61139">
              <w:rPr>
                <w:rFonts w:ascii="Arial" w:hAnsi="Arial" w:cs="Arial"/>
                <w:sz w:val="22"/>
                <w:szCs w:val="22"/>
              </w:rPr>
              <w:t>Government Policy on Simpler Recycling Reforms e.g.</w:t>
            </w:r>
          </w:p>
          <w:p w14:paraId="57553DF4" w14:textId="56FC7C5E" w:rsidR="00E8526B" w:rsidRPr="00D61139" w:rsidRDefault="00111F3D" w:rsidP="00EA370B">
            <w:pPr>
              <w:rPr>
                <w:rFonts w:ascii="Arial" w:hAnsi="Arial" w:cs="Arial"/>
                <w:sz w:val="22"/>
                <w:szCs w:val="22"/>
              </w:rPr>
            </w:pPr>
            <w:r w:rsidRPr="00D61139">
              <w:rPr>
                <w:rFonts w:ascii="Arial" w:hAnsi="Arial" w:cs="Arial"/>
                <w:sz w:val="22"/>
                <w:szCs w:val="22"/>
              </w:rPr>
              <w:t>p</w:t>
            </w:r>
            <w:r w:rsidR="007550B9" w:rsidRPr="00D61139">
              <w:rPr>
                <w:rFonts w:ascii="Arial" w:hAnsi="Arial" w:cs="Arial"/>
                <w:sz w:val="22"/>
                <w:szCs w:val="22"/>
              </w:rPr>
              <w:t>aper &amp; card collections</w:t>
            </w:r>
            <w:r w:rsidRPr="00D61139">
              <w:rPr>
                <w:rFonts w:ascii="Arial" w:hAnsi="Arial" w:cs="Arial"/>
                <w:sz w:val="22"/>
                <w:szCs w:val="22"/>
              </w:rPr>
              <w:t xml:space="preserve">, </w:t>
            </w:r>
            <w:r w:rsidR="00EA370B" w:rsidRPr="00D61139">
              <w:rPr>
                <w:rFonts w:ascii="Arial" w:hAnsi="Arial" w:cs="Arial"/>
                <w:sz w:val="22"/>
                <w:szCs w:val="22"/>
              </w:rPr>
              <w:t>deposit</w:t>
            </w:r>
            <w:r w:rsidRPr="00D61139">
              <w:rPr>
                <w:rFonts w:ascii="Arial" w:hAnsi="Arial" w:cs="Arial"/>
                <w:sz w:val="22"/>
                <w:szCs w:val="22"/>
              </w:rPr>
              <w:t xml:space="preserve"> return scheme</w:t>
            </w:r>
          </w:p>
          <w:p w14:paraId="6C653911" w14:textId="77777777" w:rsidR="005C3205" w:rsidRPr="00D61139" w:rsidRDefault="005C3205" w:rsidP="00EA370B">
            <w:pPr>
              <w:rPr>
                <w:rFonts w:ascii="Arial" w:hAnsi="Arial" w:cs="Arial"/>
                <w:sz w:val="22"/>
                <w:szCs w:val="22"/>
              </w:rPr>
            </w:pPr>
          </w:p>
          <w:p w14:paraId="1A5A6BF5" w14:textId="68B2AEE9" w:rsidR="005C3205" w:rsidRDefault="005C3205" w:rsidP="00EA370B">
            <w:pPr>
              <w:rPr>
                <w:rFonts w:ascii="Arial" w:hAnsi="Arial" w:cs="Arial"/>
                <w:sz w:val="22"/>
                <w:szCs w:val="22"/>
              </w:rPr>
            </w:pPr>
            <w:r w:rsidRPr="00D61139">
              <w:rPr>
                <w:rFonts w:ascii="Arial" w:hAnsi="Arial" w:cs="Arial"/>
                <w:sz w:val="22"/>
                <w:szCs w:val="22"/>
              </w:rPr>
              <w:t>Imp</w:t>
            </w:r>
            <w:r w:rsidR="00C74F53" w:rsidRPr="00D61139">
              <w:rPr>
                <w:rFonts w:ascii="Arial" w:hAnsi="Arial" w:cs="Arial"/>
                <w:sz w:val="22"/>
                <w:szCs w:val="22"/>
              </w:rPr>
              <w:t>lications arising from</w:t>
            </w:r>
            <w:r w:rsidRPr="00D61139">
              <w:rPr>
                <w:rFonts w:ascii="Arial" w:hAnsi="Arial" w:cs="Arial"/>
                <w:sz w:val="22"/>
                <w:szCs w:val="22"/>
              </w:rPr>
              <w:t xml:space="preserve"> N</w:t>
            </w:r>
            <w:r w:rsidR="00C74F53" w:rsidRPr="00D61139">
              <w:rPr>
                <w:rFonts w:ascii="Arial" w:hAnsi="Arial" w:cs="Arial"/>
                <w:sz w:val="22"/>
                <w:szCs w:val="22"/>
              </w:rPr>
              <w:t>PPF and mandatory housing targets.</w:t>
            </w:r>
          </w:p>
          <w:p w14:paraId="622BB4FD" w14:textId="77777777" w:rsidR="006A66AB" w:rsidRDefault="006A66AB" w:rsidP="00EA370B">
            <w:pPr>
              <w:rPr>
                <w:rFonts w:ascii="Arial" w:hAnsi="Arial" w:cs="Arial"/>
                <w:sz w:val="22"/>
                <w:szCs w:val="22"/>
              </w:rPr>
            </w:pPr>
          </w:p>
          <w:p w14:paraId="2B19B2E8" w14:textId="24920941" w:rsidR="006A66AB" w:rsidRDefault="006A66AB" w:rsidP="00EA370B">
            <w:pPr>
              <w:rPr>
                <w:rFonts w:ascii="Arial" w:hAnsi="Arial" w:cs="Arial"/>
                <w:sz w:val="22"/>
                <w:szCs w:val="22"/>
              </w:rPr>
            </w:pPr>
            <w:r>
              <w:rPr>
                <w:rFonts w:ascii="Arial" w:hAnsi="Arial" w:cs="Arial"/>
                <w:sz w:val="22"/>
                <w:szCs w:val="22"/>
              </w:rPr>
              <w:t>Impact of Social Housing Regulations Act on housing service delivery.</w:t>
            </w:r>
          </w:p>
          <w:p w14:paraId="0975D20D" w14:textId="77777777" w:rsidR="006A66AB" w:rsidRDefault="006A66AB" w:rsidP="00EA370B">
            <w:pPr>
              <w:rPr>
                <w:rFonts w:ascii="Arial" w:hAnsi="Arial" w:cs="Arial"/>
                <w:sz w:val="22"/>
                <w:szCs w:val="22"/>
              </w:rPr>
            </w:pPr>
          </w:p>
          <w:p w14:paraId="345CFD47" w14:textId="711DCDF5" w:rsidR="006A66AB" w:rsidRPr="00D61139" w:rsidRDefault="006A66AB" w:rsidP="00EA370B">
            <w:pPr>
              <w:rPr>
                <w:rFonts w:ascii="Arial" w:hAnsi="Arial" w:cs="Arial"/>
                <w:sz w:val="22"/>
                <w:szCs w:val="22"/>
              </w:rPr>
            </w:pPr>
            <w:r>
              <w:rPr>
                <w:rFonts w:ascii="Arial" w:hAnsi="Arial" w:cs="Arial"/>
                <w:sz w:val="22"/>
                <w:szCs w:val="22"/>
              </w:rPr>
              <w:t xml:space="preserve">Future statutory and regulatory requirements </w:t>
            </w:r>
            <w:r w:rsidR="00A74806">
              <w:rPr>
                <w:rFonts w:ascii="Arial" w:hAnsi="Arial" w:cs="Arial"/>
                <w:sz w:val="22"/>
                <w:szCs w:val="22"/>
              </w:rPr>
              <w:t>not funded through New Burdens doctrine.</w:t>
            </w:r>
          </w:p>
          <w:p w14:paraId="5BD34A56" w14:textId="424697CB" w:rsidR="00E8526B" w:rsidRPr="00D61139" w:rsidRDefault="00E8526B" w:rsidP="00E8526B">
            <w:pPr>
              <w:rPr>
                <w:rFonts w:ascii="Arial" w:hAnsi="Arial" w:cs="Arial"/>
                <w:sz w:val="22"/>
              </w:rPr>
            </w:pPr>
          </w:p>
        </w:tc>
        <w:tc>
          <w:tcPr>
            <w:tcW w:w="1980" w:type="dxa"/>
            <w:tcBorders>
              <w:bottom w:val="single" w:sz="4" w:space="0" w:color="auto"/>
            </w:tcBorders>
            <w:shd w:val="clear" w:color="auto" w:fill="00B050"/>
          </w:tcPr>
          <w:p w14:paraId="7E984576" w14:textId="77777777" w:rsidR="00FF3C29" w:rsidRPr="00D61139" w:rsidRDefault="00FF3C29" w:rsidP="00FF3C29">
            <w:pPr>
              <w:jc w:val="center"/>
              <w:rPr>
                <w:rFonts w:ascii="Arial" w:hAnsi="Arial" w:cs="Arial"/>
                <w:b/>
                <w:sz w:val="22"/>
              </w:rPr>
            </w:pPr>
          </w:p>
          <w:p w14:paraId="32ADBECC" w14:textId="508A58DA" w:rsidR="00FF3C29" w:rsidRPr="00D61139" w:rsidRDefault="00FF3C29" w:rsidP="00FF3C29">
            <w:pPr>
              <w:jc w:val="center"/>
              <w:rPr>
                <w:rFonts w:ascii="Arial" w:hAnsi="Arial" w:cs="Arial"/>
                <w:b/>
                <w:sz w:val="22"/>
                <w:szCs w:val="22"/>
              </w:rPr>
            </w:pPr>
            <w:r w:rsidRPr="00D61139">
              <w:rPr>
                <w:rFonts w:ascii="Arial" w:hAnsi="Arial" w:cs="Arial"/>
                <w:b/>
                <w:sz w:val="22"/>
                <w:szCs w:val="22"/>
              </w:rPr>
              <w:t xml:space="preserve">Total Score: </w:t>
            </w:r>
            <w:r w:rsidR="00EA370B" w:rsidRPr="00D61139">
              <w:rPr>
                <w:rFonts w:ascii="Arial" w:hAnsi="Arial" w:cs="Arial"/>
                <w:b/>
                <w:sz w:val="22"/>
                <w:szCs w:val="22"/>
              </w:rPr>
              <w:t>2</w:t>
            </w:r>
          </w:p>
          <w:p w14:paraId="4E7D668F" w14:textId="77777777" w:rsidR="00FF3C29" w:rsidRPr="00D61139" w:rsidRDefault="00FF3C29" w:rsidP="00FF3C29">
            <w:pPr>
              <w:jc w:val="center"/>
              <w:rPr>
                <w:rFonts w:ascii="Arial" w:hAnsi="Arial" w:cs="Arial"/>
                <w:b/>
                <w:sz w:val="22"/>
                <w:szCs w:val="22"/>
              </w:rPr>
            </w:pPr>
          </w:p>
          <w:p w14:paraId="3BD45C9B" w14:textId="4E34BDAF" w:rsidR="00FF3C29" w:rsidRPr="00323A14" w:rsidRDefault="00FF3C29" w:rsidP="00FF3C29">
            <w:pPr>
              <w:jc w:val="center"/>
              <w:rPr>
                <w:rFonts w:ascii="Arial" w:hAnsi="Arial" w:cs="Arial"/>
                <w:bCs/>
                <w:sz w:val="22"/>
                <w:szCs w:val="22"/>
              </w:rPr>
            </w:pPr>
            <w:r w:rsidRPr="00323A14">
              <w:rPr>
                <w:rFonts w:ascii="Arial" w:hAnsi="Arial" w:cs="Arial"/>
                <w:bCs/>
                <w:sz w:val="22"/>
                <w:szCs w:val="22"/>
              </w:rPr>
              <w:t xml:space="preserve">Likelihood: </w:t>
            </w:r>
            <w:r w:rsidR="004F683A" w:rsidRPr="00323A14">
              <w:rPr>
                <w:rFonts w:ascii="Arial" w:hAnsi="Arial" w:cs="Arial"/>
                <w:bCs/>
                <w:sz w:val="22"/>
                <w:szCs w:val="22"/>
              </w:rPr>
              <w:t>1</w:t>
            </w:r>
          </w:p>
          <w:p w14:paraId="53D79C15" w14:textId="402FE45C" w:rsidR="00E8526B" w:rsidRPr="00D61139" w:rsidRDefault="00E8526B" w:rsidP="00E8526B">
            <w:pPr>
              <w:jc w:val="center"/>
              <w:rPr>
                <w:rFonts w:ascii="Arial" w:hAnsi="Arial" w:cs="Arial"/>
                <w:b/>
                <w:sz w:val="22"/>
              </w:rPr>
            </w:pPr>
            <w:r w:rsidRPr="00323A14">
              <w:rPr>
                <w:rFonts w:ascii="Arial" w:hAnsi="Arial" w:cs="Arial"/>
                <w:bCs/>
                <w:sz w:val="22"/>
                <w:szCs w:val="22"/>
              </w:rPr>
              <w:t xml:space="preserve">Impact: </w:t>
            </w:r>
            <w:r w:rsidR="00EA370B" w:rsidRPr="00323A14">
              <w:rPr>
                <w:rFonts w:ascii="Arial" w:hAnsi="Arial" w:cs="Arial"/>
                <w:bCs/>
                <w:sz w:val="22"/>
                <w:szCs w:val="22"/>
              </w:rPr>
              <w:t>1</w:t>
            </w:r>
          </w:p>
        </w:tc>
        <w:tc>
          <w:tcPr>
            <w:tcW w:w="1926" w:type="dxa"/>
            <w:tcBorders>
              <w:bottom w:val="single" w:sz="4" w:space="0" w:color="auto"/>
            </w:tcBorders>
            <w:shd w:val="clear" w:color="auto" w:fill="FFC000"/>
          </w:tcPr>
          <w:p w14:paraId="2AE7EB83" w14:textId="77777777" w:rsidR="00E8526B" w:rsidRPr="00D61139" w:rsidRDefault="00E8526B" w:rsidP="00E8526B">
            <w:pPr>
              <w:jc w:val="center"/>
              <w:rPr>
                <w:rFonts w:ascii="Arial" w:hAnsi="Arial" w:cs="Arial"/>
                <w:b/>
                <w:sz w:val="22"/>
              </w:rPr>
            </w:pPr>
          </w:p>
          <w:p w14:paraId="1E42DB68" w14:textId="39DA7B3E" w:rsidR="00E8526B" w:rsidRPr="00D61139" w:rsidRDefault="00E8526B" w:rsidP="00E8526B">
            <w:pPr>
              <w:jc w:val="center"/>
              <w:rPr>
                <w:rFonts w:ascii="Arial" w:hAnsi="Arial" w:cs="Arial"/>
                <w:b/>
                <w:sz w:val="22"/>
                <w:szCs w:val="22"/>
              </w:rPr>
            </w:pPr>
            <w:r w:rsidRPr="00D61139">
              <w:rPr>
                <w:rFonts w:ascii="Arial" w:hAnsi="Arial" w:cs="Arial"/>
                <w:b/>
                <w:sz w:val="22"/>
                <w:szCs w:val="22"/>
              </w:rPr>
              <w:t xml:space="preserve">Total Score: </w:t>
            </w:r>
            <w:r w:rsidR="00D61139" w:rsidRPr="00D61139">
              <w:rPr>
                <w:rFonts w:ascii="Arial" w:hAnsi="Arial" w:cs="Arial"/>
                <w:b/>
                <w:sz w:val="22"/>
                <w:szCs w:val="22"/>
              </w:rPr>
              <w:t>8</w:t>
            </w:r>
          </w:p>
          <w:p w14:paraId="05E7DDF5" w14:textId="77777777" w:rsidR="00E8526B" w:rsidRPr="00D61139" w:rsidRDefault="00E8526B" w:rsidP="00E8526B">
            <w:pPr>
              <w:jc w:val="center"/>
              <w:rPr>
                <w:rFonts w:ascii="Arial" w:hAnsi="Arial" w:cs="Arial"/>
                <w:b/>
                <w:sz w:val="22"/>
                <w:szCs w:val="22"/>
              </w:rPr>
            </w:pPr>
          </w:p>
          <w:p w14:paraId="2B3AA3D2" w14:textId="5A63AA03" w:rsidR="00E8526B" w:rsidRPr="00323A14" w:rsidRDefault="00E8526B" w:rsidP="00E8526B">
            <w:pPr>
              <w:jc w:val="center"/>
              <w:rPr>
                <w:rFonts w:ascii="Arial" w:hAnsi="Arial" w:cs="Arial"/>
                <w:bCs/>
                <w:sz w:val="22"/>
                <w:szCs w:val="22"/>
              </w:rPr>
            </w:pPr>
            <w:r w:rsidRPr="00323A14">
              <w:rPr>
                <w:rFonts w:ascii="Arial" w:hAnsi="Arial" w:cs="Arial"/>
                <w:bCs/>
                <w:sz w:val="22"/>
                <w:szCs w:val="22"/>
              </w:rPr>
              <w:t xml:space="preserve">Likelihood: </w:t>
            </w:r>
            <w:r w:rsidR="00E00071" w:rsidRPr="00323A14">
              <w:rPr>
                <w:rFonts w:ascii="Arial" w:hAnsi="Arial" w:cs="Arial"/>
                <w:bCs/>
                <w:sz w:val="22"/>
                <w:szCs w:val="22"/>
              </w:rPr>
              <w:t>4</w:t>
            </w:r>
          </w:p>
          <w:p w14:paraId="118BBF7A" w14:textId="2F3B5CAC" w:rsidR="00E8526B" w:rsidRPr="00D61139" w:rsidRDefault="00E8526B" w:rsidP="00E8526B">
            <w:pPr>
              <w:jc w:val="center"/>
              <w:rPr>
                <w:rFonts w:ascii="Arial" w:hAnsi="Arial" w:cs="Arial"/>
                <w:sz w:val="22"/>
              </w:rPr>
            </w:pPr>
            <w:r w:rsidRPr="00323A14">
              <w:rPr>
                <w:rFonts w:ascii="Arial" w:hAnsi="Arial" w:cs="Arial"/>
                <w:bCs/>
                <w:sz w:val="22"/>
                <w:szCs w:val="22"/>
              </w:rPr>
              <w:t xml:space="preserve">Impact: </w:t>
            </w:r>
            <w:r w:rsidR="00D61139" w:rsidRPr="00323A14">
              <w:rPr>
                <w:rFonts w:ascii="Arial" w:hAnsi="Arial" w:cs="Arial"/>
                <w:bCs/>
                <w:sz w:val="22"/>
                <w:szCs w:val="22"/>
              </w:rPr>
              <w:t>2</w:t>
            </w:r>
          </w:p>
        </w:tc>
        <w:tc>
          <w:tcPr>
            <w:tcW w:w="5276" w:type="dxa"/>
          </w:tcPr>
          <w:p w14:paraId="36EFD16F" w14:textId="335C5504" w:rsidR="00E8526B" w:rsidRPr="00D61139" w:rsidRDefault="00E8526B" w:rsidP="00CF25BB">
            <w:pPr>
              <w:numPr>
                <w:ilvl w:val="0"/>
                <w:numId w:val="2"/>
              </w:numPr>
              <w:rPr>
                <w:rFonts w:ascii="Arial" w:hAnsi="Arial" w:cs="Arial"/>
                <w:sz w:val="22"/>
              </w:rPr>
            </w:pPr>
            <w:r w:rsidRPr="00D61139">
              <w:rPr>
                <w:rFonts w:ascii="Arial" w:hAnsi="Arial" w:cs="Arial"/>
                <w:sz w:val="22"/>
              </w:rPr>
              <w:t>Continue to monitor national developments and assess both the service and financial implications of new statutory duties.</w:t>
            </w:r>
          </w:p>
          <w:p w14:paraId="0BBA9CEF" w14:textId="77777777" w:rsidR="00E8526B" w:rsidRPr="00D61139" w:rsidRDefault="00E8526B" w:rsidP="00CF25BB">
            <w:pPr>
              <w:numPr>
                <w:ilvl w:val="0"/>
                <w:numId w:val="2"/>
              </w:numPr>
              <w:rPr>
                <w:rFonts w:ascii="Arial" w:hAnsi="Arial" w:cs="Arial"/>
                <w:sz w:val="22"/>
              </w:rPr>
            </w:pPr>
            <w:r w:rsidRPr="00D61139">
              <w:rPr>
                <w:rFonts w:ascii="Arial" w:hAnsi="Arial" w:cs="Arial"/>
                <w:sz w:val="22"/>
              </w:rPr>
              <w:t>Actively participate in any Government consultations.</w:t>
            </w:r>
          </w:p>
          <w:p w14:paraId="57DC4C73" w14:textId="77777777" w:rsidR="00E8526B" w:rsidRPr="00D61139" w:rsidRDefault="00E8526B" w:rsidP="00CF25BB">
            <w:pPr>
              <w:numPr>
                <w:ilvl w:val="0"/>
                <w:numId w:val="2"/>
              </w:numPr>
              <w:rPr>
                <w:rFonts w:ascii="Arial" w:hAnsi="Arial" w:cs="Arial"/>
                <w:sz w:val="22"/>
              </w:rPr>
            </w:pPr>
            <w:r w:rsidRPr="00D61139">
              <w:rPr>
                <w:rFonts w:ascii="Arial" w:hAnsi="Arial" w:cs="Arial"/>
                <w:sz w:val="22"/>
              </w:rPr>
              <w:t>Work alongside other local authorities to lobby Government for additional resource (if not provided for under New Burdens).</w:t>
            </w:r>
          </w:p>
          <w:p w14:paraId="7137B429" w14:textId="5E6358AF" w:rsidR="00E8526B" w:rsidRPr="00D61139" w:rsidRDefault="00E8526B" w:rsidP="00CF25BB">
            <w:pPr>
              <w:numPr>
                <w:ilvl w:val="0"/>
                <w:numId w:val="2"/>
              </w:numPr>
              <w:rPr>
                <w:rFonts w:ascii="Arial" w:hAnsi="Arial" w:cs="Arial"/>
                <w:sz w:val="22"/>
              </w:rPr>
            </w:pPr>
            <w:r w:rsidRPr="00D61139">
              <w:rPr>
                <w:rFonts w:ascii="Arial" w:hAnsi="Arial" w:cs="Arial"/>
                <w:sz w:val="22"/>
              </w:rPr>
              <w:t>Work with Lincolnshire local authorities on joint approaches to resourcing new systems</w:t>
            </w:r>
            <w:r w:rsidR="00DB6E79" w:rsidRPr="00D61139">
              <w:rPr>
                <w:rFonts w:ascii="Arial" w:hAnsi="Arial" w:cs="Arial"/>
                <w:sz w:val="22"/>
              </w:rPr>
              <w:t xml:space="preserve"> and development of options for implementation</w:t>
            </w:r>
            <w:r w:rsidR="00C74F53" w:rsidRPr="00D61139">
              <w:rPr>
                <w:rFonts w:ascii="Arial" w:hAnsi="Arial" w:cs="Arial"/>
                <w:sz w:val="22"/>
              </w:rPr>
              <w:t>, including work as part of the CL</w:t>
            </w:r>
            <w:r w:rsidR="003F4FAE" w:rsidRPr="00D61139">
              <w:rPr>
                <w:rFonts w:ascii="Arial" w:hAnsi="Arial" w:cs="Arial"/>
                <w:sz w:val="22"/>
              </w:rPr>
              <w:t>JSPC</w:t>
            </w:r>
          </w:p>
          <w:p w14:paraId="3EC1952E" w14:textId="77777777" w:rsidR="002540A6" w:rsidRPr="00D61139" w:rsidRDefault="002540A6" w:rsidP="00CF25BB">
            <w:pPr>
              <w:numPr>
                <w:ilvl w:val="0"/>
                <w:numId w:val="2"/>
              </w:numPr>
              <w:rPr>
                <w:rFonts w:ascii="Arial" w:hAnsi="Arial" w:cs="Arial"/>
                <w:sz w:val="22"/>
              </w:rPr>
            </w:pPr>
            <w:r w:rsidRPr="00D61139">
              <w:rPr>
                <w:rFonts w:ascii="Arial" w:hAnsi="Arial" w:cs="Arial"/>
                <w:sz w:val="22"/>
              </w:rPr>
              <w:t>Work with contractors to implement new requirements.</w:t>
            </w:r>
          </w:p>
          <w:p w14:paraId="4692F56C" w14:textId="61326EC0" w:rsidR="00EA370B" w:rsidRPr="00D61139" w:rsidRDefault="00EA370B" w:rsidP="00CF25BB">
            <w:pPr>
              <w:numPr>
                <w:ilvl w:val="0"/>
                <w:numId w:val="2"/>
              </w:numPr>
              <w:rPr>
                <w:rFonts w:ascii="Arial" w:hAnsi="Arial" w:cs="Arial"/>
                <w:sz w:val="22"/>
              </w:rPr>
            </w:pPr>
            <w:r w:rsidRPr="00D61139">
              <w:rPr>
                <w:rFonts w:ascii="Arial" w:hAnsi="Arial" w:cs="Arial"/>
                <w:sz w:val="22"/>
              </w:rPr>
              <w:t>Set aside of resources in earmarked reserves</w:t>
            </w:r>
            <w:r w:rsidR="00E65FD6" w:rsidRPr="00D61139">
              <w:rPr>
                <w:rFonts w:ascii="Arial" w:hAnsi="Arial" w:cs="Arial"/>
                <w:sz w:val="22"/>
              </w:rPr>
              <w:t>.</w:t>
            </w:r>
          </w:p>
          <w:p w14:paraId="393D69BC" w14:textId="58E3DB42" w:rsidR="002540A6" w:rsidRPr="00FF3C29" w:rsidRDefault="002540A6" w:rsidP="002540A6">
            <w:pPr>
              <w:ind w:left="454"/>
              <w:rPr>
                <w:rFonts w:ascii="Arial" w:hAnsi="Arial" w:cs="Arial"/>
                <w:sz w:val="22"/>
              </w:rPr>
            </w:pPr>
          </w:p>
        </w:tc>
      </w:tr>
    </w:tbl>
    <w:p w14:paraId="51D7FC71" w14:textId="77777777" w:rsidR="00384776" w:rsidRPr="005C6861" w:rsidRDefault="00384776">
      <w:pPr>
        <w:rPr>
          <w:rFonts w:ascii="Arial" w:hAnsi="Arial" w:cs="Arial"/>
          <w:b/>
          <w:bCs/>
          <w:color w:val="0000FF"/>
          <w:sz w:val="32"/>
        </w:rPr>
        <w:sectPr w:rsidR="00384776" w:rsidRPr="005C6861" w:rsidSect="00963B6A">
          <w:headerReference w:type="default" r:id="rId33"/>
          <w:pgSz w:w="16838" w:h="11906" w:orient="landscape" w:code="9"/>
          <w:pgMar w:top="1079" w:right="1440" w:bottom="1106" w:left="1440" w:header="709" w:footer="709" w:gutter="0"/>
          <w:pgBorders w:offsetFrom="page">
            <w:bottom w:val="single" w:sz="4" w:space="24" w:color="auto"/>
          </w:pgBorders>
          <w:cols w:space="708"/>
          <w:docGrid w:linePitch="360"/>
        </w:sectPr>
      </w:pPr>
    </w:p>
    <w:tbl>
      <w:tblPr>
        <w:tblW w:w="10843" w:type="dxa"/>
        <w:tblInd w:w="-1199" w:type="dxa"/>
        <w:tblLook w:val="04A0" w:firstRow="1" w:lastRow="0" w:firstColumn="1" w:lastColumn="0" w:noHBand="0" w:noVBand="1"/>
      </w:tblPr>
      <w:tblGrid>
        <w:gridCol w:w="3550"/>
        <w:gridCol w:w="1318"/>
        <w:gridCol w:w="1195"/>
        <w:gridCol w:w="1195"/>
        <w:gridCol w:w="1195"/>
        <w:gridCol w:w="1195"/>
        <w:gridCol w:w="1195"/>
      </w:tblGrid>
      <w:tr w:rsidR="00BF002B" w:rsidRPr="006D70F0" w14:paraId="1CCD1AF1" w14:textId="77777777" w:rsidTr="00397951">
        <w:trPr>
          <w:trHeight w:val="568"/>
        </w:trPr>
        <w:tc>
          <w:tcPr>
            <w:tcW w:w="10843" w:type="dxa"/>
            <w:gridSpan w:val="7"/>
            <w:tcBorders>
              <w:top w:val="nil"/>
              <w:left w:val="nil"/>
              <w:bottom w:val="nil"/>
              <w:right w:val="nil"/>
            </w:tcBorders>
            <w:vAlign w:val="center"/>
            <w:hideMark/>
          </w:tcPr>
          <w:p w14:paraId="65FC581C" w14:textId="6C1CCFB1" w:rsidR="00A27FF6" w:rsidRPr="000E43BF" w:rsidRDefault="00A27FF6" w:rsidP="0000687D">
            <w:pPr>
              <w:jc w:val="center"/>
              <w:rPr>
                <w:rFonts w:ascii="Arial" w:hAnsi="Arial" w:cs="Arial"/>
                <w:b/>
                <w:sz w:val="22"/>
                <w:szCs w:val="22"/>
                <w:lang w:eastAsia="en-GB"/>
              </w:rPr>
            </w:pPr>
            <w:bookmarkStart w:id="4" w:name="RANGE!I1:O40"/>
            <w:r w:rsidRPr="000E43BF">
              <w:rPr>
                <w:rFonts w:ascii="Arial" w:hAnsi="Arial" w:cs="Arial"/>
                <w:b/>
                <w:sz w:val="22"/>
                <w:szCs w:val="22"/>
              </w:rPr>
              <w:t xml:space="preserve">GENERAL FUND EARMARKED RESERVES FORECAST </w:t>
            </w:r>
            <w:bookmarkEnd w:id="4"/>
            <w:r w:rsidR="00876CF3" w:rsidRPr="000E43BF">
              <w:rPr>
                <w:rFonts w:ascii="Arial" w:hAnsi="Arial" w:cs="Arial"/>
                <w:b/>
                <w:bCs/>
                <w:sz w:val="22"/>
                <w:szCs w:val="22"/>
              </w:rPr>
              <w:t>202</w:t>
            </w:r>
            <w:r w:rsidR="000E43BF" w:rsidRPr="000E43BF">
              <w:rPr>
                <w:rFonts w:ascii="Arial" w:hAnsi="Arial" w:cs="Arial"/>
                <w:b/>
                <w:bCs/>
                <w:sz w:val="22"/>
                <w:szCs w:val="22"/>
              </w:rPr>
              <w:t>5</w:t>
            </w:r>
            <w:r w:rsidR="0007751B" w:rsidRPr="000E43BF">
              <w:rPr>
                <w:rFonts w:ascii="Arial" w:hAnsi="Arial" w:cs="Arial"/>
                <w:b/>
                <w:bCs/>
                <w:sz w:val="22"/>
                <w:szCs w:val="22"/>
              </w:rPr>
              <w:t>/2</w:t>
            </w:r>
            <w:r w:rsidR="000E43BF" w:rsidRPr="000E43BF">
              <w:rPr>
                <w:rFonts w:ascii="Arial" w:hAnsi="Arial" w:cs="Arial"/>
                <w:b/>
                <w:bCs/>
                <w:sz w:val="22"/>
                <w:szCs w:val="22"/>
              </w:rPr>
              <w:t>6</w:t>
            </w:r>
            <w:r w:rsidRPr="000E43BF">
              <w:rPr>
                <w:rFonts w:ascii="Arial" w:hAnsi="Arial" w:cs="Arial"/>
                <w:b/>
                <w:bCs/>
                <w:sz w:val="22"/>
                <w:szCs w:val="22"/>
              </w:rPr>
              <w:t xml:space="preserve"> </w:t>
            </w:r>
            <w:r w:rsidR="0000687D" w:rsidRPr="000E43BF">
              <w:rPr>
                <w:rFonts w:ascii="Arial" w:hAnsi="Arial" w:cs="Arial"/>
                <w:b/>
                <w:bCs/>
                <w:sz w:val="22"/>
                <w:szCs w:val="22"/>
              </w:rPr>
              <w:t>–</w:t>
            </w:r>
            <w:r w:rsidRPr="000E43BF">
              <w:rPr>
                <w:rFonts w:ascii="Arial" w:hAnsi="Arial" w:cs="Arial"/>
                <w:b/>
                <w:bCs/>
                <w:sz w:val="22"/>
                <w:szCs w:val="22"/>
              </w:rPr>
              <w:t xml:space="preserve"> </w:t>
            </w:r>
            <w:r w:rsidR="00876CF3" w:rsidRPr="000E43BF">
              <w:rPr>
                <w:rFonts w:ascii="Arial" w:hAnsi="Arial" w:cs="Arial"/>
                <w:b/>
                <w:bCs/>
                <w:sz w:val="22"/>
                <w:szCs w:val="22"/>
              </w:rPr>
              <w:t>20</w:t>
            </w:r>
            <w:r w:rsidR="000E43BF" w:rsidRPr="000E43BF">
              <w:rPr>
                <w:rFonts w:ascii="Arial" w:hAnsi="Arial" w:cs="Arial"/>
                <w:b/>
                <w:bCs/>
                <w:sz w:val="22"/>
                <w:szCs w:val="22"/>
              </w:rPr>
              <w:t>30</w:t>
            </w:r>
            <w:r w:rsidR="0007751B" w:rsidRPr="000E43BF">
              <w:rPr>
                <w:rFonts w:ascii="Arial" w:hAnsi="Arial" w:cs="Arial"/>
                <w:b/>
                <w:bCs/>
                <w:sz w:val="22"/>
                <w:szCs w:val="22"/>
              </w:rPr>
              <w:t>/</w:t>
            </w:r>
            <w:r w:rsidR="000D4618" w:rsidRPr="000E43BF">
              <w:rPr>
                <w:rFonts w:ascii="Arial" w:hAnsi="Arial" w:cs="Arial"/>
                <w:b/>
                <w:bCs/>
                <w:sz w:val="22"/>
                <w:szCs w:val="22"/>
              </w:rPr>
              <w:t>3</w:t>
            </w:r>
            <w:r w:rsidR="000E43BF" w:rsidRPr="000E43BF">
              <w:rPr>
                <w:rFonts w:ascii="Arial" w:hAnsi="Arial" w:cs="Arial"/>
                <w:b/>
                <w:bCs/>
                <w:sz w:val="22"/>
                <w:szCs w:val="22"/>
              </w:rPr>
              <w:t>1</w:t>
            </w:r>
          </w:p>
        </w:tc>
      </w:tr>
      <w:tr w:rsidR="00835F91" w:rsidRPr="006D70F0" w14:paraId="6ABED0A6" w14:textId="77777777" w:rsidTr="00397951">
        <w:trPr>
          <w:trHeight w:val="898"/>
        </w:trPr>
        <w:tc>
          <w:tcPr>
            <w:tcW w:w="3550" w:type="dxa"/>
            <w:tcBorders>
              <w:top w:val="nil"/>
              <w:left w:val="nil"/>
              <w:bottom w:val="nil"/>
              <w:right w:val="nil"/>
            </w:tcBorders>
            <w:vAlign w:val="bottom"/>
            <w:hideMark/>
          </w:tcPr>
          <w:p w14:paraId="038F5131" w14:textId="77777777" w:rsidR="0000687D" w:rsidRPr="000E43BF" w:rsidRDefault="0000687D" w:rsidP="0000687D">
            <w:pPr>
              <w:rPr>
                <w:rFonts w:ascii="Arial" w:hAnsi="Arial" w:cs="Arial"/>
                <w:b/>
                <w:sz w:val="22"/>
                <w:szCs w:val="22"/>
              </w:rPr>
            </w:pPr>
            <w:r w:rsidRPr="000E43BF">
              <w:rPr>
                <w:rFonts w:ascii="Arial" w:hAnsi="Arial" w:cs="Arial"/>
                <w:b/>
                <w:sz w:val="22"/>
                <w:szCs w:val="22"/>
              </w:rPr>
              <w:t>Description</w:t>
            </w:r>
          </w:p>
        </w:tc>
        <w:tc>
          <w:tcPr>
            <w:tcW w:w="1318" w:type="dxa"/>
            <w:tcBorders>
              <w:top w:val="nil"/>
              <w:left w:val="nil"/>
              <w:bottom w:val="nil"/>
              <w:right w:val="nil"/>
            </w:tcBorders>
            <w:vAlign w:val="bottom"/>
            <w:hideMark/>
          </w:tcPr>
          <w:p w14:paraId="2C2A7CC6" w14:textId="1CD83299" w:rsidR="0000687D" w:rsidRPr="000E43BF" w:rsidRDefault="0000687D" w:rsidP="0000687D">
            <w:pPr>
              <w:jc w:val="center"/>
              <w:rPr>
                <w:rFonts w:ascii="Arial" w:hAnsi="Arial" w:cs="Arial"/>
                <w:b/>
                <w:sz w:val="22"/>
                <w:szCs w:val="22"/>
              </w:rPr>
            </w:pPr>
            <w:r w:rsidRPr="000E43BF">
              <w:rPr>
                <w:rFonts w:ascii="Arial" w:hAnsi="Arial" w:cs="Arial"/>
                <w:b/>
                <w:sz w:val="22"/>
                <w:szCs w:val="22"/>
              </w:rPr>
              <w:t>Balance @ 31.03.</w:t>
            </w:r>
            <w:r w:rsidR="000E43BF" w:rsidRPr="000E43BF">
              <w:rPr>
                <w:rFonts w:ascii="Arial" w:hAnsi="Arial" w:cs="Arial"/>
                <w:b/>
                <w:bCs/>
                <w:sz w:val="22"/>
                <w:szCs w:val="22"/>
              </w:rPr>
              <w:t>26</w:t>
            </w:r>
          </w:p>
        </w:tc>
        <w:tc>
          <w:tcPr>
            <w:tcW w:w="1195" w:type="dxa"/>
            <w:tcBorders>
              <w:top w:val="nil"/>
              <w:left w:val="nil"/>
              <w:bottom w:val="nil"/>
              <w:right w:val="nil"/>
            </w:tcBorders>
            <w:vAlign w:val="bottom"/>
            <w:hideMark/>
          </w:tcPr>
          <w:p w14:paraId="750185B4" w14:textId="6252716B" w:rsidR="0000687D" w:rsidRPr="000E43BF" w:rsidRDefault="0000687D" w:rsidP="0000687D">
            <w:pPr>
              <w:jc w:val="center"/>
              <w:rPr>
                <w:rFonts w:ascii="Arial" w:hAnsi="Arial" w:cs="Arial"/>
                <w:b/>
                <w:sz w:val="22"/>
                <w:szCs w:val="22"/>
              </w:rPr>
            </w:pPr>
            <w:r w:rsidRPr="000E43BF">
              <w:rPr>
                <w:rFonts w:ascii="Arial" w:hAnsi="Arial" w:cs="Arial"/>
                <w:b/>
                <w:sz w:val="22"/>
                <w:szCs w:val="22"/>
              </w:rPr>
              <w:t>Balance @ 31.03.</w:t>
            </w:r>
            <w:r w:rsidR="000E43BF" w:rsidRPr="000E43BF">
              <w:rPr>
                <w:rFonts w:ascii="Arial" w:hAnsi="Arial" w:cs="Arial"/>
                <w:b/>
                <w:bCs/>
                <w:sz w:val="22"/>
                <w:szCs w:val="22"/>
              </w:rPr>
              <w:t>27</w:t>
            </w:r>
          </w:p>
        </w:tc>
        <w:tc>
          <w:tcPr>
            <w:tcW w:w="1195" w:type="dxa"/>
            <w:tcBorders>
              <w:top w:val="nil"/>
              <w:left w:val="nil"/>
              <w:bottom w:val="nil"/>
              <w:right w:val="nil"/>
            </w:tcBorders>
            <w:vAlign w:val="bottom"/>
            <w:hideMark/>
          </w:tcPr>
          <w:p w14:paraId="5673390F" w14:textId="2D726E6F" w:rsidR="0000687D" w:rsidRPr="000E43BF" w:rsidRDefault="0000687D" w:rsidP="0000687D">
            <w:pPr>
              <w:jc w:val="center"/>
              <w:rPr>
                <w:rFonts w:ascii="Arial" w:hAnsi="Arial" w:cs="Arial"/>
                <w:b/>
                <w:sz w:val="22"/>
                <w:szCs w:val="22"/>
              </w:rPr>
            </w:pPr>
            <w:r w:rsidRPr="000E43BF">
              <w:rPr>
                <w:rFonts w:ascii="Arial" w:hAnsi="Arial" w:cs="Arial"/>
                <w:b/>
                <w:sz w:val="22"/>
                <w:szCs w:val="22"/>
              </w:rPr>
              <w:t>Balance @ 31.03.</w:t>
            </w:r>
            <w:r w:rsidR="000E43BF" w:rsidRPr="000E43BF">
              <w:rPr>
                <w:rFonts w:ascii="Arial" w:hAnsi="Arial" w:cs="Arial"/>
                <w:b/>
                <w:bCs/>
                <w:sz w:val="22"/>
                <w:szCs w:val="22"/>
              </w:rPr>
              <w:t>28</w:t>
            </w:r>
          </w:p>
        </w:tc>
        <w:tc>
          <w:tcPr>
            <w:tcW w:w="1195" w:type="dxa"/>
            <w:tcBorders>
              <w:top w:val="nil"/>
              <w:left w:val="nil"/>
              <w:bottom w:val="nil"/>
              <w:right w:val="nil"/>
            </w:tcBorders>
            <w:vAlign w:val="bottom"/>
            <w:hideMark/>
          </w:tcPr>
          <w:p w14:paraId="1D60D93B" w14:textId="7E958DA4" w:rsidR="0000687D" w:rsidRPr="000E43BF" w:rsidRDefault="0000687D" w:rsidP="0000687D">
            <w:pPr>
              <w:jc w:val="center"/>
              <w:rPr>
                <w:rFonts w:ascii="Arial" w:hAnsi="Arial" w:cs="Arial"/>
                <w:b/>
                <w:sz w:val="22"/>
                <w:szCs w:val="22"/>
              </w:rPr>
            </w:pPr>
            <w:r w:rsidRPr="000E43BF">
              <w:rPr>
                <w:rFonts w:ascii="Arial" w:hAnsi="Arial" w:cs="Arial"/>
                <w:b/>
                <w:sz w:val="22"/>
                <w:szCs w:val="22"/>
              </w:rPr>
              <w:t>Balance @ 31.03.</w:t>
            </w:r>
            <w:r w:rsidR="000E43BF" w:rsidRPr="000E43BF">
              <w:rPr>
                <w:rFonts w:ascii="Arial" w:hAnsi="Arial" w:cs="Arial"/>
                <w:b/>
                <w:bCs/>
                <w:sz w:val="22"/>
                <w:szCs w:val="22"/>
              </w:rPr>
              <w:t>29</w:t>
            </w:r>
          </w:p>
        </w:tc>
        <w:tc>
          <w:tcPr>
            <w:tcW w:w="1195" w:type="dxa"/>
            <w:tcBorders>
              <w:top w:val="nil"/>
              <w:left w:val="nil"/>
              <w:bottom w:val="nil"/>
              <w:right w:val="nil"/>
            </w:tcBorders>
            <w:vAlign w:val="bottom"/>
            <w:hideMark/>
          </w:tcPr>
          <w:p w14:paraId="277A6BAD" w14:textId="3094C846" w:rsidR="0000687D" w:rsidRPr="000E43BF" w:rsidRDefault="0000687D" w:rsidP="0000687D">
            <w:pPr>
              <w:jc w:val="center"/>
              <w:rPr>
                <w:rFonts w:ascii="Arial" w:hAnsi="Arial" w:cs="Arial"/>
                <w:b/>
                <w:sz w:val="22"/>
                <w:szCs w:val="22"/>
              </w:rPr>
            </w:pPr>
            <w:r w:rsidRPr="000E43BF">
              <w:rPr>
                <w:rFonts w:ascii="Arial" w:hAnsi="Arial" w:cs="Arial"/>
                <w:b/>
                <w:sz w:val="22"/>
                <w:szCs w:val="22"/>
              </w:rPr>
              <w:t>Balance @ 31.03.</w:t>
            </w:r>
            <w:r w:rsidR="000E43BF" w:rsidRPr="000E43BF">
              <w:rPr>
                <w:rFonts w:ascii="Arial" w:hAnsi="Arial" w:cs="Arial"/>
                <w:b/>
                <w:bCs/>
                <w:sz w:val="22"/>
                <w:szCs w:val="22"/>
              </w:rPr>
              <w:t>30</w:t>
            </w:r>
          </w:p>
        </w:tc>
        <w:tc>
          <w:tcPr>
            <w:tcW w:w="1195" w:type="dxa"/>
            <w:tcBorders>
              <w:top w:val="nil"/>
              <w:left w:val="nil"/>
              <w:bottom w:val="nil"/>
              <w:right w:val="nil"/>
            </w:tcBorders>
            <w:vAlign w:val="bottom"/>
            <w:hideMark/>
          </w:tcPr>
          <w:p w14:paraId="1E818B04" w14:textId="1D1D3571" w:rsidR="0000687D" w:rsidRPr="000E43BF" w:rsidRDefault="0000687D" w:rsidP="0000687D">
            <w:pPr>
              <w:jc w:val="center"/>
              <w:rPr>
                <w:rFonts w:ascii="Arial" w:hAnsi="Arial" w:cs="Arial"/>
                <w:b/>
                <w:sz w:val="22"/>
                <w:szCs w:val="22"/>
              </w:rPr>
            </w:pPr>
            <w:r w:rsidRPr="000E43BF">
              <w:rPr>
                <w:rFonts w:ascii="Arial" w:hAnsi="Arial" w:cs="Arial"/>
                <w:b/>
                <w:sz w:val="22"/>
                <w:szCs w:val="22"/>
              </w:rPr>
              <w:t>Balance @ 31.03.</w:t>
            </w:r>
            <w:r w:rsidR="00402778" w:rsidRPr="000E43BF">
              <w:rPr>
                <w:rFonts w:ascii="Arial" w:hAnsi="Arial" w:cs="Arial"/>
                <w:b/>
                <w:bCs/>
                <w:sz w:val="22"/>
                <w:szCs w:val="22"/>
              </w:rPr>
              <w:t>3</w:t>
            </w:r>
            <w:r w:rsidR="000E43BF" w:rsidRPr="000E43BF">
              <w:rPr>
                <w:rFonts w:ascii="Arial" w:hAnsi="Arial" w:cs="Arial"/>
                <w:b/>
                <w:bCs/>
                <w:sz w:val="22"/>
                <w:szCs w:val="22"/>
              </w:rPr>
              <w:t>1</w:t>
            </w:r>
          </w:p>
        </w:tc>
      </w:tr>
      <w:tr w:rsidR="00215458" w:rsidRPr="006D70F0" w14:paraId="25E20DAB" w14:textId="77777777" w:rsidTr="00397951">
        <w:trPr>
          <w:trHeight w:val="284"/>
        </w:trPr>
        <w:tc>
          <w:tcPr>
            <w:tcW w:w="3550" w:type="dxa"/>
            <w:tcBorders>
              <w:top w:val="nil"/>
              <w:left w:val="nil"/>
              <w:bottom w:val="nil"/>
              <w:right w:val="nil"/>
            </w:tcBorders>
            <w:hideMark/>
          </w:tcPr>
          <w:p w14:paraId="355752FC" w14:textId="77777777" w:rsidR="0000687D" w:rsidRPr="00EC3171" w:rsidRDefault="0000687D" w:rsidP="0000687D">
            <w:pPr>
              <w:rPr>
                <w:rFonts w:ascii="Arial" w:hAnsi="Arial" w:cs="Arial"/>
                <w:sz w:val="22"/>
                <w:szCs w:val="22"/>
              </w:rPr>
            </w:pPr>
            <w:r w:rsidRPr="00EC3171">
              <w:rPr>
                <w:rFonts w:ascii="Arial" w:hAnsi="Arial" w:cs="Arial"/>
                <w:sz w:val="22"/>
                <w:szCs w:val="22"/>
              </w:rPr>
              <w:t>Carry Forwards</w:t>
            </w:r>
          </w:p>
        </w:tc>
        <w:tc>
          <w:tcPr>
            <w:tcW w:w="1318" w:type="dxa"/>
            <w:tcBorders>
              <w:top w:val="nil"/>
              <w:left w:val="nil"/>
              <w:bottom w:val="nil"/>
              <w:right w:val="nil"/>
            </w:tcBorders>
            <w:noWrap/>
          </w:tcPr>
          <w:p w14:paraId="72176FDA" w14:textId="6D6DBB9D" w:rsidR="0000687D" w:rsidRPr="00EC3171" w:rsidRDefault="00D979E4" w:rsidP="00646BFE">
            <w:pPr>
              <w:jc w:val="right"/>
              <w:rPr>
                <w:rFonts w:ascii="Arial" w:hAnsi="Arial" w:cs="Arial"/>
                <w:sz w:val="22"/>
                <w:szCs w:val="22"/>
              </w:rPr>
            </w:pPr>
            <w:r w:rsidRPr="00EC3171">
              <w:rPr>
                <w:rFonts w:ascii="Arial" w:hAnsi="Arial" w:cs="Arial"/>
                <w:sz w:val="22"/>
                <w:szCs w:val="22"/>
              </w:rPr>
              <w:t>254,020</w:t>
            </w:r>
          </w:p>
        </w:tc>
        <w:tc>
          <w:tcPr>
            <w:tcW w:w="1195" w:type="dxa"/>
            <w:tcBorders>
              <w:top w:val="nil"/>
              <w:left w:val="nil"/>
              <w:bottom w:val="nil"/>
              <w:right w:val="nil"/>
            </w:tcBorders>
            <w:noWrap/>
          </w:tcPr>
          <w:p w14:paraId="082AE407" w14:textId="25D379C5" w:rsidR="0000687D" w:rsidRPr="00EC3171" w:rsidRDefault="00EC3171" w:rsidP="0000687D">
            <w:pPr>
              <w:jc w:val="right"/>
              <w:rPr>
                <w:rFonts w:ascii="Arial" w:hAnsi="Arial" w:cs="Arial"/>
              </w:rPr>
            </w:pPr>
            <w:r w:rsidRPr="00EC3171">
              <w:rPr>
                <w:rFonts w:ascii="Arial" w:hAnsi="Arial" w:cs="Arial"/>
                <w:sz w:val="22"/>
                <w:szCs w:val="22"/>
              </w:rPr>
              <w:t>254,020</w:t>
            </w:r>
          </w:p>
        </w:tc>
        <w:tc>
          <w:tcPr>
            <w:tcW w:w="1195" w:type="dxa"/>
            <w:tcBorders>
              <w:top w:val="nil"/>
              <w:left w:val="nil"/>
              <w:bottom w:val="nil"/>
              <w:right w:val="nil"/>
            </w:tcBorders>
            <w:noWrap/>
          </w:tcPr>
          <w:p w14:paraId="707A8E52" w14:textId="58626BDB" w:rsidR="0000687D" w:rsidRPr="00EC3171" w:rsidRDefault="00EC3171" w:rsidP="0000687D">
            <w:pPr>
              <w:jc w:val="right"/>
              <w:rPr>
                <w:rFonts w:ascii="Arial" w:hAnsi="Arial" w:cs="Arial"/>
              </w:rPr>
            </w:pPr>
            <w:r w:rsidRPr="00EC3171">
              <w:rPr>
                <w:rFonts w:ascii="Arial" w:hAnsi="Arial" w:cs="Arial"/>
                <w:sz w:val="22"/>
                <w:szCs w:val="22"/>
              </w:rPr>
              <w:t>254,020</w:t>
            </w:r>
          </w:p>
        </w:tc>
        <w:tc>
          <w:tcPr>
            <w:tcW w:w="1195" w:type="dxa"/>
            <w:tcBorders>
              <w:top w:val="nil"/>
              <w:left w:val="nil"/>
              <w:bottom w:val="nil"/>
              <w:right w:val="nil"/>
            </w:tcBorders>
            <w:noWrap/>
          </w:tcPr>
          <w:p w14:paraId="28B2DF52" w14:textId="28231CA8" w:rsidR="0000687D" w:rsidRPr="00EC3171" w:rsidRDefault="00EC3171" w:rsidP="0000687D">
            <w:pPr>
              <w:jc w:val="right"/>
              <w:rPr>
                <w:rFonts w:ascii="Arial" w:hAnsi="Arial" w:cs="Arial"/>
              </w:rPr>
            </w:pPr>
            <w:r w:rsidRPr="00EC3171">
              <w:rPr>
                <w:rFonts w:ascii="Arial" w:hAnsi="Arial" w:cs="Arial"/>
                <w:sz w:val="22"/>
                <w:szCs w:val="22"/>
              </w:rPr>
              <w:t>254,020</w:t>
            </w:r>
          </w:p>
        </w:tc>
        <w:tc>
          <w:tcPr>
            <w:tcW w:w="1195" w:type="dxa"/>
            <w:tcBorders>
              <w:top w:val="nil"/>
              <w:left w:val="nil"/>
              <w:bottom w:val="nil"/>
              <w:right w:val="nil"/>
            </w:tcBorders>
            <w:noWrap/>
          </w:tcPr>
          <w:p w14:paraId="712E0642" w14:textId="6C5F51E0" w:rsidR="0000687D" w:rsidRPr="00EC3171" w:rsidRDefault="00EC3171" w:rsidP="0000687D">
            <w:pPr>
              <w:jc w:val="right"/>
              <w:rPr>
                <w:rFonts w:ascii="Arial" w:hAnsi="Arial" w:cs="Arial"/>
              </w:rPr>
            </w:pPr>
            <w:r w:rsidRPr="00EC3171">
              <w:rPr>
                <w:rFonts w:ascii="Arial" w:hAnsi="Arial" w:cs="Arial"/>
                <w:sz w:val="22"/>
                <w:szCs w:val="22"/>
              </w:rPr>
              <w:t>254,020</w:t>
            </w:r>
          </w:p>
        </w:tc>
        <w:tc>
          <w:tcPr>
            <w:tcW w:w="1195" w:type="dxa"/>
            <w:tcBorders>
              <w:top w:val="nil"/>
              <w:left w:val="nil"/>
              <w:bottom w:val="nil"/>
              <w:right w:val="nil"/>
            </w:tcBorders>
            <w:noWrap/>
          </w:tcPr>
          <w:p w14:paraId="0DB2F808" w14:textId="4873CE4E" w:rsidR="0000687D" w:rsidRPr="00EC3171" w:rsidRDefault="00EC3171" w:rsidP="0000687D">
            <w:pPr>
              <w:jc w:val="right"/>
              <w:rPr>
                <w:rFonts w:ascii="Arial" w:hAnsi="Arial" w:cs="Arial"/>
              </w:rPr>
            </w:pPr>
            <w:r w:rsidRPr="00EC3171">
              <w:rPr>
                <w:rFonts w:ascii="Arial" w:hAnsi="Arial" w:cs="Arial"/>
                <w:sz w:val="22"/>
                <w:szCs w:val="22"/>
              </w:rPr>
              <w:t>254,020</w:t>
            </w:r>
          </w:p>
        </w:tc>
      </w:tr>
      <w:tr w:rsidR="00215458" w:rsidRPr="006D70F0" w14:paraId="405693B9" w14:textId="77777777" w:rsidTr="00397951">
        <w:trPr>
          <w:trHeight w:val="284"/>
        </w:trPr>
        <w:tc>
          <w:tcPr>
            <w:tcW w:w="3550" w:type="dxa"/>
            <w:tcBorders>
              <w:top w:val="nil"/>
              <w:left w:val="nil"/>
              <w:bottom w:val="nil"/>
              <w:right w:val="nil"/>
            </w:tcBorders>
          </w:tcPr>
          <w:p w14:paraId="6A1D2DDB" w14:textId="77777777" w:rsidR="00AD725B" w:rsidRPr="00333395" w:rsidRDefault="00AD725B" w:rsidP="00AD725B">
            <w:pPr>
              <w:rPr>
                <w:rFonts w:ascii="Arial" w:hAnsi="Arial" w:cs="Arial"/>
                <w:sz w:val="22"/>
                <w:szCs w:val="22"/>
              </w:rPr>
            </w:pPr>
            <w:r w:rsidRPr="00333395">
              <w:rPr>
                <w:rFonts w:ascii="Arial" w:hAnsi="Arial" w:cs="Arial"/>
                <w:sz w:val="22"/>
                <w:szCs w:val="22"/>
              </w:rPr>
              <w:t>Air Quality Initiatives</w:t>
            </w:r>
          </w:p>
        </w:tc>
        <w:tc>
          <w:tcPr>
            <w:tcW w:w="1318" w:type="dxa"/>
            <w:tcBorders>
              <w:top w:val="nil"/>
              <w:left w:val="nil"/>
              <w:bottom w:val="nil"/>
              <w:right w:val="nil"/>
            </w:tcBorders>
            <w:noWrap/>
          </w:tcPr>
          <w:p w14:paraId="7C75267D" w14:textId="413934FC" w:rsidR="00AD725B" w:rsidRPr="00333395" w:rsidRDefault="00AD725B" w:rsidP="00AD725B">
            <w:pPr>
              <w:tabs>
                <w:tab w:val="right" w:pos="979"/>
              </w:tabs>
              <w:jc w:val="right"/>
              <w:rPr>
                <w:rFonts w:ascii="Arial" w:hAnsi="Arial" w:cs="Arial"/>
                <w:sz w:val="22"/>
                <w:szCs w:val="22"/>
              </w:rPr>
            </w:pPr>
            <w:r w:rsidRPr="00333395">
              <w:rPr>
                <w:rFonts w:ascii="Arial" w:hAnsi="Arial" w:cs="Arial"/>
                <w:sz w:val="22"/>
                <w:szCs w:val="22"/>
              </w:rPr>
              <w:t>21,590</w:t>
            </w:r>
          </w:p>
        </w:tc>
        <w:tc>
          <w:tcPr>
            <w:tcW w:w="1195" w:type="dxa"/>
            <w:tcBorders>
              <w:top w:val="nil"/>
              <w:left w:val="nil"/>
              <w:bottom w:val="nil"/>
              <w:right w:val="nil"/>
            </w:tcBorders>
            <w:noWrap/>
          </w:tcPr>
          <w:p w14:paraId="355273E2" w14:textId="1C762E2C" w:rsidR="00AD725B" w:rsidRPr="00333395" w:rsidRDefault="00AD725B" w:rsidP="00AD725B">
            <w:pPr>
              <w:jc w:val="right"/>
              <w:rPr>
                <w:rFonts w:ascii="Arial" w:hAnsi="Arial" w:cs="Arial"/>
                <w:sz w:val="22"/>
                <w:szCs w:val="22"/>
              </w:rPr>
            </w:pPr>
            <w:r w:rsidRPr="00333395">
              <w:rPr>
                <w:rFonts w:ascii="Arial" w:hAnsi="Arial" w:cs="Arial"/>
                <w:sz w:val="22"/>
                <w:szCs w:val="22"/>
              </w:rPr>
              <w:t>21,590</w:t>
            </w:r>
          </w:p>
        </w:tc>
        <w:tc>
          <w:tcPr>
            <w:tcW w:w="1195" w:type="dxa"/>
            <w:tcBorders>
              <w:top w:val="nil"/>
              <w:left w:val="nil"/>
              <w:bottom w:val="nil"/>
              <w:right w:val="nil"/>
            </w:tcBorders>
            <w:noWrap/>
          </w:tcPr>
          <w:p w14:paraId="3734834A" w14:textId="38732402" w:rsidR="00AD725B" w:rsidRPr="00333395" w:rsidRDefault="00AD725B" w:rsidP="00AD725B">
            <w:pPr>
              <w:jc w:val="right"/>
              <w:rPr>
                <w:rFonts w:ascii="Arial" w:hAnsi="Arial" w:cs="Arial"/>
                <w:sz w:val="22"/>
                <w:szCs w:val="22"/>
              </w:rPr>
            </w:pPr>
            <w:r w:rsidRPr="00333395">
              <w:rPr>
                <w:rFonts w:ascii="Arial" w:hAnsi="Arial" w:cs="Arial"/>
                <w:sz w:val="22"/>
                <w:szCs w:val="22"/>
              </w:rPr>
              <w:t>21,590</w:t>
            </w:r>
          </w:p>
        </w:tc>
        <w:tc>
          <w:tcPr>
            <w:tcW w:w="1195" w:type="dxa"/>
            <w:tcBorders>
              <w:top w:val="nil"/>
              <w:left w:val="nil"/>
              <w:bottom w:val="nil"/>
              <w:right w:val="nil"/>
            </w:tcBorders>
            <w:noWrap/>
          </w:tcPr>
          <w:p w14:paraId="749D6DB8" w14:textId="0ED9C8C5" w:rsidR="00AD725B" w:rsidRPr="00333395" w:rsidRDefault="00AD725B" w:rsidP="00AD725B">
            <w:pPr>
              <w:jc w:val="right"/>
              <w:rPr>
                <w:rFonts w:ascii="Arial" w:hAnsi="Arial" w:cs="Arial"/>
                <w:sz w:val="22"/>
                <w:szCs w:val="22"/>
              </w:rPr>
            </w:pPr>
            <w:r w:rsidRPr="00333395">
              <w:rPr>
                <w:rFonts w:ascii="Arial" w:hAnsi="Arial" w:cs="Arial"/>
                <w:sz w:val="22"/>
                <w:szCs w:val="22"/>
              </w:rPr>
              <w:t>21,590</w:t>
            </w:r>
          </w:p>
        </w:tc>
        <w:tc>
          <w:tcPr>
            <w:tcW w:w="1195" w:type="dxa"/>
            <w:tcBorders>
              <w:top w:val="nil"/>
              <w:left w:val="nil"/>
              <w:bottom w:val="nil"/>
              <w:right w:val="nil"/>
            </w:tcBorders>
            <w:noWrap/>
          </w:tcPr>
          <w:p w14:paraId="568722C1" w14:textId="68C8E5EC" w:rsidR="00AD725B" w:rsidRPr="00333395" w:rsidRDefault="00AD725B" w:rsidP="00AD725B">
            <w:pPr>
              <w:jc w:val="right"/>
              <w:rPr>
                <w:rFonts w:ascii="Arial" w:hAnsi="Arial" w:cs="Arial"/>
                <w:sz w:val="22"/>
                <w:szCs w:val="22"/>
              </w:rPr>
            </w:pPr>
            <w:r w:rsidRPr="00333395">
              <w:rPr>
                <w:rFonts w:ascii="Arial" w:hAnsi="Arial" w:cs="Arial"/>
                <w:sz w:val="22"/>
                <w:szCs w:val="22"/>
              </w:rPr>
              <w:t>21,590</w:t>
            </w:r>
          </w:p>
        </w:tc>
        <w:tc>
          <w:tcPr>
            <w:tcW w:w="1195" w:type="dxa"/>
            <w:tcBorders>
              <w:top w:val="nil"/>
              <w:left w:val="nil"/>
              <w:bottom w:val="nil"/>
              <w:right w:val="nil"/>
            </w:tcBorders>
            <w:noWrap/>
          </w:tcPr>
          <w:p w14:paraId="194D2A25" w14:textId="19E1EFEF" w:rsidR="00AD725B" w:rsidRPr="00333395" w:rsidRDefault="00AD725B" w:rsidP="00AD725B">
            <w:pPr>
              <w:jc w:val="right"/>
              <w:rPr>
                <w:rFonts w:ascii="Arial" w:hAnsi="Arial" w:cs="Arial"/>
                <w:sz w:val="22"/>
                <w:szCs w:val="22"/>
              </w:rPr>
            </w:pPr>
            <w:r w:rsidRPr="00333395">
              <w:rPr>
                <w:rFonts w:ascii="Arial" w:hAnsi="Arial" w:cs="Arial"/>
                <w:sz w:val="22"/>
                <w:szCs w:val="22"/>
              </w:rPr>
              <w:t>21,590</w:t>
            </w:r>
          </w:p>
        </w:tc>
      </w:tr>
      <w:tr w:rsidR="00215458" w:rsidRPr="006D70F0" w14:paraId="4185EA82" w14:textId="77777777" w:rsidTr="00397951">
        <w:trPr>
          <w:trHeight w:val="284"/>
        </w:trPr>
        <w:tc>
          <w:tcPr>
            <w:tcW w:w="3550" w:type="dxa"/>
            <w:tcBorders>
              <w:top w:val="nil"/>
              <w:left w:val="nil"/>
              <w:bottom w:val="nil"/>
              <w:right w:val="nil"/>
            </w:tcBorders>
            <w:hideMark/>
          </w:tcPr>
          <w:p w14:paraId="2AC14AC0" w14:textId="77777777" w:rsidR="00295550" w:rsidRPr="00FF2A41" w:rsidRDefault="00295550" w:rsidP="00295550">
            <w:pPr>
              <w:rPr>
                <w:rFonts w:ascii="Arial" w:hAnsi="Arial" w:cs="Arial"/>
                <w:sz w:val="22"/>
                <w:szCs w:val="22"/>
              </w:rPr>
            </w:pPr>
            <w:r w:rsidRPr="00FF2A41">
              <w:rPr>
                <w:rFonts w:ascii="Arial" w:hAnsi="Arial" w:cs="Arial"/>
                <w:sz w:val="22"/>
                <w:szCs w:val="22"/>
              </w:rPr>
              <w:t>Business Rates Volatility</w:t>
            </w:r>
          </w:p>
        </w:tc>
        <w:tc>
          <w:tcPr>
            <w:tcW w:w="1318" w:type="dxa"/>
            <w:tcBorders>
              <w:top w:val="nil"/>
              <w:left w:val="nil"/>
              <w:bottom w:val="nil"/>
              <w:right w:val="nil"/>
            </w:tcBorders>
            <w:noWrap/>
          </w:tcPr>
          <w:p w14:paraId="545D80C4" w14:textId="5BD6CA80" w:rsidR="00295550" w:rsidRPr="00FF2A41" w:rsidRDefault="00520F1C" w:rsidP="00295550">
            <w:pPr>
              <w:jc w:val="right"/>
              <w:rPr>
                <w:rFonts w:ascii="Arial" w:hAnsi="Arial" w:cs="Arial"/>
                <w:sz w:val="22"/>
                <w:szCs w:val="22"/>
              </w:rPr>
            </w:pPr>
            <w:r w:rsidRPr="00FF2A41">
              <w:rPr>
                <w:rFonts w:ascii="Arial" w:hAnsi="Arial" w:cs="Arial"/>
                <w:sz w:val="22"/>
                <w:szCs w:val="22"/>
              </w:rPr>
              <w:t>494,910</w:t>
            </w:r>
          </w:p>
        </w:tc>
        <w:tc>
          <w:tcPr>
            <w:tcW w:w="1195" w:type="dxa"/>
            <w:tcBorders>
              <w:top w:val="nil"/>
              <w:left w:val="nil"/>
              <w:bottom w:val="nil"/>
              <w:right w:val="nil"/>
            </w:tcBorders>
            <w:noWrap/>
          </w:tcPr>
          <w:p w14:paraId="2221B0F4" w14:textId="759CD1D4" w:rsidR="00295550" w:rsidRPr="00FF2A41" w:rsidRDefault="00520F1C" w:rsidP="00295550">
            <w:pPr>
              <w:jc w:val="right"/>
              <w:rPr>
                <w:rFonts w:ascii="Arial" w:hAnsi="Arial" w:cs="Arial"/>
                <w:sz w:val="22"/>
                <w:szCs w:val="22"/>
              </w:rPr>
            </w:pPr>
            <w:r>
              <w:rPr>
                <w:rFonts w:ascii="Arial" w:hAnsi="Arial" w:cs="Arial"/>
                <w:sz w:val="22"/>
                <w:szCs w:val="22"/>
              </w:rPr>
              <w:t>30</w:t>
            </w:r>
            <w:r w:rsidRPr="00FF2A41">
              <w:rPr>
                <w:rFonts w:ascii="Arial" w:hAnsi="Arial" w:cs="Arial"/>
                <w:sz w:val="22"/>
                <w:szCs w:val="22"/>
              </w:rPr>
              <w:t>0,260</w:t>
            </w:r>
          </w:p>
        </w:tc>
        <w:tc>
          <w:tcPr>
            <w:tcW w:w="1195" w:type="dxa"/>
            <w:tcBorders>
              <w:top w:val="nil"/>
              <w:left w:val="nil"/>
              <w:bottom w:val="nil"/>
              <w:right w:val="nil"/>
            </w:tcBorders>
            <w:noWrap/>
          </w:tcPr>
          <w:p w14:paraId="018E3AA4" w14:textId="1F08A58E" w:rsidR="00295550" w:rsidRPr="00FF2A41" w:rsidRDefault="00520F1C" w:rsidP="00295550">
            <w:pPr>
              <w:jc w:val="right"/>
              <w:rPr>
                <w:rFonts w:ascii="Arial" w:hAnsi="Arial" w:cs="Arial"/>
                <w:sz w:val="22"/>
                <w:szCs w:val="22"/>
              </w:rPr>
            </w:pPr>
            <w:r w:rsidRPr="00A86AC7">
              <w:rPr>
                <w:rFonts w:ascii="Arial" w:hAnsi="Arial" w:cs="Arial"/>
                <w:sz w:val="22"/>
                <w:szCs w:val="22"/>
              </w:rPr>
              <w:t>300,260</w:t>
            </w:r>
          </w:p>
        </w:tc>
        <w:tc>
          <w:tcPr>
            <w:tcW w:w="1195" w:type="dxa"/>
            <w:tcBorders>
              <w:top w:val="nil"/>
              <w:left w:val="nil"/>
              <w:bottom w:val="nil"/>
              <w:right w:val="nil"/>
            </w:tcBorders>
            <w:noWrap/>
          </w:tcPr>
          <w:p w14:paraId="486C4952" w14:textId="5ED635DE" w:rsidR="00295550" w:rsidRPr="00FF2A41" w:rsidRDefault="00520F1C" w:rsidP="00295550">
            <w:pPr>
              <w:jc w:val="right"/>
              <w:rPr>
                <w:rFonts w:ascii="Arial" w:hAnsi="Arial" w:cs="Arial"/>
                <w:sz w:val="22"/>
                <w:szCs w:val="22"/>
              </w:rPr>
            </w:pPr>
            <w:r w:rsidRPr="00A86AC7">
              <w:rPr>
                <w:rFonts w:ascii="Arial" w:hAnsi="Arial" w:cs="Arial"/>
                <w:sz w:val="22"/>
                <w:szCs w:val="22"/>
              </w:rPr>
              <w:t>300,260</w:t>
            </w:r>
          </w:p>
        </w:tc>
        <w:tc>
          <w:tcPr>
            <w:tcW w:w="1195" w:type="dxa"/>
            <w:tcBorders>
              <w:top w:val="nil"/>
              <w:left w:val="nil"/>
              <w:bottom w:val="nil"/>
              <w:right w:val="nil"/>
            </w:tcBorders>
            <w:noWrap/>
          </w:tcPr>
          <w:p w14:paraId="7D459AEA" w14:textId="7BE11658" w:rsidR="00295550" w:rsidRPr="00FF2A41" w:rsidRDefault="00520F1C" w:rsidP="00295550">
            <w:pPr>
              <w:jc w:val="right"/>
              <w:rPr>
                <w:rFonts w:ascii="Arial" w:hAnsi="Arial" w:cs="Arial"/>
                <w:sz w:val="22"/>
                <w:szCs w:val="22"/>
              </w:rPr>
            </w:pPr>
            <w:r w:rsidRPr="00A86AC7">
              <w:rPr>
                <w:rFonts w:ascii="Arial" w:hAnsi="Arial" w:cs="Arial"/>
                <w:sz w:val="22"/>
                <w:szCs w:val="22"/>
              </w:rPr>
              <w:t>300,260</w:t>
            </w:r>
          </w:p>
        </w:tc>
        <w:tc>
          <w:tcPr>
            <w:tcW w:w="1195" w:type="dxa"/>
            <w:tcBorders>
              <w:top w:val="nil"/>
              <w:left w:val="nil"/>
              <w:bottom w:val="nil"/>
              <w:right w:val="nil"/>
            </w:tcBorders>
            <w:noWrap/>
          </w:tcPr>
          <w:p w14:paraId="7254FD4A" w14:textId="2F731965" w:rsidR="00295550" w:rsidRPr="00FF2A41" w:rsidRDefault="00520F1C" w:rsidP="00295550">
            <w:pPr>
              <w:jc w:val="right"/>
              <w:rPr>
                <w:rFonts w:ascii="Arial" w:hAnsi="Arial" w:cs="Arial"/>
                <w:sz w:val="22"/>
                <w:szCs w:val="22"/>
              </w:rPr>
            </w:pPr>
            <w:r w:rsidRPr="00A86AC7">
              <w:rPr>
                <w:rFonts w:ascii="Arial" w:hAnsi="Arial" w:cs="Arial"/>
                <w:sz w:val="22"/>
                <w:szCs w:val="22"/>
              </w:rPr>
              <w:t>300,260</w:t>
            </w:r>
          </w:p>
        </w:tc>
      </w:tr>
      <w:tr w:rsidR="00215458" w:rsidRPr="006D70F0" w14:paraId="47968969" w14:textId="77777777" w:rsidTr="00397951">
        <w:trPr>
          <w:trHeight w:val="284"/>
        </w:trPr>
        <w:tc>
          <w:tcPr>
            <w:tcW w:w="3550" w:type="dxa"/>
            <w:tcBorders>
              <w:top w:val="nil"/>
              <w:left w:val="nil"/>
              <w:bottom w:val="nil"/>
              <w:right w:val="nil"/>
            </w:tcBorders>
            <w:hideMark/>
          </w:tcPr>
          <w:p w14:paraId="498242FC" w14:textId="77777777" w:rsidR="00295550" w:rsidRPr="00637378" w:rsidRDefault="00295550" w:rsidP="00295550">
            <w:pPr>
              <w:rPr>
                <w:rFonts w:ascii="Arial" w:hAnsi="Arial" w:cs="Arial"/>
                <w:sz w:val="22"/>
                <w:szCs w:val="22"/>
              </w:rPr>
            </w:pPr>
            <w:r w:rsidRPr="00637378">
              <w:rPr>
                <w:rFonts w:ascii="Arial" w:hAnsi="Arial" w:cs="Arial"/>
                <w:sz w:val="22"/>
                <w:szCs w:val="22"/>
              </w:rPr>
              <w:t>Christmas Decorations</w:t>
            </w:r>
          </w:p>
        </w:tc>
        <w:tc>
          <w:tcPr>
            <w:tcW w:w="1318" w:type="dxa"/>
            <w:tcBorders>
              <w:top w:val="nil"/>
              <w:left w:val="nil"/>
              <w:bottom w:val="nil"/>
              <w:right w:val="nil"/>
            </w:tcBorders>
            <w:noWrap/>
          </w:tcPr>
          <w:p w14:paraId="25509B82" w14:textId="77777777" w:rsidR="00295550" w:rsidRPr="00637378" w:rsidRDefault="00295550" w:rsidP="00295550">
            <w:pPr>
              <w:jc w:val="right"/>
              <w:rPr>
                <w:rFonts w:ascii="Arial" w:hAnsi="Arial" w:cs="Arial"/>
                <w:sz w:val="22"/>
                <w:szCs w:val="22"/>
              </w:rPr>
            </w:pPr>
            <w:r w:rsidRPr="00637378">
              <w:rPr>
                <w:rFonts w:ascii="Arial" w:hAnsi="Arial" w:cs="Arial"/>
                <w:sz w:val="22"/>
                <w:szCs w:val="22"/>
              </w:rPr>
              <w:t>13,870</w:t>
            </w:r>
          </w:p>
        </w:tc>
        <w:tc>
          <w:tcPr>
            <w:tcW w:w="1195" w:type="dxa"/>
            <w:tcBorders>
              <w:top w:val="nil"/>
              <w:left w:val="nil"/>
              <w:bottom w:val="nil"/>
              <w:right w:val="nil"/>
            </w:tcBorders>
            <w:noWrap/>
          </w:tcPr>
          <w:p w14:paraId="206A9B87" w14:textId="77777777" w:rsidR="00295550" w:rsidRPr="00637378" w:rsidRDefault="00295550" w:rsidP="00295550">
            <w:pPr>
              <w:jc w:val="right"/>
              <w:rPr>
                <w:rFonts w:ascii="Arial" w:hAnsi="Arial" w:cs="Arial"/>
                <w:sz w:val="22"/>
                <w:szCs w:val="22"/>
              </w:rPr>
            </w:pPr>
            <w:r w:rsidRPr="00637378">
              <w:rPr>
                <w:rFonts w:ascii="Arial" w:hAnsi="Arial" w:cs="Arial"/>
                <w:sz w:val="22"/>
                <w:szCs w:val="22"/>
              </w:rPr>
              <w:t>13,870</w:t>
            </w:r>
          </w:p>
        </w:tc>
        <w:tc>
          <w:tcPr>
            <w:tcW w:w="1195" w:type="dxa"/>
            <w:tcBorders>
              <w:top w:val="nil"/>
              <w:left w:val="nil"/>
              <w:bottom w:val="nil"/>
              <w:right w:val="nil"/>
            </w:tcBorders>
            <w:noWrap/>
          </w:tcPr>
          <w:p w14:paraId="34DD4097" w14:textId="77777777" w:rsidR="00295550" w:rsidRPr="00637378" w:rsidRDefault="00295550" w:rsidP="00295550">
            <w:pPr>
              <w:jc w:val="right"/>
              <w:rPr>
                <w:rFonts w:ascii="Arial" w:hAnsi="Arial" w:cs="Arial"/>
                <w:sz w:val="22"/>
                <w:szCs w:val="22"/>
              </w:rPr>
            </w:pPr>
            <w:r w:rsidRPr="00637378">
              <w:rPr>
                <w:rFonts w:ascii="Arial" w:hAnsi="Arial" w:cs="Arial"/>
                <w:sz w:val="22"/>
                <w:szCs w:val="22"/>
              </w:rPr>
              <w:t>13,870</w:t>
            </w:r>
          </w:p>
        </w:tc>
        <w:tc>
          <w:tcPr>
            <w:tcW w:w="1195" w:type="dxa"/>
            <w:tcBorders>
              <w:top w:val="nil"/>
              <w:left w:val="nil"/>
              <w:bottom w:val="nil"/>
              <w:right w:val="nil"/>
            </w:tcBorders>
            <w:noWrap/>
          </w:tcPr>
          <w:p w14:paraId="2703C3B0" w14:textId="77777777" w:rsidR="00295550" w:rsidRPr="00637378" w:rsidRDefault="00295550" w:rsidP="00295550">
            <w:pPr>
              <w:jc w:val="right"/>
              <w:rPr>
                <w:rFonts w:ascii="Arial" w:hAnsi="Arial" w:cs="Arial"/>
                <w:sz w:val="22"/>
                <w:szCs w:val="22"/>
              </w:rPr>
            </w:pPr>
            <w:r w:rsidRPr="00637378">
              <w:rPr>
                <w:rFonts w:ascii="Arial" w:hAnsi="Arial" w:cs="Arial"/>
                <w:sz w:val="22"/>
                <w:szCs w:val="22"/>
              </w:rPr>
              <w:t>13,870</w:t>
            </w:r>
          </w:p>
        </w:tc>
        <w:tc>
          <w:tcPr>
            <w:tcW w:w="1195" w:type="dxa"/>
            <w:tcBorders>
              <w:top w:val="nil"/>
              <w:left w:val="nil"/>
              <w:bottom w:val="nil"/>
              <w:right w:val="nil"/>
            </w:tcBorders>
            <w:noWrap/>
          </w:tcPr>
          <w:p w14:paraId="567700D1" w14:textId="77777777" w:rsidR="00295550" w:rsidRPr="00637378" w:rsidRDefault="00295550" w:rsidP="00295550">
            <w:pPr>
              <w:jc w:val="right"/>
              <w:rPr>
                <w:rFonts w:ascii="Arial" w:hAnsi="Arial" w:cs="Arial"/>
                <w:sz w:val="22"/>
                <w:szCs w:val="22"/>
              </w:rPr>
            </w:pPr>
            <w:r w:rsidRPr="00637378">
              <w:rPr>
                <w:rFonts w:ascii="Arial" w:hAnsi="Arial" w:cs="Arial"/>
                <w:sz w:val="22"/>
                <w:szCs w:val="22"/>
              </w:rPr>
              <w:t>13,870</w:t>
            </w:r>
          </w:p>
        </w:tc>
        <w:tc>
          <w:tcPr>
            <w:tcW w:w="1195" w:type="dxa"/>
            <w:tcBorders>
              <w:top w:val="nil"/>
              <w:left w:val="nil"/>
              <w:bottom w:val="nil"/>
              <w:right w:val="nil"/>
            </w:tcBorders>
            <w:noWrap/>
          </w:tcPr>
          <w:p w14:paraId="2E672F83" w14:textId="77777777" w:rsidR="00295550" w:rsidRPr="00637378" w:rsidRDefault="00295550" w:rsidP="00295550">
            <w:pPr>
              <w:jc w:val="right"/>
              <w:rPr>
                <w:rFonts w:ascii="Arial" w:hAnsi="Arial" w:cs="Arial"/>
                <w:sz w:val="22"/>
                <w:szCs w:val="22"/>
              </w:rPr>
            </w:pPr>
            <w:r w:rsidRPr="00637378">
              <w:rPr>
                <w:rFonts w:ascii="Arial" w:hAnsi="Arial" w:cs="Arial"/>
                <w:sz w:val="22"/>
                <w:szCs w:val="22"/>
              </w:rPr>
              <w:t>13,870</w:t>
            </w:r>
          </w:p>
        </w:tc>
      </w:tr>
      <w:tr w:rsidR="00215458" w:rsidRPr="006D70F0" w14:paraId="5FA6BE8C" w14:textId="77777777" w:rsidTr="00397951">
        <w:trPr>
          <w:trHeight w:val="284"/>
        </w:trPr>
        <w:tc>
          <w:tcPr>
            <w:tcW w:w="3550" w:type="dxa"/>
            <w:tcBorders>
              <w:top w:val="nil"/>
              <w:left w:val="nil"/>
              <w:bottom w:val="nil"/>
              <w:right w:val="nil"/>
            </w:tcBorders>
          </w:tcPr>
          <w:p w14:paraId="3DA8AF38" w14:textId="5849DD3F" w:rsidR="006E2243" w:rsidRPr="00637378" w:rsidRDefault="006E2243" w:rsidP="00295550">
            <w:pPr>
              <w:rPr>
                <w:rFonts w:ascii="Arial" w:hAnsi="Arial" w:cs="Arial"/>
                <w:sz w:val="22"/>
                <w:szCs w:val="22"/>
              </w:rPr>
            </w:pPr>
            <w:r w:rsidRPr="00637378">
              <w:rPr>
                <w:rFonts w:ascii="Arial" w:hAnsi="Arial" w:cs="Arial"/>
                <w:sz w:val="22"/>
                <w:szCs w:val="22"/>
              </w:rPr>
              <w:t>City Centre Masterplan</w:t>
            </w:r>
          </w:p>
        </w:tc>
        <w:tc>
          <w:tcPr>
            <w:tcW w:w="1318" w:type="dxa"/>
            <w:tcBorders>
              <w:top w:val="nil"/>
              <w:left w:val="nil"/>
              <w:bottom w:val="nil"/>
              <w:right w:val="nil"/>
            </w:tcBorders>
            <w:noWrap/>
          </w:tcPr>
          <w:p w14:paraId="0B56DD2D" w14:textId="6896F6C8" w:rsidR="006E2243" w:rsidRPr="00637378" w:rsidRDefault="00CA1BEC" w:rsidP="00295550">
            <w:pPr>
              <w:jc w:val="right"/>
              <w:rPr>
                <w:rFonts w:ascii="Arial" w:hAnsi="Arial" w:cs="Arial"/>
                <w:sz w:val="22"/>
                <w:szCs w:val="22"/>
              </w:rPr>
            </w:pPr>
            <w:r w:rsidRPr="00637378">
              <w:rPr>
                <w:rFonts w:ascii="Arial" w:hAnsi="Arial" w:cs="Arial"/>
                <w:sz w:val="22"/>
                <w:szCs w:val="22"/>
              </w:rPr>
              <w:t>75,000</w:t>
            </w:r>
          </w:p>
        </w:tc>
        <w:tc>
          <w:tcPr>
            <w:tcW w:w="1195" w:type="dxa"/>
            <w:tcBorders>
              <w:top w:val="nil"/>
              <w:left w:val="nil"/>
              <w:bottom w:val="nil"/>
              <w:right w:val="nil"/>
            </w:tcBorders>
            <w:noWrap/>
          </w:tcPr>
          <w:p w14:paraId="1E6FB50E" w14:textId="689188BB" w:rsidR="006E2243" w:rsidRPr="00637378" w:rsidRDefault="00CA1BEC" w:rsidP="00295550">
            <w:pPr>
              <w:jc w:val="right"/>
              <w:rPr>
                <w:rFonts w:ascii="Arial" w:hAnsi="Arial" w:cs="Arial"/>
                <w:sz w:val="22"/>
                <w:szCs w:val="22"/>
              </w:rPr>
            </w:pPr>
            <w:r w:rsidRPr="00637378">
              <w:rPr>
                <w:rFonts w:ascii="Arial" w:hAnsi="Arial" w:cs="Arial"/>
                <w:sz w:val="22"/>
                <w:szCs w:val="22"/>
              </w:rPr>
              <w:t>75,000</w:t>
            </w:r>
          </w:p>
        </w:tc>
        <w:tc>
          <w:tcPr>
            <w:tcW w:w="1195" w:type="dxa"/>
            <w:tcBorders>
              <w:top w:val="nil"/>
              <w:left w:val="nil"/>
              <w:bottom w:val="nil"/>
              <w:right w:val="nil"/>
            </w:tcBorders>
            <w:noWrap/>
          </w:tcPr>
          <w:p w14:paraId="3E81AC48" w14:textId="32374C92" w:rsidR="006E2243" w:rsidRPr="00637378" w:rsidRDefault="00CA1BEC" w:rsidP="00295550">
            <w:pPr>
              <w:jc w:val="right"/>
              <w:rPr>
                <w:rFonts w:ascii="Arial" w:hAnsi="Arial" w:cs="Arial"/>
                <w:sz w:val="22"/>
                <w:szCs w:val="22"/>
              </w:rPr>
            </w:pPr>
            <w:r w:rsidRPr="00637378">
              <w:rPr>
                <w:rFonts w:ascii="Arial" w:hAnsi="Arial" w:cs="Arial"/>
                <w:sz w:val="22"/>
                <w:szCs w:val="22"/>
              </w:rPr>
              <w:t>75,000</w:t>
            </w:r>
          </w:p>
        </w:tc>
        <w:tc>
          <w:tcPr>
            <w:tcW w:w="1195" w:type="dxa"/>
            <w:tcBorders>
              <w:top w:val="nil"/>
              <w:left w:val="nil"/>
              <w:bottom w:val="nil"/>
              <w:right w:val="nil"/>
            </w:tcBorders>
            <w:noWrap/>
          </w:tcPr>
          <w:p w14:paraId="0FBB29F7" w14:textId="0E814054" w:rsidR="006E2243" w:rsidRPr="00637378" w:rsidRDefault="00CA1BEC" w:rsidP="00295550">
            <w:pPr>
              <w:jc w:val="right"/>
              <w:rPr>
                <w:rFonts w:ascii="Arial" w:hAnsi="Arial" w:cs="Arial"/>
                <w:sz w:val="22"/>
                <w:szCs w:val="22"/>
              </w:rPr>
            </w:pPr>
            <w:r w:rsidRPr="00637378">
              <w:rPr>
                <w:rFonts w:ascii="Arial" w:hAnsi="Arial" w:cs="Arial"/>
                <w:sz w:val="22"/>
                <w:szCs w:val="22"/>
              </w:rPr>
              <w:t>75,000</w:t>
            </w:r>
          </w:p>
        </w:tc>
        <w:tc>
          <w:tcPr>
            <w:tcW w:w="1195" w:type="dxa"/>
            <w:tcBorders>
              <w:top w:val="nil"/>
              <w:left w:val="nil"/>
              <w:bottom w:val="nil"/>
              <w:right w:val="nil"/>
            </w:tcBorders>
            <w:noWrap/>
          </w:tcPr>
          <w:p w14:paraId="1A459A1C" w14:textId="0F8D8E57" w:rsidR="006E2243" w:rsidRPr="00637378" w:rsidRDefault="00CA1BEC" w:rsidP="00295550">
            <w:pPr>
              <w:jc w:val="right"/>
              <w:rPr>
                <w:rFonts w:ascii="Arial" w:hAnsi="Arial" w:cs="Arial"/>
                <w:sz w:val="22"/>
                <w:szCs w:val="22"/>
              </w:rPr>
            </w:pPr>
            <w:r w:rsidRPr="00637378">
              <w:rPr>
                <w:rFonts w:ascii="Arial" w:hAnsi="Arial" w:cs="Arial"/>
                <w:sz w:val="22"/>
                <w:szCs w:val="22"/>
              </w:rPr>
              <w:t>75,000</w:t>
            </w:r>
          </w:p>
        </w:tc>
        <w:tc>
          <w:tcPr>
            <w:tcW w:w="1195" w:type="dxa"/>
            <w:tcBorders>
              <w:top w:val="nil"/>
              <w:left w:val="nil"/>
              <w:bottom w:val="nil"/>
              <w:right w:val="nil"/>
            </w:tcBorders>
            <w:noWrap/>
          </w:tcPr>
          <w:p w14:paraId="7B35F28B" w14:textId="449A5F72" w:rsidR="006E2243" w:rsidRPr="00637378" w:rsidRDefault="00CA1BEC" w:rsidP="00295550">
            <w:pPr>
              <w:jc w:val="right"/>
              <w:rPr>
                <w:rFonts w:ascii="Arial" w:hAnsi="Arial" w:cs="Arial"/>
                <w:sz w:val="22"/>
                <w:szCs w:val="22"/>
              </w:rPr>
            </w:pPr>
            <w:r w:rsidRPr="00637378">
              <w:rPr>
                <w:rFonts w:ascii="Arial" w:hAnsi="Arial" w:cs="Arial"/>
                <w:sz w:val="22"/>
                <w:szCs w:val="22"/>
              </w:rPr>
              <w:t>75,000</w:t>
            </w:r>
          </w:p>
        </w:tc>
      </w:tr>
      <w:tr w:rsidR="00215458" w:rsidRPr="006D70F0" w14:paraId="6B946752" w14:textId="77777777" w:rsidTr="00397951">
        <w:trPr>
          <w:trHeight w:val="284"/>
        </w:trPr>
        <w:tc>
          <w:tcPr>
            <w:tcW w:w="3550" w:type="dxa"/>
            <w:tcBorders>
              <w:top w:val="nil"/>
              <w:left w:val="nil"/>
              <w:bottom w:val="nil"/>
              <w:right w:val="nil"/>
            </w:tcBorders>
          </w:tcPr>
          <w:p w14:paraId="50FB0819" w14:textId="106091AB" w:rsidR="00295550" w:rsidRPr="00B760DE" w:rsidRDefault="00295550" w:rsidP="00295550">
            <w:pPr>
              <w:rPr>
                <w:rFonts w:ascii="Arial" w:hAnsi="Arial" w:cs="Arial"/>
                <w:sz w:val="22"/>
                <w:szCs w:val="22"/>
              </w:rPr>
            </w:pPr>
            <w:r w:rsidRPr="00B760DE">
              <w:rPr>
                <w:rFonts w:ascii="Arial" w:hAnsi="Arial" w:cs="Arial"/>
                <w:sz w:val="22"/>
                <w:szCs w:val="22"/>
              </w:rPr>
              <w:t>City Hall Improvement Works</w:t>
            </w:r>
          </w:p>
        </w:tc>
        <w:tc>
          <w:tcPr>
            <w:tcW w:w="1318" w:type="dxa"/>
            <w:tcBorders>
              <w:top w:val="nil"/>
              <w:left w:val="nil"/>
              <w:bottom w:val="nil"/>
              <w:right w:val="nil"/>
            </w:tcBorders>
            <w:noWrap/>
          </w:tcPr>
          <w:p w14:paraId="497284D1" w14:textId="369488CA" w:rsidR="00295550" w:rsidRPr="00B760DE" w:rsidRDefault="00295550" w:rsidP="00295550">
            <w:pPr>
              <w:jc w:val="right"/>
              <w:rPr>
                <w:rFonts w:ascii="Arial" w:hAnsi="Arial" w:cs="Arial"/>
                <w:sz w:val="22"/>
                <w:szCs w:val="22"/>
              </w:rPr>
            </w:pPr>
            <w:r w:rsidRPr="00B760DE">
              <w:rPr>
                <w:rFonts w:ascii="Arial" w:hAnsi="Arial" w:cs="Arial"/>
                <w:sz w:val="22"/>
                <w:szCs w:val="22"/>
              </w:rPr>
              <w:t>50,000</w:t>
            </w:r>
          </w:p>
        </w:tc>
        <w:tc>
          <w:tcPr>
            <w:tcW w:w="1195" w:type="dxa"/>
            <w:tcBorders>
              <w:top w:val="nil"/>
              <w:left w:val="nil"/>
              <w:bottom w:val="nil"/>
              <w:right w:val="nil"/>
            </w:tcBorders>
            <w:noWrap/>
          </w:tcPr>
          <w:p w14:paraId="495E28AE" w14:textId="6C83C4A1" w:rsidR="00295550" w:rsidRPr="00B760DE" w:rsidRDefault="00295550" w:rsidP="00295550">
            <w:pPr>
              <w:jc w:val="right"/>
              <w:rPr>
                <w:rFonts w:ascii="Arial" w:hAnsi="Arial" w:cs="Arial"/>
                <w:sz w:val="22"/>
                <w:szCs w:val="22"/>
              </w:rPr>
            </w:pPr>
            <w:r w:rsidRPr="00B760DE">
              <w:rPr>
                <w:rFonts w:ascii="Arial" w:hAnsi="Arial" w:cs="Arial"/>
                <w:sz w:val="22"/>
                <w:szCs w:val="22"/>
              </w:rPr>
              <w:t>50,000</w:t>
            </w:r>
          </w:p>
        </w:tc>
        <w:tc>
          <w:tcPr>
            <w:tcW w:w="1195" w:type="dxa"/>
            <w:tcBorders>
              <w:top w:val="nil"/>
              <w:left w:val="nil"/>
              <w:bottom w:val="nil"/>
              <w:right w:val="nil"/>
            </w:tcBorders>
            <w:noWrap/>
          </w:tcPr>
          <w:p w14:paraId="3C4B847C" w14:textId="32FED4EA" w:rsidR="00295550" w:rsidRPr="00B760DE" w:rsidRDefault="00295550" w:rsidP="00295550">
            <w:pPr>
              <w:jc w:val="right"/>
              <w:rPr>
                <w:rFonts w:ascii="Arial" w:hAnsi="Arial" w:cs="Arial"/>
                <w:sz w:val="22"/>
                <w:szCs w:val="22"/>
              </w:rPr>
            </w:pPr>
            <w:r w:rsidRPr="00B760DE">
              <w:rPr>
                <w:rFonts w:ascii="Arial" w:hAnsi="Arial" w:cs="Arial"/>
                <w:sz w:val="22"/>
                <w:szCs w:val="22"/>
              </w:rPr>
              <w:t>50,000</w:t>
            </w:r>
          </w:p>
        </w:tc>
        <w:tc>
          <w:tcPr>
            <w:tcW w:w="1195" w:type="dxa"/>
            <w:tcBorders>
              <w:top w:val="nil"/>
              <w:left w:val="nil"/>
              <w:bottom w:val="nil"/>
              <w:right w:val="nil"/>
            </w:tcBorders>
            <w:noWrap/>
          </w:tcPr>
          <w:p w14:paraId="38266AC1" w14:textId="2D674A11" w:rsidR="00295550" w:rsidRPr="00B760DE" w:rsidRDefault="00295550" w:rsidP="00295550">
            <w:pPr>
              <w:jc w:val="right"/>
              <w:rPr>
                <w:rFonts w:ascii="Arial" w:hAnsi="Arial" w:cs="Arial"/>
                <w:sz w:val="22"/>
                <w:szCs w:val="22"/>
              </w:rPr>
            </w:pPr>
            <w:r w:rsidRPr="00B760DE">
              <w:rPr>
                <w:rFonts w:ascii="Arial" w:hAnsi="Arial" w:cs="Arial"/>
                <w:sz w:val="22"/>
                <w:szCs w:val="22"/>
              </w:rPr>
              <w:t>50,000</w:t>
            </w:r>
          </w:p>
        </w:tc>
        <w:tc>
          <w:tcPr>
            <w:tcW w:w="1195" w:type="dxa"/>
            <w:tcBorders>
              <w:top w:val="nil"/>
              <w:left w:val="nil"/>
              <w:bottom w:val="nil"/>
              <w:right w:val="nil"/>
            </w:tcBorders>
            <w:noWrap/>
          </w:tcPr>
          <w:p w14:paraId="34DA428F" w14:textId="10B360B5" w:rsidR="00295550" w:rsidRPr="00B760DE" w:rsidRDefault="00295550" w:rsidP="00295550">
            <w:pPr>
              <w:jc w:val="right"/>
              <w:rPr>
                <w:rFonts w:ascii="Arial" w:hAnsi="Arial" w:cs="Arial"/>
                <w:sz w:val="22"/>
                <w:szCs w:val="22"/>
              </w:rPr>
            </w:pPr>
            <w:r w:rsidRPr="00B760DE">
              <w:rPr>
                <w:rFonts w:ascii="Arial" w:hAnsi="Arial" w:cs="Arial"/>
                <w:sz w:val="22"/>
                <w:szCs w:val="22"/>
              </w:rPr>
              <w:t>50,000</w:t>
            </w:r>
          </w:p>
        </w:tc>
        <w:tc>
          <w:tcPr>
            <w:tcW w:w="1195" w:type="dxa"/>
            <w:tcBorders>
              <w:top w:val="nil"/>
              <w:left w:val="nil"/>
              <w:bottom w:val="nil"/>
              <w:right w:val="nil"/>
            </w:tcBorders>
            <w:noWrap/>
          </w:tcPr>
          <w:p w14:paraId="343836A0" w14:textId="6CF731DF" w:rsidR="00295550" w:rsidRPr="00B760DE" w:rsidRDefault="00295550" w:rsidP="00295550">
            <w:pPr>
              <w:jc w:val="right"/>
              <w:rPr>
                <w:rFonts w:ascii="Arial" w:hAnsi="Arial" w:cs="Arial"/>
                <w:sz w:val="22"/>
                <w:szCs w:val="22"/>
              </w:rPr>
            </w:pPr>
            <w:r w:rsidRPr="00B760DE">
              <w:rPr>
                <w:rFonts w:ascii="Arial" w:hAnsi="Arial" w:cs="Arial"/>
                <w:sz w:val="22"/>
                <w:szCs w:val="22"/>
              </w:rPr>
              <w:t>50,000</w:t>
            </w:r>
          </w:p>
        </w:tc>
      </w:tr>
      <w:tr w:rsidR="00215458" w:rsidRPr="006D70F0" w14:paraId="02A1890B" w14:textId="77777777" w:rsidTr="00397951">
        <w:trPr>
          <w:trHeight w:val="284"/>
        </w:trPr>
        <w:tc>
          <w:tcPr>
            <w:tcW w:w="3550" w:type="dxa"/>
            <w:tcBorders>
              <w:top w:val="nil"/>
              <w:left w:val="nil"/>
              <w:bottom w:val="nil"/>
              <w:right w:val="nil"/>
            </w:tcBorders>
            <w:hideMark/>
          </w:tcPr>
          <w:p w14:paraId="75224C4B" w14:textId="77777777" w:rsidR="00295550" w:rsidRPr="00B760DE" w:rsidRDefault="00295550" w:rsidP="00295550">
            <w:pPr>
              <w:rPr>
                <w:rFonts w:ascii="Arial" w:hAnsi="Arial" w:cs="Arial"/>
                <w:sz w:val="22"/>
                <w:szCs w:val="22"/>
              </w:rPr>
            </w:pPr>
            <w:r w:rsidRPr="00B760DE">
              <w:rPr>
                <w:rFonts w:ascii="Arial" w:hAnsi="Arial" w:cs="Arial"/>
                <w:sz w:val="22"/>
                <w:szCs w:val="22"/>
              </w:rPr>
              <w:t>City Hall Sinking Fund</w:t>
            </w:r>
          </w:p>
        </w:tc>
        <w:tc>
          <w:tcPr>
            <w:tcW w:w="1318" w:type="dxa"/>
            <w:tcBorders>
              <w:top w:val="nil"/>
              <w:left w:val="nil"/>
              <w:bottom w:val="nil"/>
              <w:right w:val="nil"/>
            </w:tcBorders>
            <w:noWrap/>
          </w:tcPr>
          <w:p w14:paraId="3FD5E091" w14:textId="77777777" w:rsidR="00295550" w:rsidRPr="00B760DE" w:rsidRDefault="00295550" w:rsidP="00295550">
            <w:pPr>
              <w:jc w:val="right"/>
              <w:rPr>
                <w:rFonts w:ascii="Arial" w:hAnsi="Arial" w:cs="Arial"/>
                <w:sz w:val="22"/>
                <w:szCs w:val="22"/>
              </w:rPr>
            </w:pPr>
            <w:r w:rsidRPr="00B760DE">
              <w:rPr>
                <w:rFonts w:ascii="Arial" w:hAnsi="Arial" w:cs="Arial"/>
                <w:sz w:val="22"/>
                <w:szCs w:val="22"/>
              </w:rPr>
              <w:t>60,460</w:t>
            </w:r>
          </w:p>
        </w:tc>
        <w:tc>
          <w:tcPr>
            <w:tcW w:w="1195" w:type="dxa"/>
            <w:tcBorders>
              <w:top w:val="nil"/>
              <w:left w:val="nil"/>
              <w:bottom w:val="nil"/>
              <w:right w:val="nil"/>
            </w:tcBorders>
            <w:noWrap/>
          </w:tcPr>
          <w:p w14:paraId="0B14F651" w14:textId="77777777" w:rsidR="00295550" w:rsidRPr="00B760DE" w:rsidRDefault="00295550" w:rsidP="00295550">
            <w:pPr>
              <w:jc w:val="right"/>
              <w:rPr>
                <w:rFonts w:ascii="Arial" w:hAnsi="Arial" w:cs="Arial"/>
                <w:sz w:val="22"/>
                <w:szCs w:val="22"/>
              </w:rPr>
            </w:pPr>
            <w:r w:rsidRPr="00B760DE">
              <w:rPr>
                <w:rFonts w:ascii="Arial" w:hAnsi="Arial" w:cs="Arial"/>
                <w:sz w:val="22"/>
                <w:szCs w:val="22"/>
              </w:rPr>
              <w:t>60,460</w:t>
            </w:r>
          </w:p>
        </w:tc>
        <w:tc>
          <w:tcPr>
            <w:tcW w:w="1195" w:type="dxa"/>
            <w:tcBorders>
              <w:top w:val="nil"/>
              <w:left w:val="nil"/>
              <w:bottom w:val="nil"/>
              <w:right w:val="nil"/>
            </w:tcBorders>
            <w:noWrap/>
          </w:tcPr>
          <w:p w14:paraId="3E3A3A86" w14:textId="77777777" w:rsidR="00295550" w:rsidRPr="00B760DE" w:rsidRDefault="00295550" w:rsidP="00295550">
            <w:pPr>
              <w:jc w:val="right"/>
              <w:rPr>
                <w:rFonts w:ascii="Arial" w:hAnsi="Arial" w:cs="Arial"/>
                <w:sz w:val="22"/>
                <w:szCs w:val="22"/>
              </w:rPr>
            </w:pPr>
            <w:r w:rsidRPr="00B760DE">
              <w:rPr>
                <w:rFonts w:ascii="Arial" w:hAnsi="Arial" w:cs="Arial"/>
                <w:sz w:val="22"/>
                <w:szCs w:val="22"/>
              </w:rPr>
              <w:t>60,460</w:t>
            </w:r>
          </w:p>
        </w:tc>
        <w:tc>
          <w:tcPr>
            <w:tcW w:w="1195" w:type="dxa"/>
            <w:tcBorders>
              <w:top w:val="nil"/>
              <w:left w:val="nil"/>
              <w:bottom w:val="nil"/>
              <w:right w:val="nil"/>
            </w:tcBorders>
            <w:noWrap/>
          </w:tcPr>
          <w:p w14:paraId="5AE3E9E4" w14:textId="77777777" w:rsidR="00295550" w:rsidRPr="00B760DE" w:rsidRDefault="00295550" w:rsidP="00295550">
            <w:pPr>
              <w:jc w:val="right"/>
              <w:rPr>
                <w:rFonts w:ascii="Arial" w:hAnsi="Arial" w:cs="Arial"/>
                <w:sz w:val="22"/>
                <w:szCs w:val="22"/>
              </w:rPr>
            </w:pPr>
            <w:r w:rsidRPr="00B760DE">
              <w:rPr>
                <w:rFonts w:ascii="Arial" w:hAnsi="Arial" w:cs="Arial"/>
                <w:sz w:val="22"/>
                <w:szCs w:val="22"/>
              </w:rPr>
              <w:t>60,460</w:t>
            </w:r>
          </w:p>
        </w:tc>
        <w:tc>
          <w:tcPr>
            <w:tcW w:w="1195" w:type="dxa"/>
            <w:tcBorders>
              <w:top w:val="nil"/>
              <w:left w:val="nil"/>
              <w:bottom w:val="nil"/>
              <w:right w:val="nil"/>
            </w:tcBorders>
            <w:noWrap/>
          </w:tcPr>
          <w:p w14:paraId="7490A70B" w14:textId="77777777" w:rsidR="00295550" w:rsidRPr="00B760DE" w:rsidRDefault="00295550" w:rsidP="00295550">
            <w:pPr>
              <w:jc w:val="right"/>
              <w:rPr>
                <w:rFonts w:ascii="Arial" w:hAnsi="Arial" w:cs="Arial"/>
                <w:sz w:val="22"/>
                <w:szCs w:val="22"/>
              </w:rPr>
            </w:pPr>
            <w:r w:rsidRPr="00B760DE">
              <w:rPr>
                <w:rFonts w:ascii="Arial" w:hAnsi="Arial" w:cs="Arial"/>
                <w:sz w:val="22"/>
                <w:szCs w:val="22"/>
              </w:rPr>
              <w:t>60,460</w:t>
            </w:r>
          </w:p>
        </w:tc>
        <w:tc>
          <w:tcPr>
            <w:tcW w:w="1195" w:type="dxa"/>
            <w:tcBorders>
              <w:top w:val="nil"/>
              <w:left w:val="nil"/>
              <w:bottom w:val="nil"/>
              <w:right w:val="nil"/>
            </w:tcBorders>
            <w:noWrap/>
          </w:tcPr>
          <w:p w14:paraId="6C653B51" w14:textId="77777777" w:rsidR="00295550" w:rsidRPr="00B760DE" w:rsidRDefault="00295550" w:rsidP="00295550">
            <w:pPr>
              <w:jc w:val="right"/>
              <w:rPr>
                <w:rFonts w:ascii="Arial" w:hAnsi="Arial" w:cs="Arial"/>
                <w:sz w:val="22"/>
                <w:szCs w:val="22"/>
              </w:rPr>
            </w:pPr>
            <w:r w:rsidRPr="00B760DE">
              <w:rPr>
                <w:rFonts w:ascii="Arial" w:hAnsi="Arial" w:cs="Arial"/>
                <w:sz w:val="22"/>
                <w:szCs w:val="22"/>
              </w:rPr>
              <w:t>60,460</w:t>
            </w:r>
          </w:p>
        </w:tc>
      </w:tr>
      <w:tr w:rsidR="00215458" w:rsidRPr="006D70F0" w14:paraId="368BDD08" w14:textId="77777777" w:rsidTr="00397951">
        <w:trPr>
          <w:trHeight w:val="284"/>
        </w:trPr>
        <w:tc>
          <w:tcPr>
            <w:tcW w:w="3550" w:type="dxa"/>
            <w:tcBorders>
              <w:top w:val="nil"/>
              <w:left w:val="nil"/>
              <w:bottom w:val="nil"/>
              <w:right w:val="nil"/>
            </w:tcBorders>
          </w:tcPr>
          <w:p w14:paraId="5250A4A3" w14:textId="3D339BD1" w:rsidR="00392D29" w:rsidRPr="004C7651" w:rsidRDefault="00392D29" w:rsidP="00295550">
            <w:pPr>
              <w:rPr>
                <w:rFonts w:ascii="Arial" w:hAnsi="Arial" w:cs="Arial"/>
                <w:sz w:val="22"/>
                <w:szCs w:val="22"/>
              </w:rPr>
            </w:pPr>
            <w:r w:rsidRPr="004C7651">
              <w:rPr>
                <w:rFonts w:ascii="Arial" w:hAnsi="Arial" w:cs="Arial"/>
                <w:sz w:val="22"/>
                <w:szCs w:val="22"/>
              </w:rPr>
              <w:t>Climate Change Initiatives</w:t>
            </w:r>
          </w:p>
        </w:tc>
        <w:tc>
          <w:tcPr>
            <w:tcW w:w="1318" w:type="dxa"/>
            <w:tcBorders>
              <w:top w:val="nil"/>
              <w:left w:val="nil"/>
              <w:bottom w:val="nil"/>
              <w:right w:val="nil"/>
            </w:tcBorders>
            <w:noWrap/>
          </w:tcPr>
          <w:p w14:paraId="7AC8E744" w14:textId="4476A7D7" w:rsidR="00392D29" w:rsidRPr="004C7651" w:rsidRDefault="0087085A" w:rsidP="00295550">
            <w:pPr>
              <w:jc w:val="right"/>
              <w:rPr>
                <w:rFonts w:ascii="Arial" w:hAnsi="Arial" w:cs="Arial"/>
                <w:sz w:val="22"/>
                <w:szCs w:val="22"/>
              </w:rPr>
            </w:pPr>
            <w:r w:rsidRPr="004C7651">
              <w:rPr>
                <w:rFonts w:ascii="Arial" w:hAnsi="Arial" w:cs="Arial"/>
                <w:sz w:val="22"/>
                <w:szCs w:val="22"/>
              </w:rPr>
              <w:t>87,9</w:t>
            </w:r>
            <w:r w:rsidR="00133748">
              <w:rPr>
                <w:rFonts w:ascii="Arial" w:hAnsi="Arial" w:cs="Arial"/>
                <w:sz w:val="22"/>
                <w:szCs w:val="22"/>
              </w:rPr>
              <w:t>4</w:t>
            </w:r>
            <w:r w:rsidRPr="004C7651">
              <w:rPr>
                <w:rFonts w:ascii="Arial" w:hAnsi="Arial" w:cs="Arial"/>
                <w:sz w:val="22"/>
                <w:szCs w:val="22"/>
              </w:rPr>
              <w:t>0</w:t>
            </w:r>
          </w:p>
        </w:tc>
        <w:tc>
          <w:tcPr>
            <w:tcW w:w="1195" w:type="dxa"/>
            <w:tcBorders>
              <w:top w:val="nil"/>
              <w:left w:val="nil"/>
              <w:bottom w:val="nil"/>
              <w:right w:val="nil"/>
            </w:tcBorders>
            <w:noWrap/>
          </w:tcPr>
          <w:p w14:paraId="085D04AE" w14:textId="2C44CA08" w:rsidR="00392D29" w:rsidRPr="004C7651" w:rsidRDefault="008916AA" w:rsidP="00295550">
            <w:pPr>
              <w:jc w:val="right"/>
              <w:rPr>
                <w:rFonts w:ascii="Arial" w:hAnsi="Arial" w:cs="Arial"/>
                <w:sz w:val="22"/>
                <w:szCs w:val="22"/>
              </w:rPr>
            </w:pPr>
            <w:r w:rsidRPr="004C7651">
              <w:rPr>
                <w:rFonts w:ascii="Arial" w:hAnsi="Arial" w:cs="Arial"/>
                <w:sz w:val="22"/>
                <w:szCs w:val="22"/>
              </w:rPr>
              <w:t>107,9</w:t>
            </w:r>
            <w:r w:rsidR="00321FD3">
              <w:rPr>
                <w:rFonts w:ascii="Arial" w:hAnsi="Arial" w:cs="Arial"/>
                <w:sz w:val="22"/>
                <w:szCs w:val="22"/>
              </w:rPr>
              <w:t>4</w:t>
            </w:r>
            <w:r w:rsidRPr="004C7651">
              <w:rPr>
                <w:rFonts w:ascii="Arial" w:hAnsi="Arial" w:cs="Arial"/>
                <w:sz w:val="22"/>
                <w:szCs w:val="22"/>
              </w:rPr>
              <w:t>0</w:t>
            </w:r>
          </w:p>
        </w:tc>
        <w:tc>
          <w:tcPr>
            <w:tcW w:w="1195" w:type="dxa"/>
            <w:tcBorders>
              <w:top w:val="nil"/>
              <w:left w:val="nil"/>
              <w:bottom w:val="nil"/>
              <w:right w:val="nil"/>
            </w:tcBorders>
            <w:noWrap/>
          </w:tcPr>
          <w:p w14:paraId="73894D1E" w14:textId="42173643" w:rsidR="00392D29" w:rsidRPr="004C7651" w:rsidRDefault="00FD4E19" w:rsidP="00295550">
            <w:pPr>
              <w:jc w:val="right"/>
              <w:rPr>
                <w:rFonts w:ascii="Arial" w:hAnsi="Arial" w:cs="Arial"/>
                <w:sz w:val="22"/>
                <w:szCs w:val="22"/>
              </w:rPr>
            </w:pPr>
            <w:r w:rsidRPr="004C7651">
              <w:rPr>
                <w:rFonts w:ascii="Arial" w:hAnsi="Arial" w:cs="Arial"/>
                <w:sz w:val="22"/>
                <w:szCs w:val="22"/>
              </w:rPr>
              <w:t>127,9</w:t>
            </w:r>
            <w:r w:rsidR="00321FD3">
              <w:rPr>
                <w:rFonts w:ascii="Arial" w:hAnsi="Arial" w:cs="Arial"/>
                <w:sz w:val="22"/>
                <w:szCs w:val="22"/>
              </w:rPr>
              <w:t>4</w:t>
            </w:r>
            <w:r w:rsidRPr="004C7651">
              <w:rPr>
                <w:rFonts w:ascii="Arial" w:hAnsi="Arial" w:cs="Arial"/>
                <w:sz w:val="22"/>
                <w:szCs w:val="22"/>
              </w:rPr>
              <w:t>0</w:t>
            </w:r>
          </w:p>
        </w:tc>
        <w:tc>
          <w:tcPr>
            <w:tcW w:w="1195" w:type="dxa"/>
            <w:tcBorders>
              <w:top w:val="nil"/>
              <w:left w:val="nil"/>
              <w:bottom w:val="nil"/>
              <w:right w:val="nil"/>
            </w:tcBorders>
            <w:noWrap/>
          </w:tcPr>
          <w:p w14:paraId="756063CB" w14:textId="3AC0F9D0" w:rsidR="00392D29" w:rsidRPr="004C7651" w:rsidRDefault="00057677" w:rsidP="00295550">
            <w:pPr>
              <w:jc w:val="right"/>
              <w:rPr>
                <w:rFonts w:ascii="Arial" w:hAnsi="Arial" w:cs="Arial"/>
                <w:sz w:val="22"/>
                <w:szCs w:val="22"/>
              </w:rPr>
            </w:pPr>
            <w:r w:rsidRPr="004C7651">
              <w:rPr>
                <w:rFonts w:ascii="Arial" w:hAnsi="Arial" w:cs="Arial"/>
                <w:sz w:val="22"/>
                <w:szCs w:val="22"/>
              </w:rPr>
              <w:t>147,9</w:t>
            </w:r>
            <w:r w:rsidR="003B1D53">
              <w:rPr>
                <w:rFonts w:ascii="Arial" w:hAnsi="Arial" w:cs="Arial"/>
                <w:sz w:val="22"/>
                <w:szCs w:val="22"/>
              </w:rPr>
              <w:t>4</w:t>
            </w:r>
            <w:r w:rsidRPr="004C7651">
              <w:rPr>
                <w:rFonts w:ascii="Arial" w:hAnsi="Arial" w:cs="Arial"/>
                <w:sz w:val="22"/>
                <w:szCs w:val="22"/>
              </w:rPr>
              <w:t>0</w:t>
            </w:r>
          </w:p>
        </w:tc>
        <w:tc>
          <w:tcPr>
            <w:tcW w:w="1195" w:type="dxa"/>
            <w:tcBorders>
              <w:top w:val="nil"/>
              <w:left w:val="nil"/>
              <w:bottom w:val="nil"/>
              <w:right w:val="nil"/>
            </w:tcBorders>
            <w:noWrap/>
          </w:tcPr>
          <w:p w14:paraId="0DE1522B" w14:textId="60A9D030" w:rsidR="00392D29" w:rsidRPr="004C7651" w:rsidRDefault="00CB1A13" w:rsidP="00295550">
            <w:pPr>
              <w:jc w:val="right"/>
              <w:rPr>
                <w:rFonts w:ascii="Arial" w:hAnsi="Arial" w:cs="Arial"/>
                <w:sz w:val="22"/>
                <w:szCs w:val="22"/>
              </w:rPr>
            </w:pPr>
            <w:r w:rsidRPr="004C7651">
              <w:rPr>
                <w:rFonts w:ascii="Arial" w:hAnsi="Arial" w:cs="Arial"/>
                <w:sz w:val="22"/>
                <w:szCs w:val="22"/>
              </w:rPr>
              <w:t>167,9</w:t>
            </w:r>
            <w:r w:rsidR="003B1D53">
              <w:rPr>
                <w:rFonts w:ascii="Arial" w:hAnsi="Arial" w:cs="Arial"/>
                <w:sz w:val="22"/>
                <w:szCs w:val="22"/>
              </w:rPr>
              <w:t>4</w:t>
            </w:r>
            <w:r w:rsidRPr="004C7651">
              <w:rPr>
                <w:rFonts w:ascii="Arial" w:hAnsi="Arial" w:cs="Arial"/>
                <w:sz w:val="22"/>
                <w:szCs w:val="22"/>
              </w:rPr>
              <w:t>0</w:t>
            </w:r>
          </w:p>
        </w:tc>
        <w:tc>
          <w:tcPr>
            <w:tcW w:w="1195" w:type="dxa"/>
            <w:tcBorders>
              <w:top w:val="nil"/>
              <w:left w:val="nil"/>
              <w:bottom w:val="nil"/>
              <w:right w:val="nil"/>
            </w:tcBorders>
            <w:noWrap/>
          </w:tcPr>
          <w:p w14:paraId="1819F2FF" w14:textId="6E60FC47" w:rsidR="00392D29" w:rsidRPr="004C7651" w:rsidRDefault="004C7651" w:rsidP="00295550">
            <w:pPr>
              <w:jc w:val="right"/>
              <w:rPr>
                <w:rFonts w:ascii="Arial" w:hAnsi="Arial" w:cs="Arial"/>
                <w:sz w:val="22"/>
                <w:szCs w:val="22"/>
              </w:rPr>
            </w:pPr>
            <w:r w:rsidRPr="004C7651">
              <w:rPr>
                <w:rFonts w:ascii="Arial" w:hAnsi="Arial" w:cs="Arial"/>
                <w:sz w:val="22"/>
                <w:szCs w:val="22"/>
              </w:rPr>
              <w:t>187,9</w:t>
            </w:r>
            <w:r w:rsidR="00A35FCD">
              <w:rPr>
                <w:rFonts w:ascii="Arial" w:hAnsi="Arial" w:cs="Arial"/>
                <w:sz w:val="22"/>
                <w:szCs w:val="22"/>
              </w:rPr>
              <w:t>4</w:t>
            </w:r>
            <w:r w:rsidRPr="004C7651">
              <w:rPr>
                <w:rFonts w:ascii="Arial" w:hAnsi="Arial" w:cs="Arial"/>
                <w:sz w:val="22"/>
                <w:szCs w:val="22"/>
              </w:rPr>
              <w:t>0</w:t>
            </w:r>
          </w:p>
        </w:tc>
      </w:tr>
      <w:tr w:rsidR="00215458" w:rsidRPr="006D70F0" w14:paraId="47B91837" w14:textId="77777777" w:rsidTr="00397951">
        <w:trPr>
          <w:trHeight w:val="284"/>
        </w:trPr>
        <w:tc>
          <w:tcPr>
            <w:tcW w:w="3550" w:type="dxa"/>
            <w:tcBorders>
              <w:top w:val="nil"/>
              <w:left w:val="nil"/>
              <w:bottom w:val="nil"/>
              <w:right w:val="nil"/>
            </w:tcBorders>
            <w:hideMark/>
          </w:tcPr>
          <w:p w14:paraId="0A130CCB" w14:textId="77777777" w:rsidR="00295550" w:rsidRPr="00DE078C" w:rsidRDefault="00295550" w:rsidP="00295550">
            <w:pPr>
              <w:rPr>
                <w:rFonts w:ascii="Arial" w:hAnsi="Arial" w:cs="Arial"/>
                <w:sz w:val="22"/>
                <w:szCs w:val="22"/>
              </w:rPr>
            </w:pPr>
            <w:r w:rsidRPr="00DE078C">
              <w:rPr>
                <w:rFonts w:ascii="Arial" w:hAnsi="Arial" w:cs="Arial"/>
                <w:sz w:val="22"/>
                <w:szCs w:val="22"/>
              </w:rPr>
              <w:t>Commons Parking</w:t>
            </w:r>
          </w:p>
        </w:tc>
        <w:tc>
          <w:tcPr>
            <w:tcW w:w="1318" w:type="dxa"/>
            <w:tcBorders>
              <w:top w:val="nil"/>
              <w:left w:val="nil"/>
              <w:bottom w:val="nil"/>
              <w:right w:val="nil"/>
            </w:tcBorders>
            <w:noWrap/>
          </w:tcPr>
          <w:p w14:paraId="17DE7828" w14:textId="75DD48D7" w:rsidR="00295550" w:rsidRPr="00DE078C" w:rsidRDefault="00DE078C" w:rsidP="00295550">
            <w:pPr>
              <w:jc w:val="right"/>
              <w:rPr>
                <w:rFonts w:ascii="Arial" w:hAnsi="Arial" w:cs="Arial"/>
                <w:sz w:val="22"/>
                <w:szCs w:val="22"/>
              </w:rPr>
            </w:pPr>
            <w:r w:rsidRPr="00DE078C">
              <w:rPr>
                <w:rFonts w:ascii="Arial" w:hAnsi="Arial" w:cs="Arial"/>
                <w:sz w:val="22"/>
                <w:szCs w:val="22"/>
              </w:rPr>
              <w:t>40,700</w:t>
            </w:r>
          </w:p>
        </w:tc>
        <w:tc>
          <w:tcPr>
            <w:tcW w:w="1195" w:type="dxa"/>
            <w:tcBorders>
              <w:top w:val="nil"/>
              <w:left w:val="nil"/>
              <w:bottom w:val="nil"/>
              <w:right w:val="nil"/>
            </w:tcBorders>
            <w:noWrap/>
          </w:tcPr>
          <w:p w14:paraId="4CB447AD" w14:textId="7B23B6EB" w:rsidR="00295550" w:rsidRPr="00DE078C" w:rsidRDefault="00DE078C" w:rsidP="00295550">
            <w:pPr>
              <w:jc w:val="right"/>
              <w:rPr>
                <w:rFonts w:ascii="Arial" w:hAnsi="Arial" w:cs="Arial"/>
                <w:sz w:val="22"/>
                <w:szCs w:val="22"/>
              </w:rPr>
            </w:pPr>
            <w:r w:rsidRPr="00DE078C">
              <w:rPr>
                <w:rFonts w:ascii="Arial" w:hAnsi="Arial" w:cs="Arial"/>
                <w:sz w:val="22"/>
                <w:szCs w:val="22"/>
              </w:rPr>
              <w:t>40,700</w:t>
            </w:r>
          </w:p>
        </w:tc>
        <w:tc>
          <w:tcPr>
            <w:tcW w:w="1195" w:type="dxa"/>
            <w:tcBorders>
              <w:top w:val="nil"/>
              <w:left w:val="nil"/>
              <w:bottom w:val="nil"/>
              <w:right w:val="nil"/>
            </w:tcBorders>
            <w:noWrap/>
          </w:tcPr>
          <w:p w14:paraId="3B2E886F" w14:textId="7C078540" w:rsidR="00295550" w:rsidRPr="00DE078C" w:rsidRDefault="00DE078C" w:rsidP="00295550">
            <w:pPr>
              <w:jc w:val="right"/>
              <w:rPr>
                <w:rFonts w:ascii="Arial" w:hAnsi="Arial" w:cs="Arial"/>
                <w:sz w:val="22"/>
                <w:szCs w:val="22"/>
              </w:rPr>
            </w:pPr>
            <w:r w:rsidRPr="00DE078C">
              <w:rPr>
                <w:rFonts w:ascii="Arial" w:hAnsi="Arial" w:cs="Arial"/>
                <w:sz w:val="22"/>
                <w:szCs w:val="22"/>
              </w:rPr>
              <w:t>40,700</w:t>
            </w:r>
          </w:p>
        </w:tc>
        <w:tc>
          <w:tcPr>
            <w:tcW w:w="1195" w:type="dxa"/>
            <w:tcBorders>
              <w:top w:val="nil"/>
              <w:left w:val="nil"/>
              <w:bottom w:val="nil"/>
              <w:right w:val="nil"/>
            </w:tcBorders>
            <w:noWrap/>
          </w:tcPr>
          <w:p w14:paraId="0334DE8C" w14:textId="75123043" w:rsidR="00295550" w:rsidRPr="00DE078C" w:rsidRDefault="00DE078C" w:rsidP="00295550">
            <w:pPr>
              <w:jc w:val="right"/>
              <w:rPr>
                <w:rFonts w:ascii="Arial" w:hAnsi="Arial" w:cs="Arial"/>
                <w:sz w:val="22"/>
                <w:szCs w:val="22"/>
              </w:rPr>
            </w:pPr>
            <w:r w:rsidRPr="00DE078C">
              <w:rPr>
                <w:rFonts w:ascii="Arial" w:hAnsi="Arial" w:cs="Arial"/>
                <w:sz w:val="22"/>
                <w:szCs w:val="22"/>
              </w:rPr>
              <w:t>40,700</w:t>
            </w:r>
          </w:p>
        </w:tc>
        <w:tc>
          <w:tcPr>
            <w:tcW w:w="1195" w:type="dxa"/>
            <w:tcBorders>
              <w:top w:val="nil"/>
              <w:left w:val="nil"/>
              <w:bottom w:val="nil"/>
              <w:right w:val="nil"/>
            </w:tcBorders>
            <w:noWrap/>
          </w:tcPr>
          <w:p w14:paraId="1E4A5AA2" w14:textId="07F309F7" w:rsidR="00295550" w:rsidRPr="00DE078C" w:rsidRDefault="00DE078C" w:rsidP="00295550">
            <w:pPr>
              <w:jc w:val="right"/>
              <w:rPr>
                <w:rFonts w:ascii="Arial" w:hAnsi="Arial" w:cs="Arial"/>
                <w:sz w:val="22"/>
                <w:szCs w:val="22"/>
              </w:rPr>
            </w:pPr>
            <w:r w:rsidRPr="00DE078C">
              <w:rPr>
                <w:rFonts w:ascii="Arial" w:hAnsi="Arial" w:cs="Arial"/>
                <w:sz w:val="22"/>
                <w:szCs w:val="22"/>
              </w:rPr>
              <w:t>40,700</w:t>
            </w:r>
          </w:p>
        </w:tc>
        <w:tc>
          <w:tcPr>
            <w:tcW w:w="1195" w:type="dxa"/>
            <w:tcBorders>
              <w:top w:val="nil"/>
              <w:left w:val="nil"/>
              <w:bottom w:val="nil"/>
              <w:right w:val="nil"/>
            </w:tcBorders>
            <w:noWrap/>
          </w:tcPr>
          <w:p w14:paraId="2583AE0E" w14:textId="423AD29B" w:rsidR="00295550" w:rsidRPr="00DE078C" w:rsidRDefault="00DE078C" w:rsidP="00295550">
            <w:pPr>
              <w:jc w:val="right"/>
              <w:rPr>
                <w:rFonts w:ascii="Arial" w:hAnsi="Arial" w:cs="Arial"/>
                <w:sz w:val="22"/>
                <w:szCs w:val="22"/>
              </w:rPr>
            </w:pPr>
            <w:r w:rsidRPr="00DE078C">
              <w:rPr>
                <w:rFonts w:ascii="Arial" w:hAnsi="Arial" w:cs="Arial"/>
                <w:sz w:val="22"/>
                <w:szCs w:val="22"/>
              </w:rPr>
              <w:t>40,700</w:t>
            </w:r>
          </w:p>
        </w:tc>
      </w:tr>
      <w:tr w:rsidR="00215458" w:rsidRPr="006D70F0" w14:paraId="3009E38B" w14:textId="77777777" w:rsidTr="00397951">
        <w:trPr>
          <w:trHeight w:val="284"/>
        </w:trPr>
        <w:tc>
          <w:tcPr>
            <w:tcW w:w="3550" w:type="dxa"/>
            <w:tcBorders>
              <w:top w:val="nil"/>
              <w:left w:val="nil"/>
              <w:bottom w:val="nil"/>
              <w:right w:val="nil"/>
            </w:tcBorders>
          </w:tcPr>
          <w:p w14:paraId="59DCBD29" w14:textId="6F460AF4" w:rsidR="00295550" w:rsidRPr="0067012B" w:rsidRDefault="00295550" w:rsidP="00295550">
            <w:pPr>
              <w:rPr>
                <w:rFonts w:ascii="Arial" w:hAnsi="Arial" w:cs="Arial"/>
                <w:sz w:val="22"/>
                <w:szCs w:val="22"/>
              </w:rPr>
            </w:pPr>
            <w:r w:rsidRPr="0067012B">
              <w:rPr>
                <w:rFonts w:ascii="Arial" w:hAnsi="Arial" w:cs="Arial"/>
                <w:sz w:val="22"/>
                <w:szCs w:val="22"/>
              </w:rPr>
              <w:t>Corporate Maintenance</w:t>
            </w:r>
          </w:p>
        </w:tc>
        <w:tc>
          <w:tcPr>
            <w:tcW w:w="1318" w:type="dxa"/>
            <w:tcBorders>
              <w:top w:val="nil"/>
              <w:left w:val="nil"/>
              <w:bottom w:val="nil"/>
              <w:right w:val="nil"/>
            </w:tcBorders>
            <w:noWrap/>
          </w:tcPr>
          <w:p w14:paraId="0451B155" w14:textId="72528A2B" w:rsidR="00295550" w:rsidRPr="0067012B" w:rsidRDefault="00295550" w:rsidP="00295550">
            <w:pPr>
              <w:jc w:val="right"/>
              <w:rPr>
                <w:rFonts w:ascii="Arial" w:hAnsi="Arial" w:cs="Arial"/>
                <w:sz w:val="22"/>
                <w:szCs w:val="22"/>
              </w:rPr>
            </w:pPr>
            <w:r w:rsidRPr="0067012B">
              <w:rPr>
                <w:rFonts w:ascii="Arial" w:hAnsi="Arial" w:cs="Arial"/>
                <w:sz w:val="22"/>
                <w:szCs w:val="22"/>
              </w:rPr>
              <w:t>100,000</w:t>
            </w:r>
          </w:p>
        </w:tc>
        <w:tc>
          <w:tcPr>
            <w:tcW w:w="1195" w:type="dxa"/>
            <w:tcBorders>
              <w:top w:val="nil"/>
              <w:left w:val="nil"/>
              <w:bottom w:val="nil"/>
              <w:right w:val="nil"/>
            </w:tcBorders>
            <w:noWrap/>
          </w:tcPr>
          <w:p w14:paraId="4D0CAF6B" w14:textId="78858781" w:rsidR="00295550" w:rsidRPr="0067012B" w:rsidRDefault="00295550" w:rsidP="00295550">
            <w:pPr>
              <w:jc w:val="right"/>
              <w:rPr>
                <w:rFonts w:ascii="Arial" w:hAnsi="Arial" w:cs="Arial"/>
                <w:sz w:val="22"/>
                <w:szCs w:val="22"/>
              </w:rPr>
            </w:pPr>
            <w:r w:rsidRPr="0067012B">
              <w:rPr>
                <w:rFonts w:ascii="Arial" w:hAnsi="Arial" w:cs="Arial"/>
                <w:sz w:val="22"/>
                <w:szCs w:val="22"/>
              </w:rPr>
              <w:t>100,000</w:t>
            </w:r>
          </w:p>
        </w:tc>
        <w:tc>
          <w:tcPr>
            <w:tcW w:w="1195" w:type="dxa"/>
            <w:tcBorders>
              <w:top w:val="nil"/>
              <w:left w:val="nil"/>
              <w:bottom w:val="nil"/>
              <w:right w:val="nil"/>
            </w:tcBorders>
            <w:noWrap/>
          </w:tcPr>
          <w:p w14:paraId="7AB275C8" w14:textId="35AC6516" w:rsidR="00295550" w:rsidRPr="0067012B" w:rsidRDefault="00295550" w:rsidP="00295550">
            <w:pPr>
              <w:jc w:val="right"/>
              <w:rPr>
                <w:rFonts w:ascii="Arial" w:hAnsi="Arial" w:cs="Arial"/>
                <w:sz w:val="22"/>
                <w:szCs w:val="22"/>
              </w:rPr>
            </w:pPr>
            <w:r w:rsidRPr="0067012B">
              <w:rPr>
                <w:rFonts w:ascii="Arial" w:hAnsi="Arial" w:cs="Arial"/>
                <w:sz w:val="22"/>
                <w:szCs w:val="22"/>
              </w:rPr>
              <w:t>100,000</w:t>
            </w:r>
          </w:p>
        </w:tc>
        <w:tc>
          <w:tcPr>
            <w:tcW w:w="1195" w:type="dxa"/>
            <w:tcBorders>
              <w:top w:val="nil"/>
              <w:left w:val="nil"/>
              <w:bottom w:val="nil"/>
              <w:right w:val="nil"/>
            </w:tcBorders>
            <w:noWrap/>
          </w:tcPr>
          <w:p w14:paraId="2B5D78A9" w14:textId="31AED555" w:rsidR="00295550" w:rsidRPr="0067012B" w:rsidRDefault="00295550" w:rsidP="00295550">
            <w:pPr>
              <w:jc w:val="right"/>
              <w:rPr>
                <w:rFonts w:ascii="Arial" w:hAnsi="Arial" w:cs="Arial"/>
                <w:sz w:val="22"/>
                <w:szCs w:val="22"/>
              </w:rPr>
            </w:pPr>
            <w:r w:rsidRPr="0067012B">
              <w:rPr>
                <w:rFonts w:ascii="Arial" w:hAnsi="Arial" w:cs="Arial"/>
                <w:sz w:val="22"/>
                <w:szCs w:val="22"/>
              </w:rPr>
              <w:t>100,000</w:t>
            </w:r>
          </w:p>
        </w:tc>
        <w:tc>
          <w:tcPr>
            <w:tcW w:w="1195" w:type="dxa"/>
            <w:tcBorders>
              <w:top w:val="nil"/>
              <w:left w:val="nil"/>
              <w:bottom w:val="nil"/>
              <w:right w:val="nil"/>
            </w:tcBorders>
            <w:noWrap/>
          </w:tcPr>
          <w:p w14:paraId="3BEAC0BD" w14:textId="1B3AFDA4" w:rsidR="00295550" w:rsidRPr="0067012B" w:rsidRDefault="00295550" w:rsidP="00295550">
            <w:pPr>
              <w:jc w:val="right"/>
              <w:rPr>
                <w:rFonts w:ascii="Arial" w:hAnsi="Arial" w:cs="Arial"/>
                <w:sz w:val="22"/>
                <w:szCs w:val="22"/>
              </w:rPr>
            </w:pPr>
            <w:r w:rsidRPr="0067012B">
              <w:rPr>
                <w:rFonts w:ascii="Arial" w:hAnsi="Arial" w:cs="Arial"/>
                <w:sz w:val="22"/>
                <w:szCs w:val="22"/>
              </w:rPr>
              <w:t>100,000</w:t>
            </w:r>
          </w:p>
        </w:tc>
        <w:tc>
          <w:tcPr>
            <w:tcW w:w="1195" w:type="dxa"/>
            <w:tcBorders>
              <w:top w:val="nil"/>
              <w:left w:val="nil"/>
              <w:bottom w:val="nil"/>
              <w:right w:val="nil"/>
            </w:tcBorders>
            <w:noWrap/>
          </w:tcPr>
          <w:p w14:paraId="37F0E83B" w14:textId="4121354D" w:rsidR="00295550" w:rsidRPr="0067012B" w:rsidRDefault="00295550" w:rsidP="00295550">
            <w:pPr>
              <w:jc w:val="right"/>
              <w:rPr>
                <w:rFonts w:ascii="Arial" w:hAnsi="Arial" w:cs="Arial"/>
                <w:sz w:val="22"/>
                <w:szCs w:val="22"/>
              </w:rPr>
            </w:pPr>
            <w:r w:rsidRPr="0067012B">
              <w:rPr>
                <w:rFonts w:ascii="Arial" w:hAnsi="Arial" w:cs="Arial"/>
                <w:sz w:val="22"/>
                <w:szCs w:val="22"/>
              </w:rPr>
              <w:t>100,000</w:t>
            </w:r>
          </w:p>
        </w:tc>
      </w:tr>
      <w:tr w:rsidR="00215458" w:rsidRPr="006D70F0" w14:paraId="7F1F2413" w14:textId="77777777" w:rsidTr="00397951">
        <w:trPr>
          <w:trHeight w:val="284"/>
        </w:trPr>
        <w:tc>
          <w:tcPr>
            <w:tcW w:w="3550" w:type="dxa"/>
            <w:tcBorders>
              <w:top w:val="nil"/>
              <w:left w:val="nil"/>
              <w:bottom w:val="nil"/>
              <w:right w:val="nil"/>
            </w:tcBorders>
          </w:tcPr>
          <w:p w14:paraId="22E2DA9C" w14:textId="77777777" w:rsidR="00295550" w:rsidRPr="00B4193B" w:rsidRDefault="00295550" w:rsidP="00295550">
            <w:pPr>
              <w:rPr>
                <w:rFonts w:ascii="Arial" w:hAnsi="Arial" w:cs="Arial"/>
                <w:sz w:val="22"/>
                <w:szCs w:val="22"/>
              </w:rPr>
            </w:pPr>
            <w:r w:rsidRPr="00B4193B">
              <w:rPr>
                <w:rFonts w:ascii="Arial" w:hAnsi="Arial" w:cs="Arial"/>
                <w:sz w:val="22"/>
                <w:szCs w:val="22"/>
              </w:rPr>
              <w:t>Corporate Training</w:t>
            </w:r>
          </w:p>
        </w:tc>
        <w:tc>
          <w:tcPr>
            <w:tcW w:w="1318" w:type="dxa"/>
            <w:tcBorders>
              <w:top w:val="nil"/>
              <w:left w:val="nil"/>
              <w:bottom w:val="nil"/>
              <w:right w:val="nil"/>
            </w:tcBorders>
            <w:noWrap/>
          </w:tcPr>
          <w:p w14:paraId="73E96A56" w14:textId="649EDAE9" w:rsidR="00295550" w:rsidRPr="00B4193B" w:rsidRDefault="00B4193B" w:rsidP="00295550">
            <w:pPr>
              <w:jc w:val="right"/>
              <w:rPr>
                <w:rFonts w:ascii="Arial" w:hAnsi="Arial" w:cs="Arial"/>
                <w:sz w:val="22"/>
                <w:szCs w:val="22"/>
              </w:rPr>
            </w:pPr>
            <w:r w:rsidRPr="00B4193B">
              <w:rPr>
                <w:rFonts w:ascii="Arial" w:hAnsi="Arial" w:cs="Arial"/>
                <w:sz w:val="22"/>
                <w:szCs w:val="22"/>
              </w:rPr>
              <w:t>58,030</w:t>
            </w:r>
          </w:p>
        </w:tc>
        <w:tc>
          <w:tcPr>
            <w:tcW w:w="1195" w:type="dxa"/>
            <w:tcBorders>
              <w:top w:val="nil"/>
              <w:left w:val="nil"/>
              <w:bottom w:val="nil"/>
              <w:right w:val="nil"/>
            </w:tcBorders>
            <w:noWrap/>
          </w:tcPr>
          <w:p w14:paraId="5CA15303" w14:textId="7EEA36A3" w:rsidR="00295550" w:rsidRPr="00B4193B" w:rsidRDefault="00B4193B" w:rsidP="00295550">
            <w:pPr>
              <w:jc w:val="right"/>
              <w:rPr>
                <w:rFonts w:ascii="Arial" w:hAnsi="Arial" w:cs="Arial"/>
                <w:sz w:val="22"/>
                <w:szCs w:val="22"/>
              </w:rPr>
            </w:pPr>
            <w:r w:rsidRPr="00B4193B">
              <w:rPr>
                <w:rFonts w:ascii="Arial" w:hAnsi="Arial" w:cs="Arial"/>
                <w:sz w:val="22"/>
                <w:szCs w:val="22"/>
              </w:rPr>
              <w:t>58,030</w:t>
            </w:r>
          </w:p>
        </w:tc>
        <w:tc>
          <w:tcPr>
            <w:tcW w:w="1195" w:type="dxa"/>
            <w:tcBorders>
              <w:top w:val="nil"/>
              <w:left w:val="nil"/>
              <w:bottom w:val="nil"/>
              <w:right w:val="nil"/>
            </w:tcBorders>
            <w:noWrap/>
          </w:tcPr>
          <w:p w14:paraId="33FA77FA" w14:textId="5ECB6372" w:rsidR="00295550" w:rsidRPr="00B4193B" w:rsidRDefault="00B4193B" w:rsidP="00295550">
            <w:pPr>
              <w:jc w:val="right"/>
              <w:rPr>
                <w:rFonts w:ascii="Arial" w:hAnsi="Arial" w:cs="Arial"/>
                <w:sz w:val="22"/>
                <w:szCs w:val="22"/>
              </w:rPr>
            </w:pPr>
            <w:r w:rsidRPr="00B4193B">
              <w:rPr>
                <w:rFonts w:ascii="Arial" w:hAnsi="Arial" w:cs="Arial"/>
                <w:sz w:val="22"/>
                <w:szCs w:val="22"/>
              </w:rPr>
              <w:t>58,030</w:t>
            </w:r>
          </w:p>
        </w:tc>
        <w:tc>
          <w:tcPr>
            <w:tcW w:w="1195" w:type="dxa"/>
            <w:tcBorders>
              <w:top w:val="nil"/>
              <w:left w:val="nil"/>
              <w:bottom w:val="nil"/>
              <w:right w:val="nil"/>
            </w:tcBorders>
            <w:noWrap/>
          </w:tcPr>
          <w:p w14:paraId="2AD97C27" w14:textId="5B26870A" w:rsidR="00295550" w:rsidRPr="00B4193B" w:rsidRDefault="00B4193B" w:rsidP="00295550">
            <w:pPr>
              <w:jc w:val="right"/>
              <w:rPr>
                <w:rFonts w:ascii="Arial" w:hAnsi="Arial" w:cs="Arial"/>
                <w:sz w:val="22"/>
                <w:szCs w:val="22"/>
              </w:rPr>
            </w:pPr>
            <w:r w:rsidRPr="00B4193B">
              <w:rPr>
                <w:rFonts w:ascii="Arial" w:hAnsi="Arial" w:cs="Arial"/>
                <w:sz w:val="22"/>
                <w:szCs w:val="22"/>
              </w:rPr>
              <w:t>58,030</w:t>
            </w:r>
          </w:p>
        </w:tc>
        <w:tc>
          <w:tcPr>
            <w:tcW w:w="1195" w:type="dxa"/>
            <w:tcBorders>
              <w:top w:val="nil"/>
              <w:left w:val="nil"/>
              <w:bottom w:val="nil"/>
              <w:right w:val="nil"/>
            </w:tcBorders>
            <w:noWrap/>
          </w:tcPr>
          <w:p w14:paraId="747C9ED5" w14:textId="4F6765BF" w:rsidR="00295550" w:rsidRPr="00B4193B" w:rsidRDefault="00B4193B" w:rsidP="00295550">
            <w:pPr>
              <w:jc w:val="right"/>
              <w:rPr>
                <w:rFonts w:ascii="Arial" w:hAnsi="Arial" w:cs="Arial"/>
                <w:sz w:val="22"/>
                <w:szCs w:val="22"/>
              </w:rPr>
            </w:pPr>
            <w:r w:rsidRPr="00B4193B">
              <w:rPr>
                <w:rFonts w:ascii="Arial" w:hAnsi="Arial" w:cs="Arial"/>
                <w:sz w:val="22"/>
                <w:szCs w:val="22"/>
              </w:rPr>
              <w:t>58,030</w:t>
            </w:r>
          </w:p>
        </w:tc>
        <w:tc>
          <w:tcPr>
            <w:tcW w:w="1195" w:type="dxa"/>
            <w:tcBorders>
              <w:top w:val="nil"/>
              <w:left w:val="nil"/>
              <w:bottom w:val="nil"/>
              <w:right w:val="nil"/>
            </w:tcBorders>
            <w:noWrap/>
          </w:tcPr>
          <w:p w14:paraId="6BE65A32" w14:textId="28F5CF17" w:rsidR="00295550" w:rsidRPr="00B4193B" w:rsidRDefault="00B4193B" w:rsidP="00295550">
            <w:pPr>
              <w:jc w:val="right"/>
              <w:rPr>
                <w:rFonts w:ascii="Arial" w:hAnsi="Arial" w:cs="Arial"/>
                <w:sz w:val="22"/>
                <w:szCs w:val="22"/>
              </w:rPr>
            </w:pPr>
            <w:r w:rsidRPr="00B4193B">
              <w:rPr>
                <w:rFonts w:ascii="Arial" w:hAnsi="Arial" w:cs="Arial"/>
                <w:sz w:val="22"/>
                <w:szCs w:val="22"/>
              </w:rPr>
              <w:t>58,030</w:t>
            </w:r>
          </w:p>
        </w:tc>
      </w:tr>
      <w:tr w:rsidR="00215458" w:rsidRPr="006D70F0" w14:paraId="7CE9F604" w14:textId="77777777" w:rsidTr="00397951">
        <w:trPr>
          <w:trHeight w:val="284"/>
        </w:trPr>
        <w:tc>
          <w:tcPr>
            <w:tcW w:w="3550" w:type="dxa"/>
            <w:tcBorders>
              <w:top w:val="nil"/>
              <w:left w:val="nil"/>
              <w:bottom w:val="nil"/>
              <w:right w:val="nil"/>
            </w:tcBorders>
          </w:tcPr>
          <w:p w14:paraId="78CE76F2" w14:textId="159FCBC0" w:rsidR="002566E4" w:rsidRPr="007349F6" w:rsidRDefault="00CA6E29" w:rsidP="00295550">
            <w:pPr>
              <w:rPr>
                <w:rFonts w:ascii="Arial" w:hAnsi="Arial" w:cs="Arial"/>
                <w:sz w:val="22"/>
                <w:szCs w:val="22"/>
              </w:rPr>
            </w:pPr>
            <w:r>
              <w:rPr>
                <w:rFonts w:ascii="Arial" w:hAnsi="Arial" w:cs="Arial"/>
                <w:sz w:val="22"/>
                <w:szCs w:val="22"/>
              </w:rPr>
              <w:t>Future Readiness/Transition Fund</w:t>
            </w:r>
          </w:p>
        </w:tc>
        <w:tc>
          <w:tcPr>
            <w:tcW w:w="1318" w:type="dxa"/>
            <w:tcBorders>
              <w:top w:val="nil"/>
              <w:left w:val="nil"/>
              <w:bottom w:val="nil"/>
              <w:right w:val="nil"/>
            </w:tcBorders>
            <w:noWrap/>
          </w:tcPr>
          <w:p w14:paraId="23B627F6" w14:textId="1863FB48" w:rsidR="002566E4" w:rsidRPr="007349F6" w:rsidRDefault="001D470F" w:rsidP="00295550">
            <w:pPr>
              <w:jc w:val="right"/>
              <w:rPr>
                <w:rFonts w:ascii="Arial" w:hAnsi="Arial" w:cs="Arial"/>
                <w:sz w:val="22"/>
                <w:szCs w:val="22"/>
              </w:rPr>
            </w:pPr>
            <w:r w:rsidRPr="007349F6">
              <w:rPr>
                <w:rFonts w:ascii="Arial" w:hAnsi="Arial" w:cs="Arial"/>
                <w:sz w:val="22"/>
                <w:szCs w:val="22"/>
              </w:rPr>
              <w:t>0</w:t>
            </w:r>
          </w:p>
        </w:tc>
        <w:tc>
          <w:tcPr>
            <w:tcW w:w="1195" w:type="dxa"/>
            <w:tcBorders>
              <w:top w:val="nil"/>
              <w:left w:val="nil"/>
              <w:bottom w:val="nil"/>
              <w:right w:val="nil"/>
            </w:tcBorders>
            <w:noWrap/>
          </w:tcPr>
          <w:p w14:paraId="1E27E08F" w14:textId="3EE410AD" w:rsidR="002566E4" w:rsidRPr="007349F6" w:rsidRDefault="00DC0137" w:rsidP="00295550">
            <w:pPr>
              <w:jc w:val="right"/>
              <w:rPr>
                <w:rFonts w:ascii="Arial" w:hAnsi="Arial" w:cs="Arial"/>
                <w:sz w:val="22"/>
                <w:szCs w:val="22"/>
              </w:rPr>
            </w:pPr>
            <w:r w:rsidRPr="007349F6">
              <w:rPr>
                <w:rFonts w:ascii="Arial" w:hAnsi="Arial" w:cs="Arial"/>
                <w:sz w:val="22"/>
                <w:szCs w:val="22"/>
              </w:rPr>
              <w:t>9</w:t>
            </w:r>
            <w:r>
              <w:rPr>
                <w:rFonts w:ascii="Arial" w:hAnsi="Arial" w:cs="Arial"/>
                <w:sz w:val="22"/>
                <w:szCs w:val="22"/>
              </w:rPr>
              <w:t>0</w:t>
            </w:r>
            <w:r w:rsidRPr="007349F6">
              <w:rPr>
                <w:rFonts w:ascii="Arial" w:hAnsi="Arial" w:cs="Arial"/>
                <w:sz w:val="22"/>
                <w:szCs w:val="22"/>
              </w:rPr>
              <w:t>0</w:t>
            </w:r>
            <w:r w:rsidR="002566E4" w:rsidRPr="007349F6">
              <w:rPr>
                <w:rFonts w:ascii="Arial" w:hAnsi="Arial" w:cs="Arial"/>
                <w:sz w:val="22"/>
                <w:szCs w:val="22"/>
              </w:rPr>
              <w:t>,000</w:t>
            </w:r>
          </w:p>
        </w:tc>
        <w:tc>
          <w:tcPr>
            <w:tcW w:w="1195" w:type="dxa"/>
            <w:tcBorders>
              <w:top w:val="nil"/>
              <w:left w:val="nil"/>
              <w:bottom w:val="nil"/>
              <w:right w:val="nil"/>
            </w:tcBorders>
            <w:noWrap/>
          </w:tcPr>
          <w:p w14:paraId="7ADE9FC5" w14:textId="681A8B48" w:rsidR="002566E4" w:rsidRPr="007349F6" w:rsidRDefault="008554C1" w:rsidP="00295550">
            <w:pPr>
              <w:jc w:val="right"/>
              <w:rPr>
                <w:rFonts w:ascii="Arial" w:hAnsi="Arial" w:cs="Arial"/>
                <w:sz w:val="22"/>
                <w:szCs w:val="22"/>
              </w:rPr>
            </w:pPr>
            <w:r>
              <w:rPr>
                <w:rFonts w:ascii="Arial" w:hAnsi="Arial" w:cs="Arial"/>
                <w:sz w:val="22"/>
                <w:szCs w:val="22"/>
              </w:rPr>
              <w:t>1,</w:t>
            </w:r>
            <w:r w:rsidR="00DC0137">
              <w:rPr>
                <w:rFonts w:ascii="Arial" w:hAnsi="Arial" w:cs="Arial"/>
                <w:sz w:val="22"/>
                <w:szCs w:val="22"/>
              </w:rPr>
              <w:t>30</w:t>
            </w:r>
            <w:r w:rsidR="00DC0137" w:rsidRPr="007349F6">
              <w:rPr>
                <w:rFonts w:ascii="Arial" w:hAnsi="Arial" w:cs="Arial"/>
                <w:sz w:val="22"/>
                <w:szCs w:val="22"/>
              </w:rPr>
              <w:t>0</w:t>
            </w:r>
            <w:r w:rsidR="002566E4" w:rsidRPr="007349F6">
              <w:rPr>
                <w:rFonts w:ascii="Arial" w:hAnsi="Arial" w:cs="Arial"/>
                <w:sz w:val="22"/>
                <w:szCs w:val="22"/>
              </w:rPr>
              <w:t>,000</w:t>
            </w:r>
          </w:p>
        </w:tc>
        <w:tc>
          <w:tcPr>
            <w:tcW w:w="1195" w:type="dxa"/>
            <w:tcBorders>
              <w:top w:val="nil"/>
              <w:left w:val="nil"/>
              <w:bottom w:val="nil"/>
              <w:right w:val="nil"/>
            </w:tcBorders>
            <w:noWrap/>
          </w:tcPr>
          <w:p w14:paraId="49A42FE4" w14:textId="42002118" w:rsidR="002566E4" w:rsidRPr="007349F6" w:rsidRDefault="008554C1" w:rsidP="00295550">
            <w:pPr>
              <w:jc w:val="right"/>
              <w:rPr>
                <w:rFonts w:ascii="Arial" w:hAnsi="Arial" w:cs="Arial"/>
                <w:sz w:val="22"/>
                <w:szCs w:val="22"/>
              </w:rPr>
            </w:pPr>
            <w:r>
              <w:rPr>
                <w:rFonts w:ascii="Arial" w:hAnsi="Arial" w:cs="Arial"/>
                <w:sz w:val="22"/>
                <w:szCs w:val="22"/>
              </w:rPr>
              <w:t>1,</w:t>
            </w:r>
            <w:r w:rsidR="00DC0137">
              <w:rPr>
                <w:rFonts w:ascii="Arial" w:hAnsi="Arial" w:cs="Arial"/>
                <w:sz w:val="22"/>
                <w:szCs w:val="22"/>
              </w:rPr>
              <w:t>30</w:t>
            </w:r>
            <w:r w:rsidR="00DC0137" w:rsidRPr="007349F6">
              <w:rPr>
                <w:rFonts w:ascii="Arial" w:hAnsi="Arial" w:cs="Arial"/>
                <w:sz w:val="22"/>
                <w:szCs w:val="22"/>
              </w:rPr>
              <w:t>0</w:t>
            </w:r>
            <w:r w:rsidR="002566E4" w:rsidRPr="007349F6">
              <w:rPr>
                <w:rFonts w:ascii="Arial" w:hAnsi="Arial" w:cs="Arial"/>
                <w:sz w:val="22"/>
                <w:szCs w:val="22"/>
              </w:rPr>
              <w:t>,000</w:t>
            </w:r>
          </w:p>
        </w:tc>
        <w:tc>
          <w:tcPr>
            <w:tcW w:w="1195" w:type="dxa"/>
            <w:tcBorders>
              <w:top w:val="nil"/>
              <w:left w:val="nil"/>
              <w:bottom w:val="nil"/>
              <w:right w:val="nil"/>
            </w:tcBorders>
            <w:noWrap/>
          </w:tcPr>
          <w:p w14:paraId="3ACE2A40" w14:textId="08717B4F" w:rsidR="002566E4" w:rsidRPr="007349F6" w:rsidRDefault="008554C1" w:rsidP="00295550">
            <w:pPr>
              <w:jc w:val="right"/>
              <w:rPr>
                <w:rFonts w:ascii="Arial" w:hAnsi="Arial" w:cs="Arial"/>
                <w:sz w:val="22"/>
                <w:szCs w:val="22"/>
              </w:rPr>
            </w:pPr>
            <w:r>
              <w:rPr>
                <w:rFonts w:ascii="Arial" w:hAnsi="Arial" w:cs="Arial"/>
                <w:sz w:val="22"/>
                <w:szCs w:val="22"/>
              </w:rPr>
              <w:t>1,</w:t>
            </w:r>
            <w:r w:rsidR="00DC0137">
              <w:rPr>
                <w:rFonts w:ascii="Arial" w:hAnsi="Arial" w:cs="Arial"/>
                <w:sz w:val="22"/>
                <w:szCs w:val="22"/>
              </w:rPr>
              <w:t>30</w:t>
            </w:r>
            <w:r w:rsidR="00DC0137" w:rsidRPr="007349F6">
              <w:rPr>
                <w:rFonts w:ascii="Arial" w:hAnsi="Arial" w:cs="Arial"/>
                <w:sz w:val="22"/>
                <w:szCs w:val="22"/>
              </w:rPr>
              <w:t>0</w:t>
            </w:r>
            <w:r w:rsidR="002566E4" w:rsidRPr="007349F6">
              <w:rPr>
                <w:rFonts w:ascii="Arial" w:hAnsi="Arial" w:cs="Arial"/>
                <w:sz w:val="22"/>
                <w:szCs w:val="22"/>
              </w:rPr>
              <w:t>,000</w:t>
            </w:r>
          </w:p>
        </w:tc>
        <w:tc>
          <w:tcPr>
            <w:tcW w:w="1195" w:type="dxa"/>
            <w:tcBorders>
              <w:top w:val="nil"/>
              <w:left w:val="nil"/>
              <w:bottom w:val="nil"/>
              <w:right w:val="nil"/>
            </w:tcBorders>
            <w:noWrap/>
          </w:tcPr>
          <w:p w14:paraId="1237ACB9" w14:textId="2A339D39" w:rsidR="002566E4" w:rsidRPr="007349F6" w:rsidRDefault="008554C1" w:rsidP="00295550">
            <w:pPr>
              <w:jc w:val="right"/>
              <w:rPr>
                <w:rFonts w:ascii="Arial" w:hAnsi="Arial" w:cs="Arial"/>
                <w:sz w:val="22"/>
                <w:szCs w:val="22"/>
              </w:rPr>
            </w:pPr>
            <w:r>
              <w:rPr>
                <w:rFonts w:ascii="Arial" w:hAnsi="Arial" w:cs="Arial"/>
                <w:sz w:val="22"/>
                <w:szCs w:val="22"/>
              </w:rPr>
              <w:t>1,</w:t>
            </w:r>
            <w:r w:rsidR="00DC0137">
              <w:rPr>
                <w:rFonts w:ascii="Arial" w:hAnsi="Arial" w:cs="Arial"/>
                <w:sz w:val="22"/>
                <w:szCs w:val="22"/>
              </w:rPr>
              <w:t>30</w:t>
            </w:r>
            <w:r w:rsidR="00DC0137" w:rsidRPr="007349F6">
              <w:rPr>
                <w:rFonts w:ascii="Arial" w:hAnsi="Arial" w:cs="Arial"/>
                <w:sz w:val="22"/>
                <w:szCs w:val="22"/>
              </w:rPr>
              <w:t>0</w:t>
            </w:r>
            <w:r w:rsidR="002566E4" w:rsidRPr="007349F6">
              <w:rPr>
                <w:rFonts w:ascii="Arial" w:hAnsi="Arial" w:cs="Arial"/>
                <w:sz w:val="22"/>
                <w:szCs w:val="22"/>
              </w:rPr>
              <w:t>,000</w:t>
            </w:r>
          </w:p>
        </w:tc>
      </w:tr>
      <w:tr w:rsidR="00215458" w:rsidRPr="006D70F0" w14:paraId="108CC05C" w14:textId="77777777" w:rsidTr="00397951">
        <w:trPr>
          <w:trHeight w:val="284"/>
        </w:trPr>
        <w:tc>
          <w:tcPr>
            <w:tcW w:w="3550" w:type="dxa"/>
            <w:tcBorders>
              <w:top w:val="nil"/>
              <w:left w:val="nil"/>
              <w:bottom w:val="nil"/>
              <w:right w:val="nil"/>
            </w:tcBorders>
          </w:tcPr>
          <w:p w14:paraId="0904DD25" w14:textId="77777777" w:rsidR="00295550" w:rsidRPr="00606390" w:rsidRDefault="00295550" w:rsidP="00295550">
            <w:pPr>
              <w:rPr>
                <w:rFonts w:ascii="Arial" w:hAnsi="Arial" w:cs="Arial"/>
                <w:sz w:val="22"/>
                <w:szCs w:val="22"/>
              </w:rPr>
            </w:pPr>
            <w:r w:rsidRPr="00606390">
              <w:rPr>
                <w:rFonts w:ascii="Arial" w:hAnsi="Arial" w:cs="Arial"/>
                <w:sz w:val="22"/>
                <w:szCs w:val="22"/>
              </w:rPr>
              <w:t>Covid-19 Recovery</w:t>
            </w:r>
          </w:p>
        </w:tc>
        <w:tc>
          <w:tcPr>
            <w:tcW w:w="1318" w:type="dxa"/>
            <w:tcBorders>
              <w:top w:val="nil"/>
              <w:left w:val="nil"/>
              <w:bottom w:val="nil"/>
              <w:right w:val="nil"/>
            </w:tcBorders>
            <w:noWrap/>
          </w:tcPr>
          <w:p w14:paraId="1AA488F8" w14:textId="69D417E4" w:rsidR="00295550" w:rsidRPr="00606390" w:rsidRDefault="009F6BD3" w:rsidP="00295550">
            <w:pPr>
              <w:jc w:val="right"/>
              <w:rPr>
                <w:rFonts w:ascii="Arial" w:hAnsi="Arial" w:cs="Arial"/>
                <w:sz w:val="22"/>
                <w:szCs w:val="22"/>
              </w:rPr>
            </w:pPr>
            <w:r w:rsidRPr="00606390">
              <w:rPr>
                <w:rFonts w:ascii="Arial" w:hAnsi="Arial" w:cs="Arial"/>
                <w:sz w:val="22"/>
                <w:szCs w:val="22"/>
              </w:rPr>
              <w:t>847,230</w:t>
            </w:r>
          </w:p>
        </w:tc>
        <w:tc>
          <w:tcPr>
            <w:tcW w:w="1195" w:type="dxa"/>
            <w:tcBorders>
              <w:top w:val="nil"/>
              <w:left w:val="nil"/>
              <w:bottom w:val="nil"/>
              <w:right w:val="nil"/>
            </w:tcBorders>
            <w:noWrap/>
          </w:tcPr>
          <w:p w14:paraId="3527523C" w14:textId="3B280617" w:rsidR="00295550" w:rsidRPr="00606390" w:rsidRDefault="007668F1" w:rsidP="00295550">
            <w:pPr>
              <w:jc w:val="right"/>
              <w:rPr>
                <w:rFonts w:ascii="Arial" w:hAnsi="Arial" w:cs="Arial"/>
                <w:sz w:val="22"/>
                <w:szCs w:val="22"/>
              </w:rPr>
            </w:pPr>
            <w:r w:rsidRPr="00606390">
              <w:rPr>
                <w:rFonts w:ascii="Arial" w:hAnsi="Arial" w:cs="Arial"/>
                <w:sz w:val="22"/>
                <w:szCs w:val="22"/>
              </w:rPr>
              <w:t>0</w:t>
            </w:r>
          </w:p>
        </w:tc>
        <w:tc>
          <w:tcPr>
            <w:tcW w:w="1195" w:type="dxa"/>
            <w:tcBorders>
              <w:top w:val="nil"/>
              <w:left w:val="nil"/>
              <w:bottom w:val="nil"/>
              <w:right w:val="nil"/>
            </w:tcBorders>
            <w:noWrap/>
          </w:tcPr>
          <w:p w14:paraId="408A8DDB" w14:textId="561DCA01" w:rsidR="00295550" w:rsidRPr="00606390" w:rsidRDefault="00295550" w:rsidP="00295550">
            <w:pPr>
              <w:jc w:val="right"/>
              <w:rPr>
                <w:rFonts w:ascii="Arial" w:hAnsi="Arial" w:cs="Arial"/>
                <w:sz w:val="22"/>
                <w:szCs w:val="22"/>
              </w:rPr>
            </w:pPr>
            <w:r w:rsidRPr="00606390">
              <w:rPr>
                <w:rFonts w:ascii="Arial" w:hAnsi="Arial" w:cs="Arial"/>
                <w:sz w:val="22"/>
                <w:szCs w:val="22"/>
              </w:rPr>
              <w:t>0</w:t>
            </w:r>
          </w:p>
        </w:tc>
        <w:tc>
          <w:tcPr>
            <w:tcW w:w="1195" w:type="dxa"/>
            <w:tcBorders>
              <w:top w:val="nil"/>
              <w:left w:val="nil"/>
              <w:bottom w:val="nil"/>
              <w:right w:val="nil"/>
            </w:tcBorders>
            <w:noWrap/>
          </w:tcPr>
          <w:p w14:paraId="1E70DE08" w14:textId="3F410B80" w:rsidR="00295550" w:rsidRPr="00606390" w:rsidRDefault="00295550" w:rsidP="00295550">
            <w:pPr>
              <w:jc w:val="right"/>
              <w:rPr>
                <w:rFonts w:ascii="Arial" w:hAnsi="Arial" w:cs="Arial"/>
                <w:sz w:val="22"/>
                <w:szCs w:val="22"/>
              </w:rPr>
            </w:pPr>
            <w:r w:rsidRPr="00606390">
              <w:rPr>
                <w:rFonts w:ascii="Arial" w:hAnsi="Arial" w:cs="Arial"/>
                <w:sz w:val="22"/>
                <w:szCs w:val="22"/>
              </w:rPr>
              <w:t>0</w:t>
            </w:r>
          </w:p>
        </w:tc>
        <w:tc>
          <w:tcPr>
            <w:tcW w:w="1195" w:type="dxa"/>
            <w:tcBorders>
              <w:top w:val="nil"/>
              <w:left w:val="nil"/>
              <w:bottom w:val="nil"/>
              <w:right w:val="nil"/>
            </w:tcBorders>
            <w:noWrap/>
          </w:tcPr>
          <w:p w14:paraId="6B0299B8" w14:textId="19293CC8" w:rsidR="00295550" w:rsidRPr="00606390" w:rsidRDefault="00295550" w:rsidP="00295550">
            <w:pPr>
              <w:jc w:val="right"/>
              <w:rPr>
                <w:rFonts w:ascii="Arial" w:hAnsi="Arial" w:cs="Arial"/>
                <w:sz w:val="22"/>
                <w:szCs w:val="22"/>
              </w:rPr>
            </w:pPr>
            <w:r w:rsidRPr="00606390">
              <w:rPr>
                <w:rFonts w:ascii="Arial" w:hAnsi="Arial" w:cs="Arial"/>
                <w:sz w:val="22"/>
                <w:szCs w:val="22"/>
              </w:rPr>
              <w:t>0</w:t>
            </w:r>
          </w:p>
        </w:tc>
        <w:tc>
          <w:tcPr>
            <w:tcW w:w="1195" w:type="dxa"/>
            <w:tcBorders>
              <w:top w:val="nil"/>
              <w:left w:val="nil"/>
              <w:bottom w:val="nil"/>
              <w:right w:val="nil"/>
            </w:tcBorders>
            <w:noWrap/>
          </w:tcPr>
          <w:p w14:paraId="5DD00640" w14:textId="49AED505" w:rsidR="00295550" w:rsidRPr="00606390" w:rsidRDefault="00295550" w:rsidP="00295550">
            <w:pPr>
              <w:jc w:val="right"/>
              <w:rPr>
                <w:rFonts w:ascii="Arial" w:hAnsi="Arial" w:cs="Arial"/>
                <w:sz w:val="22"/>
                <w:szCs w:val="22"/>
              </w:rPr>
            </w:pPr>
            <w:r w:rsidRPr="00606390">
              <w:rPr>
                <w:rFonts w:ascii="Arial" w:hAnsi="Arial" w:cs="Arial"/>
                <w:sz w:val="22"/>
                <w:szCs w:val="22"/>
              </w:rPr>
              <w:t>0</w:t>
            </w:r>
          </w:p>
        </w:tc>
      </w:tr>
      <w:tr w:rsidR="00215458" w:rsidRPr="006D70F0" w14:paraId="7D3E0CD1" w14:textId="77777777" w:rsidTr="00397951">
        <w:trPr>
          <w:trHeight w:val="284"/>
        </w:trPr>
        <w:tc>
          <w:tcPr>
            <w:tcW w:w="3550" w:type="dxa"/>
            <w:tcBorders>
              <w:top w:val="nil"/>
              <w:left w:val="nil"/>
              <w:bottom w:val="nil"/>
              <w:right w:val="nil"/>
            </w:tcBorders>
          </w:tcPr>
          <w:p w14:paraId="02BC4D9C" w14:textId="77777777" w:rsidR="00295550" w:rsidRPr="00495171" w:rsidRDefault="00295550" w:rsidP="00295550">
            <w:pPr>
              <w:rPr>
                <w:rFonts w:ascii="Arial" w:hAnsi="Arial" w:cs="Arial"/>
                <w:sz w:val="22"/>
                <w:szCs w:val="22"/>
              </w:rPr>
            </w:pPr>
            <w:r w:rsidRPr="00495171">
              <w:rPr>
                <w:rFonts w:ascii="Arial" w:hAnsi="Arial" w:cs="Arial"/>
                <w:sz w:val="22"/>
                <w:szCs w:val="22"/>
              </w:rPr>
              <w:t>Covid-19 Response</w:t>
            </w:r>
          </w:p>
        </w:tc>
        <w:tc>
          <w:tcPr>
            <w:tcW w:w="1318" w:type="dxa"/>
            <w:tcBorders>
              <w:top w:val="nil"/>
              <w:left w:val="nil"/>
              <w:bottom w:val="nil"/>
              <w:right w:val="nil"/>
            </w:tcBorders>
            <w:noWrap/>
          </w:tcPr>
          <w:p w14:paraId="0CFA1864" w14:textId="77777777" w:rsidR="00295550" w:rsidRPr="00495171" w:rsidRDefault="00295550" w:rsidP="00295550">
            <w:pPr>
              <w:jc w:val="right"/>
              <w:rPr>
                <w:rFonts w:ascii="Arial" w:hAnsi="Arial" w:cs="Arial"/>
                <w:sz w:val="22"/>
                <w:szCs w:val="22"/>
              </w:rPr>
            </w:pPr>
            <w:r w:rsidRPr="00495171">
              <w:rPr>
                <w:rFonts w:ascii="Arial" w:hAnsi="Arial" w:cs="Arial"/>
                <w:sz w:val="22"/>
                <w:szCs w:val="22"/>
              </w:rPr>
              <w:t>353,650</w:t>
            </w:r>
          </w:p>
        </w:tc>
        <w:tc>
          <w:tcPr>
            <w:tcW w:w="1195" w:type="dxa"/>
            <w:tcBorders>
              <w:top w:val="nil"/>
              <w:left w:val="nil"/>
              <w:bottom w:val="nil"/>
              <w:right w:val="nil"/>
            </w:tcBorders>
            <w:noWrap/>
          </w:tcPr>
          <w:p w14:paraId="71866914" w14:textId="401B957F" w:rsidR="00295550" w:rsidRPr="00495171" w:rsidRDefault="00495171" w:rsidP="00295550">
            <w:pPr>
              <w:jc w:val="right"/>
              <w:rPr>
                <w:rFonts w:ascii="Arial" w:hAnsi="Arial" w:cs="Arial"/>
                <w:sz w:val="22"/>
                <w:szCs w:val="22"/>
              </w:rPr>
            </w:pPr>
            <w:r w:rsidRPr="00495171">
              <w:rPr>
                <w:rFonts w:ascii="Arial" w:hAnsi="Arial" w:cs="Arial"/>
                <w:sz w:val="22"/>
                <w:szCs w:val="22"/>
              </w:rPr>
              <w:t>0</w:t>
            </w:r>
          </w:p>
        </w:tc>
        <w:tc>
          <w:tcPr>
            <w:tcW w:w="1195" w:type="dxa"/>
            <w:tcBorders>
              <w:top w:val="nil"/>
              <w:left w:val="nil"/>
              <w:bottom w:val="nil"/>
              <w:right w:val="nil"/>
            </w:tcBorders>
            <w:noWrap/>
          </w:tcPr>
          <w:p w14:paraId="4C7A104D" w14:textId="7D0667C6" w:rsidR="00295550" w:rsidRPr="00495171" w:rsidRDefault="00D44DE1" w:rsidP="00295550">
            <w:pPr>
              <w:jc w:val="right"/>
              <w:rPr>
                <w:rFonts w:ascii="Arial" w:hAnsi="Arial" w:cs="Arial"/>
                <w:sz w:val="22"/>
                <w:szCs w:val="22"/>
              </w:rPr>
            </w:pPr>
            <w:r w:rsidRPr="00495171">
              <w:rPr>
                <w:rFonts w:ascii="Arial" w:hAnsi="Arial" w:cs="Arial"/>
                <w:sz w:val="22"/>
                <w:szCs w:val="22"/>
              </w:rPr>
              <w:t>0</w:t>
            </w:r>
          </w:p>
        </w:tc>
        <w:tc>
          <w:tcPr>
            <w:tcW w:w="1195" w:type="dxa"/>
            <w:tcBorders>
              <w:top w:val="nil"/>
              <w:left w:val="nil"/>
              <w:bottom w:val="nil"/>
              <w:right w:val="nil"/>
            </w:tcBorders>
            <w:noWrap/>
          </w:tcPr>
          <w:p w14:paraId="01D04832" w14:textId="16FEBF6C" w:rsidR="00295550" w:rsidRPr="00495171" w:rsidRDefault="00295550" w:rsidP="00295550">
            <w:pPr>
              <w:jc w:val="right"/>
              <w:rPr>
                <w:rFonts w:ascii="Arial" w:hAnsi="Arial" w:cs="Arial"/>
                <w:sz w:val="22"/>
                <w:szCs w:val="22"/>
              </w:rPr>
            </w:pPr>
            <w:r w:rsidRPr="00495171">
              <w:rPr>
                <w:rFonts w:ascii="Arial" w:hAnsi="Arial" w:cs="Arial"/>
                <w:sz w:val="22"/>
                <w:szCs w:val="22"/>
              </w:rPr>
              <w:t>0</w:t>
            </w:r>
          </w:p>
        </w:tc>
        <w:tc>
          <w:tcPr>
            <w:tcW w:w="1195" w:type="dxa"/>
            <w:tcBorders>
              <w:top w:val="nil"/>
              <w:left w:val="nil"/>
              <w:bottom w:val="nil"/>
              <w:right w:val="nil"/>
            </w:tcBorders>
            <w:noWrap/>
          </w:tcPr>
          <w:p w14:paraId="2E6E610F" w14:textId="77777777" w:rsidR="00295550" w:rsidRPr="00495171" w:rsidRDefault="00295550" w:rsidP="00295550">
            <w:pPr>
              <w:jc w:val="right"/>
              <w:rPr>
                <w:rFonts w:ascii="Arial" w:hAnsi="Arial" w:cs="Arial"/>
                <w:sz w:val="22"/>
                <w:szCs w:val="22"/>
              </w:rPr>
            </w:pPr>
            <w:r w:rsidRPr="00495171">
              <w:rPr>
                <w:rFonts w:ascii="Arial" w:hAnsi="Arial" w:cs="Arial"/>
                <w:sz w:val="22"/>
                <w:szCs w:val="22"/>
              </w:rPr>
              <w:t>0</w:t>
            </w:r>
          </w:p>
        </w:tc>
        <w:tc>
          <w:tcPr>
            <w:tcW w:w="1195" w:type="dxa"/>
            <w:tcBorders>
              <w:top w:val="nil"/>
              <w:left w:val="nil"/>
              <w:bottom w:val="nil"/>
              <w:right w:val="nil"/>
            </w:tcBorders>
            <w:noWrap/>
          </w:tcPr>
          <w:p w14:paraId="5B8E4D73" w14:textId="77777777" w:rsidR="00295550" w:rsidRPr="00495171" w:rsidRDefault="00295550" w:rsidP="00295550">
            <w:pPr>
              <w:jc w:val="right"/>
              <w:rPr>
                <w:rFonts w:ascii="Arial" w:hAnsi="Arial" w:cs="Arial"/>
                <w:sz w:val="22"/>
                <w:szCs w:val="22"/>
              </w:rPr>
            </w:pPr>
            <w:r w:rsidRPr="00495171">
              <w:rPr>
                <w:rFonts w:ascii="Arial" w:hAnsi="Arial" w:cs="Arial"/>
                <w:sz w:val="22"/>
                <w:szCs w:val="22"/>
              </w:rPr>
              <w:t>0</w:t>
            </w:r>
          </w:p>
        </w:tc>
      </w:tr>
      <w:tr w:rsidR="00215458" w:rsidRPr="006D70F0" w14:paraId="6E153288" w14:textId="77777777" w:rsidTr="00397951">
        <w:trPr>
          <w:trHeight w:val="284"/>
        </w:trPr>
        <w:tc>
          <w:tcPr>
            <w:tcW w:w="3550" w:type="dxa"/>
            <w:tcBorders>
              <w:top w:val="nil"/>
              <w:left w:val="nil"/>
              <w:bottom w:val="nil"/>
              <w:right w:val="nil"/>
            </w:tcBorders>
          </w:tcPr>
          <w:p w14:paraId="6AECA8CD" w14:textId="695B6A3F" w:rsidR="002A09C5" w:rsidRPr="00495171" w:rsidRDefault="002A09C5" w:rsidP="00295550">
            <w:pPr>
              <w:rPr>
                <w:rFonts w:ascii="Arial" w:hAnsi="Arial" w:cs="Arial"/>
                <w:sz w:val="22"/>
                <w:szCs w:val="22"/>
              </w:rPr>
            </w:pPr>
            <w:r>
              <w:rPr>
                <w:rFonts w:ascii="Arial" w:hAnsi="Arial" w:cs="Arial"/>
                <w:sz w:val="22"/>
                <w:szCs w:val="22"/>
              </w:rPr>
              <w:t>CX</w:t>
            </w:r>
            <w:r w:rsidR="00327D24">
              <w:rPr>
                <w:rFonts w:ascii="Arial" w:hAnsi="Arial" w:cs="Arial"/>
                <w:sz w:val="22"/>
                <w:szCs w:val="22"/>
              </w:rPr>
              <w:t xml:space="preserve"> Directorate</w:t>
            </w:r>
            <w:r>
              <w:rPr>
                <w:rFonts w:ascii="Arial" w:hAnsi="Arial" w:cs="Arial"/>
                <w:sz w:val="22"/>
                <w:szCs w:val="22"/>
              </w:rPr>
              <w:t xml:space="preserve"> Capacity</w:t>
            </w:r>
          </w:p>
        </w:tc>
        <w:tc>
          <w:tcPr>
            <w:tcW w:w="1318" w:type="dxa"/>
            <w:tcBorders>
              <w:top w:val="nil"/>
              <w:left w:val="nil"/>
              <w:bottom w:val="nil"/>
              <w:right w:val="nil"/>
            </w:tcBorders>
            <w:noWrap/>
          </w:tcPr>
          <w:p w14:paraId="1414C3D3" w14:textId="0119B16A" w:rsidR="002A09C5" w:rsidRPr="00495171" w:rsidRDefault="006C5019" w:rsidP="00295550">
            <w:pPr>
              <w:jc w:val="right"/>
              <w:rPr>
                <w:rFonts w:ascii="Arial" w:hAnsi="Arial" w:cs="Arial"/>
                <w:sz w:val="22"/>
                <w:szCs w:val="22"/>
              </w:rPr>
            </w:pPr>
            <w:r>
              <w:rPr>
                <w:rFonts w:ascii="Arial" w:hAnsi="Arial" w:cs="Arial"/>
                <w:sz w:val="22"/>
                <w:szCs w:val="22"/>
              </w:rPr>
              <w:t>33,190</w:t>
            </w:r>
          </w:p>
        </w:tc>
        <w:tc>
          <w:tcPr>
            <w:tcW w:w="1195" w:type="dxa"/>
            <w:tcBorders>
              <w:top w:val="nil"/>
              <w:left w:val="nil"/>
              <w:bottom w:val="nil"/>
              <w:right w:val="nil"/>
            </w:tcBorders>
            <w:noWrap/>
          </w:tcPr>
          <w:p w14:paraId="7BA93929" w14:textId="3114D1B7" w:rsidR="002A09C5" w:rsidRPr="00495171" w:rsidRDefault="006C5019" w:rsidP="00295550">
            <w:pPr>
              <w:jc w:val="right"/>
              <w:rPr>
                <w:rFonts w:ascii="Arial" w:hAnsi="Arial" w:cs="Arial"/>
                <w:sz w:val="22"/>
                <w:szCs w:val="22"/>
              </w:rPr>
            </w:pPr>
            <w:r>
              <w:rPr>
                <w:rFonts w:ascii="Arial" w:hAnsi="Arial" w:cs="Arial"/>
                <w:sz w:val="22"/>
                <w:szCs w:val="22"/>
              </w:rPr>
              <w:t>33,190</w:t>
            </w:r>
          </w:p>
        </w:tc>
        <w:tc>
          <w:tcPr>
            <w:tcW w:w="1195" w:type="dxa"/>
            <w:tcBorders>
              <w:top w:val="nil"/>
              <w:left w:val="nil"/>
              <w:bottom w:val="nil"/>
              <w:right w:val="nil"/>
            </w:tcBorders>
            <w:noWrap/>
          </w:tcPr>
          <w:p w14:paraId="2602CCFC" w14:textId="06BE2F0D" w:rsidR="002A09C5" w:rsidRPr="00495171" w:rsidRDefault="006C5019" w:rsidP="00295550">
            <w:pPr>
              <w:jc w:val="right"/>
              <w:rPr>
                <w:rFonts w:ascii="Arial" w:hAnsi="Arial" w:cs="Arial"/>
                <w:sz w:val="22"/>
                <w:szCs w:val="22"/>
              </w:rPr>
            </w:pPr>
            <w:r>
              <w:rPr>
                <w:rFonts w:ascii="Arial" w:hAnsi="Arial" w:cs="Arial"/>
                <w:sz w:val="22"/>
                <w:szCs w:val="22"/>
              </w:rPr>
              <w:t>33,190</w:t>
            </w:r>
          </w:p>
        </w:tc>
        <w:tc>
          <w:tcPr>
            <w:tcW w:w="1195" w:type="dxa"/>
            <w:tcBorders>
              <w:top w:val="nil"/>
              <w:left w:val="nil"/>
              <w:bottom w:val="nil"/>
              <w:right w:val="nil"/>
            </w:tcBorders>
            <w:noWrap/>
          </w:tcPr>
          <w:p w14:paraId="547EB963" w14:textId="491FC9D5" w:rsidR="002A09C5" w:rsidRPr="00495171" w:rsidRDefault="006C5019" w:rsidP="00295550">
            <w:pPr>
              <w:jc w:val="right"/>
              <w:rPr>
                <w:rFonts w:ascii="Arial" w:hAnsi="Arial" w:cs="Arial"/>
                <w:sz w:val="22"/>
                <w:szCs w:val="22"/>
              </w:rPr>
            </w:pPr>
            <w:r>
              <w:rPr>
                <w:rFonts w:ascii="Arial" w:hAnsi="Arial" w:cs="Arial"/>
                <w:sz w:val="22"/>
                <w:szCs w:val="22"/>
              </w:rPr>
              <w:t>33,190</w:t>
            </w:r>
          </w:p>
        </w:tc>
        <w:tc>
          <w:tcPr>
            <w:tcW w:w="1195" w:type="dxa"/>
            <w:tcBorders>
              <w:top w:val="nil"/>
              <w:left w:val="nil"/>
              <w:bottom w:val="nil"/>
              <w:right w:val="nil"/>
            </w:tcBorders>
            <w:noWrap/>
          </w:tcPr>
          <w:p w14:paraId="1C9ADCA4" w14:textId="638ECE7D" w:rsidR="002A09C5" w:rsidRPr="00495171" w:rsidRDefault="006C5019" w:rsidP="00295550">
            <w:pPr>
              <w:jc w:val="right"/>
              <w:rPr>
                <w:rFonts w:ascii="Arial" w:hAnsi="Arial" w:cs="Arial"/>
                <w:sz w:val="22"/>
                <w:szCs w:val="22"/>
              </w:rPr>
            </w:pPr>
            <w:r>
              <w:rPr>
                <w:rFonts w:ascii="Arial" w:hAnsi="Arial" w:cs="Arial"/>
                <w:sz w:val="22"/>
                <w:szCs w:val="22"/>
              </w:rPr>
              <w:t>33,190</w:t>
            </w:r>
          </w:p>
        </w:tc>
        <w:tc>
          <w:tcPr>
            <w:tcW w:w="1195" w:type="dxa"/>
            <w:tcBorders>
              <w:top w:val="nil"/>
              <w:left w:val="nil"/>
              <w:bottom w:val="nil"/>
              <w:right w:val="nil"/>
            </w:tcBorders>
            <w:noWrap/>
          </w:tcPr>
          <w:p w14:paraId="7C0F329A" w14:textId="789470A4" w:rsidR="002A09C5" w:rsidRPr="00495171" w:rsidRDefault="006C5019" w:rsidP="00295550">
            <w:pPr>
              <w:jc w:val="right"/>
              <w:rPr>
                <w:rFonts w:ascii="Arial" w:hAnsi="Arial" w:cs="Arial"/>
                <w:sz w:val="22"/>
                <w:szCs w:val="22"/>
              </w:rPr>
            </w:pPr>
            <w:r>
              <w:rPr>
                <w:rFonts w:ascii="Arial" w:hAnsi="Arial" w:cs="Arial"/>
                <w:sz w:val="22"/>
                <w:szCs w:val="22"/>
              </w:rPr>
              <w:t>33,190</w:t>
            </w:r>
          </w:p>
        </w:tc>
      </w:tr>
      <w:tr w:rsidR="00215458" w:rsidRPr="006D70F0" w14:paraId="5C330528" w14:textId="77777777" w:rsidTr="00397951">
        <w:trPr>
          <w:trHeight w:val="284"/>
        </w:trPr>
        <w:tc>
          <w:tcPr>
            <w:tcW w:w="3550" w:type="dxa"/>
            <w:tcBorders>
              <w:top w:val="nil"/>
              <w:left w:val="nil"/>
              <w:bottom w:val="nil"/>
              <w:right w:val="nil"/>
            </w:tcBorders>
            <w:hideMark/>
          </w:tcPr>
          <w:p w14:paraId="2CE77656" w14:textId="77777777" w:rsidR="002A0C5E" w:rsidRPr="002A7D8F" w:rsidRDefault="002A0C5E" w:rsidP="002A0C5E">
            <w:pPr>
              <w:rPr>
                <w:rFonts w:ascii="Arial" w:hAnsi="Arial" w:cs="Arial"/>
                <w:sz w:val="22"/>
                <w:szCs w:val="22"/>
              </w:rPr>
            </w:pPr>
            <w:r w:rsidRPr="002A7D8F">
              <w:rPr>
                <w:rFonts w:ascii="Arial" w:hAnsi="Arial" w:cs="Arial"/>
                <w:sz w:val="22"/>
                <w:szCs w:val="22"/>
              </w:rPr>
              <w:t>Electric Van replacement</w:t>
            </w:r>
          </w:p>
        </w:tc>
        <w:tc>
          <w:tcPr>
            <w:tcW w:w="1318" w:type="dxa"/>
            <w:tcBorders>
              <w:top w:val="nil"/>
              <w:left w:val="nil"/>
              <w:bottom w:val="nil"/>
              <w:right w:val="nil"/>
            </w:tcBorders>
            <w:noWrap/>
          </w:tcPr>
          <w:p w14:paraId="46B39709" w14:textId="701F4B4C" w:rsidR="002A0C5E" w:rsidRPr="002A7D8F" w:rsidRDefault="00B15E18" w:rsidP="002A0C5E">
            <w:pPr>
              <w:jc w:val="right"/>
              <w:rPr>
                <w:rFonts w:ascii="Arial" w:hAnsi="Arial" w:cs="Arial"/>
                <w:sz w:val="22"/>
                <w:szCs w:val="22"/>
              </w:rPr>
            </w:pPr>
            <w:r w:rsidRPr="002A7D8F">
              <w:rPr>
                <w:rFonts w:ascii="Arial" w:hAnsi="Arial" w:cs="Arial"/>
                <w:sz w:val="22"/>
                <w:szCs w:val="22"/>
              </w:rPr>
              <w:t>39,910</w:t>
            </w:r>
          </w:p>
        </w:tc>
        <w:tc>
          <w:tcPr>
            <w:tcW w:w="1195" w:type="dxa"/>
            <w:tcBorders>
              <w:top w:val="nil"/>
              <w:left w:val="nil"/>
              <w:bottom w:val="nil"/>
              <w:right w:val="nil"/>
            </w:tcBorders>
            <w:noWrap/>
          </w:tcPr>
          <w:p w14:paraId="72B60D48" w14:textId="631E9396" w:rsidR="002A0C5E" w:rsidRPr="002A7D8F" w:rsidRDefault="00B15E18" w:rsidP="002A0C5E">
            <w:pPr>
              <w:jc w:val="right"/>
              <w:rPr>
                <w:rFonts w:ascii="Arial" w:hAnsi="Arial" w:cs="Arial"/>
                <w:sz w:val="22"/>
                <w:szCs w:val="22"/>
              </w:rPr>
            </w:pPr>
            <w:r w:rsidRPr="002A7D8F">
              <w:rPr>
                <w:rFonts w:ascii="Arial" w:hAnsi="Arial" w:cs="Arial"/>
                <w:sz w:val="22"/>
                <w:szCs w:val="22"/>
              </w:rPr>
              <w:t>44,340</w:t>
            </w:r>
          </w:p>
        </w:tc>
        <w:tc>
          <w:tcPr>
            <w:tcW w:w="1195" w:type="dxa"/>
            <w:tcBorders>
              <w:top w:val="nil"/>
              <w:left w:val="nil"/>
              <w:bottom w:val="nil"/>
              <w:right w:val="nil"/>
            </w:tcBorders>
            <w:noWrap/>
          </w:tcPr>
          <w:p w14:paraId="4D287B44" w14:textId="5C05F0BD" w:rsidR="002A0C5E" w:rsidRPr="002A7D8F" w:rsidRDefault="00B15E18" w:rsidP="002A0C5E">
            <w:pPr>
              <w:jc w:val="right"/>
              <w:rPr>
                <w:rFonts w:ascii="Arial" w:hAnsi="Arial" w:cs="Arial"/>
                <w:sz w:val="22"/>
                <w:szCs w:val="22"/>
              </w:rPr>
            </w:pPr>
            <w:r w:rsidRPr="002A7D8F">
              <w:rPr>
                <w:rFonts w:ascii="Arial" w:hAnsi="Arial" w:cs="Arial"/>
                <w:sz w:val="22"/>
                <w:szCs w:val="22"/>
              </w:rPr>
              <w:t>48,770</w:t>
            </w:r>
          </w:p>
        </w:tc>
        <w:tc>
          <w:tcPr>
            <w:tcW w:w="1195" w:type="dxa"/>
            <w:tcBorders>
              <w:top w:val="nil"/>
              <w:left w:val="nil"/>
              <w:bottom w:val="nil"/>
              <w:right w:val="nil"/>
            </w:tcBorders>
            <w:noWrap/>
          </w:tcPr>
          <w:p w14:paraId="250DC023" w14:textId="1CD0DF7C" w:rsidR="002A0C5E" w:rsidRPr="002A7D8F" w:rsidRDefault="00B15E18" w:rsidP="002A0C5E">
            <w:pPr>
              <w:jc w:val="right"/>
              <w:rPr>
                <w:rFonts w:ascii="Arial" w:hAnsi="Arial" w:cs="Arial"/>
                <w:sz w:val="22"/>
                <w:szCs w:val="22"/>
              </w:rPr>
            </w:pPr>
            <w:r w:rsidRPr="002A7D8F">
              <w:rPr>
                <w:rFonts w:ascii="Arial" w:hAnsi="Arial" w:cs="Arial"/>
                <w:sz w:val="22"/>
                <w:szCs w:val="22"/>
              </w:rPr>
              <w:t>53,200</w:t>
            </w:r>
          </w:p>
        </w:tc>
        <w:tc>
          <w:tcPr>
            <w:tcW w:w="1195" w:type="dxa"/>
            <w:tcBorders>
              <w:top w:val="nil"/>
              <w:left w:val="nil"/>
              <w:bottom w:val="nil"/>
              <w:right w:val="nil"/>
            </w:tcBorders>
            <w:noWrap/>
          </w:tcPr>
          <w:p w14:paraId="1B90CFCA" w14:textId="62027D96" w:rsidR="002A0C5E" w:rsidRPr="002A7D8F" w:rsidRDefault="00B15E18" w:rsidP="002A0C5E">
            <w:pPr>
              <w:jc w:val="right"/>
              <w:rPr>
                <w:rFonts w:ascii="Arial" w:hAnsi="Arial" w:cs="Arial"/>
                <w:sz w:val="22"/>
                <w:szCs w:val="22"/>
              </w:rPr>
            </w:pPr>
            <w:r w:rsidRPr="002A7D8F">
              <w:rPr>
                <w:rFonts w:ascii="Arial" w:hAnsi="Arial" w:cs="Arial"/>
                <w:sz w:val="22"/>
                <w:szCs w:val="22"/>
              </w:rPr>
              <w:t>57,630</w:t>
            </w:r>
          </w:p>
        </w:tc>
        <w:tc>
          <w:tcPr>
            <w:tcW w:w="1195" w:type="dxa"/>
            <w:tcBorders>
              <w:top w:val="nil"/>
              <w:left w:val="nil"/>
              <w:bottom w:val="nil"/>
              <w:right w:val="nil"/>
            </w:tcBorders>
            <w:noWrap/>
          </w:tcPr>
          <w:p w14:paraId="1D804064" w14:textId="52EF62A6" w:rsidR="002A0C5E" w:rsidRPr="002A7D8F" w:rsidRDefault="002A7D8F" w:rsidP="002A0C5E">
            <w:pPr>
              <w:jc w:val="right"/>
              <w:rPr>
                <w:rFonts w:ascii="Arial" w:hAnsi="Arial" w:cs="Arial"/>
                <w:sz w:val="22"/>
                <w:szCs w:val="22"/>
              </w:rPr>
            </w:pPr>
            <w:r w:rsidRPr="002A7D8F">
              <w:rPr>
                <w:rFonts w:ascii="Arial" w:hAnsi="Arial" w:cs="Arial"/>
                <w:sz w:val="22"/>
                <w:szCs w:val="22"/>
              </w:rPr>
              <w:t>62,060</w:t>
            </w:r>
          </w:p>
        </w:tc>
      </w:tr>
      <w:tr w:rsidR="00215458" w:rsidRPr="006D70F0" w14:paraId="78026CD0" w14:textId="77777777" w:rsidTr="00397951">
        <w:trPr>
          <w:trHeight w:val="284"/>
        </w:trPr>
        <w:tc>
          <w:tcPr>
            <w:tcW w:w="3550" w:type="dxa"/>
            <w:tcBorders>
              <w:top w:val="nil"/>
              <w:left w:val="nil"/>
              <w:bottom w:val="nil"/>
              <w:right w:val="nil"/>
            </w:tcBorders>
          </w:tcPr>
          <w:p w14:paraId="1431CA9A" w14:textId="28B3308D" w:rsidR="002A0C5E" w:rsidRPr="004C4373" w:rsidRDefault="002A0C5E" w:rsidP="002A0C5E">
            <w:pPr>
              <w:rPr>
                <w:rFonts w:ascii="Arial" w:hAnsi="Arial" w:cs="Arial"/>
                <w:sz w:val="22"/>
                <w:szCs w:val="22"/>
                <w:lang w:eastAsia="en-GB"/>
              </w:rPr>
            </w:pPr>
            <w:r w:rsidRPr="004C4373">
              <w:rPr>
                <w:rFonts w:ascii="Arial" w:hAnsi="Arial" w:cs="Arial"/>
                <w:sz w:val="22"/>
                <w:szCs w:val="22"/>
              </w:rPr>
              <w:t>HiMO CPN Appeals</w:t>
            </w:r>
          </w:p>
        </w:tc>
        <w:tc>
          <w:tcPr>
            <w:tcW w:w="1318" w:type="dxa"/>
            <w:tcBorders>
              <w:top w:val="nil"/>
              <w:left w:val="nil"/>
              <w:bottom w:val="nil"/>
              <w:right w:val="nil"/>
            </w:tcBorders>
            <w:noWrap/>
          </w:tcPr>
          <w:p w14:paraId="5536358F" w14:textId="76CB8FAB" w:rsidR="002A0C5E" w:rsidRPr="004C4373" w:rsidRDefault="002A0C5E" w:rsidP="002A0C5E">
            <w:pPr>
              <w:jc w:val="right"/>
              <w:rPr>
                <w:rFonts w:ascii="Arial" w:hAnsi="Arial" w:cs="Arial"/>
                <w:sz w:val="22"/>
                <w:szCs w:val="22"/>
              </w:rPr>
            </w:pPr>
            <w:r w:rsidRPr="004C4373">
              <w:rPr>
                <w:rFonts w:ascii="Arial" w:hAnsi="Arial" w:cs="Arial"/>
                <w:sz w:val="22"/>
                <w:szCs w:val="22"/>
              </w:rPr>
              <w:t>11</w:t>
            </w:r>
            <w:r w:rsidR="004C4373" w:rsidRPr="004C4373">
              <w:rPr>
                <w:rFonts w:ascii="Arial" w:hAnsi="Arial" w:cs="Arial"/>
                <w:sz w:val="22"/>
                <w:szCs w:val="22"/>
              </w:rPr>
              <w:t>3</w:t>
            </w:r>
            <w:r w:rsidRPr="004C4373">
              <w:rPr>
                <w:rFonts w:ascii="Arial" w:hAnsi="Arial" w:cs="Arial"/>
                <w:sz w:val="22"/>
                <w:szCs w:val="22"/>
              </w:rPr>
              <w:t>,</w:t>
            </w:r>
            <w:r w:rsidR="004C4373" w:rsidRPr="004C4373">
              <w:rPr>
                <w:rFonts w:ascii="Arial" w:hAnsi="Arial" w:cs="Arial"/>
                <w:sz w:val="22"/>
                <w:szCs w:val="22"/>
              </w:rPr>
              <w:t>970</w:t>
            </w:r>
          </w:p>
        </w:tc>
        <w:tc>
          <w:tcPr>
            <w:tcW w:w="1195" w:type="dxa"/>
            <w:tcBorders>
              <w:top w:val="nil"/>
              <w:left w:val="nil"/>
              <w:bottom w:val="nil"/>
              <w:right w:val="nil"/>
            </w:tcBorders>
            <w:noWrap/>
          </w:tcPr>
          <w:p w14:paraId="1BB190F5" w14:textId="61793497" w:rsidR="002A0C5E" w:rsidRPr="004C4373" w:rsidRDefault="004C4373" w:rsidP="002A0C5E">
            <w:pPr>
              <w:jc w:val="right"/>
              <w:rPr>
                <w:rFonts w:ascii="Arial" w:hAnsi="Arial" w:cs="Arial"/>
                <w:sz w:val="22"/>
                <w:szCs w:val="22"/>
              </w:rPr>
            </w:pPr>
            <w:r w:rsidRPr="004C4373">
              <w:rPr>
                <w:rFonts w:ascii="Arial" w:hAnsi="Arial" w:cs="Arial"/>
                <w:sz w:val="22"/>
                <w:szCs w:val="22"/>
              </w:rPr>
              <w:t>113,970</w:t>
            </w:r>
          </w:p>
        </w:tc>
        <w:tc>
          <w:tcPr>
            <w:tcW w:w="1195" w:type="dxa"/>
            <w:tcBorders>
              <w:top w:val="nil"/>
              <w:left w:val="nil"/>
              <w:bottom w:val="nil"/>
              <w:right w:val="nil"/>
            </w:tcBorders>
            <w:noWrap/>
          </w:tcPr>
          <w:p w14:paraId="0612D0F6" w14:textId="0C44325D" w:rsidR="002A0C5E" w:rsidRPr="004C4373" w:rsidRDefault="004C4373" w:rsidP="002A0C5E">
            <w:pPr>
              <w:jc w:val="right"/>
              <w:rPr>
                <w:rFonts w:ascii="Arial" w:hAnsi="Arial" w:cs="Arial"/>
                <w:sz w:val="22"/>
                <w:szCs w:val="22"/>
              </w:rPr>
            </w:pPr>
            <w:r w:rsidRPr="004C4373">
              <w:rPr>
                <w:rFonts w:ascii="Arial" w:hAnsi="Arial" w:cs="Arial"/>
                <w:sz w:val="22"/>
                <w:szCs w:val="22"/>
              </w:rPr>
              <w:t>113,970</w:t>
            </w:r>
          </w:p>
        </w:tc>
        <w:tc>
          <w:tcPr>
            <w:tcW w:w="1195" w:type="dxa"/>
            <w:tcBorders>
              <w:top w:val="nil"/>
              <w:left w:val="nil"/>
              <w:bottom w:val="nil"/>
              <w:right w:val="nil"/>
            </w:tcBorders>
            <w:noWrap/>
          </w:tcPr>
          <w:p w14:paraId="1AE72B8F" w14:textId="30BEC842" w:rsidR="002A0C5E" w:rsidRPr="004C4373" w:rsidRDefault="004C4373" w:rsidP="002A0C5E">
            <w:pPr>
              <w:jc w:val="right"/>
              <w:rPr>
                <w:rFonts w:ascii="Arial" w:hAnsi="Arial" w:cs="Arial"/>
                <w:sz w:val="22"/>
                <w:szCs w:val="22"/>
              </w:rPr>
            </w:pPr>
            <w:r w:rsidRPr="004C4373">
              <w:rPr>
                <w:rFonts w:ascii="Arial" w:hAnsi="Arial" w:cs="Arial"/>
                <w:sz w:val="22"/>
                <w:szCs w:val="22"/>
              </w:rPr>
              <w:t>113,970</w:t>
            </w:r>
          </w:p>
        </w:tc>
        <w:tc>
          <w:tcPr>
            <w:tcW w:w="1195" w:type="dxa"/>
            <w:tcBorders>
              <w:top w:val="nil"/>
              <w:left w:val="nil"/>
              <w:bottom w:val="nil"/>
              <w:right w:val="nil"/>
            </w:tcBorders>
            <w:noWrap/>
          </w:tcPr>
          <w:p w14:paraId="317EDDA6" w14:textId="1BE15C91" w:rsidR="002A0C5E" w:rsidRPr="004C4373" w:rsidRDefault="004C4373" w:rsidP="002A0C5E">
            <w:pPr>
              <w:jc w:val="right"/>
              <w:rPr>
                <w:rFonts w:ascii="Arial" w:hAnsi="Arial" w:cs="Arial"/>
                <w:sz w:val="22"/>
                <w:szCs w:val="22"/>
              </w:rPr>
            </w:pPr>
            <w:r w:rsidRPr="004C4373">
              <w:rPr>
                <w:rFonts w:ascii="Arial" w:hAnsi="Arial" w:cs="Arial"/>
                <w:sz w:val="22"/>
                <w:szCs w:val="22"/>
              </w:rPr>
              <w:t>113,970</w:t>
            </w:r>
          </w:p>
        </w:tc>
        <w:tc>
          <w:tcPr>
            <w:tcW w:w="1195" w:type="dxa"/>
            <w:tcBorders>
              <w:top w:val="nil"/>
              <w:left w:val="nil"/>
              <w:bottom w:val="nil"/>
              <w:right w:val="nil"/>
            </w:tcBorders>
            <w:noWrap/>
          </w:tcPr>
          <w:p w14:paraId="6B09F4D5" w14:textId="005D86F3" w:rsidR="002A0C5E" w:rsidRPr="004C4373" w:rsidRDefault="004C4373" w:rsidP="002A0C5E">
            <w:pPr>
              <w:jc w:val="right"/>
              <w:rPr>
                <w:rFonts w:ascii="Arial" w:hAnsi="Arial" w:cs="Arial"/>
                <w:sz w:val="22"/>
                <w:szCs w:val="22"/>
              </w:rPr>
            </w:pPr>
            <w:r w:rsidRPr="004C4373">
              <w:rPr>
                <w:rFonts w:ascii="Arial" w:hAnsi="Arial" w:cs="Arial"/>
                <w:sz w:val="22"/>
                <w:szCs w:val="22"/>
              </w:rPr>
              <w:t>113,970</w:t>
            </w:r>
          </w:p>
        </w:tc>
      </w:tr>
      <w:tr w:rsidR="00215458" w:rsidRPr="006D70F0" w14:paraId="46E2FD38" w14:textId="77777777" w:rsidTr="00397951">
        <w:trPr>
          <w:trHeight w:val="284"/>
        </w:trPr>
        <w:tc>
          <w:tcPr>
            <w:tcW w:w="3550" w:type="dxa"/>
            <w:tcBorders>
              <w:top w:val="nil"/>
              <w:left w:val="nil"/>
              <w:bottom w:val="nil"/>
              <w:right w:val="nil"/>
            </w:tcBorders>
            <w:hideMark/>
          </w:tcPr>
          <w:p w14:paraId="66B8AFF4" w14:textId="77777777" w:rsidR="002A0C5E" w:rsidRPr="00D02A84" w:rsidRDefault="002A0C5E" w:rsidP="002A0C5E">
            <w:pPr>
              <w:rPr>
                <w:rFonts w:ascii="Arial" w:hAnsi="Arial" w:cs="Arial"/>
                <w:sz w:val="22"/>
                <w:szCs w:val="22"/>
              </w:rPr>
            </w:pPr>
            <w:r w:rsidRPr="00D02A84">
              <w:rPr>
                <w:rFonts w:ascii="Arial" w:hAnsi="Arial" w:cs="Arial"/>
                <w:sz w:val="22"/>
                <w:szCs w:val="22"/>
              </w:rPr>
              <w:t>Grants &amp; Contributions</w:t>
            </w:r>
          </w:p>
        </w:tc>
        <w:tc>
          <w:tcPr>
            <w:tcW w:w="1318" w:type="dxa"/>
            <w:tcBorders>
              <w:top w:val="nil"/>
              <w:left w:val="nil"/>
              <w:bottom w:val="nil"/>
              <w:right w:val="nil"/>
            </w:tcBorders>
            <w:noWrap/>
          </w:tcPr>
          <w:p w14:paraId="56431E72" w14:textId="1BE223DD" w:rsidR="002A0C5E" w:rsidRPr="00D02A84" w:rsidRDefault="00DC0137" w:rsidP="002A0C5E">
            <w:pPr>
              <w:jc w:val="right"/>
              <w:rPr>
                <w:rFonts w:ascii="Arial" w:hAnsi="Arial" w:cs="Arial"/>
                <w:sz w:val="22"/>
                <w:szCs w:val="22"/>
                <w:lang w:eastAsia="en-GB"/>
              </w:rPr>
            </w:pPr>
            <w:r w:rsidRPr="00D02A84">
              <w:rPr>
                <w:rFonts w:ascii="Arial" w:hAnsi="Arial" w:cs="Arial"/>
                <w:sz w:val="22"/>
                <w:szCs w:val="22"/>
              </w:rPr>
              <w:t>1,</w:t>
            </w:r>
            <w:r>
              <w:rPr>
                <w:rFonts w:ascii="Arial" w:hAnsi="Arial" w:cs="Arial"/>
                <w:sz w:val="22"/>
                <w:szCs w:val="22"/>
              </w:rPr>
              <w:t>3</w:t>
            </w:r>
            <w:r w:rsidR="00030770">
              <w:rPr>
                <w:rFonts w:ascii="Arial" w:hAnsi="Arial" w:cs="Arial"/>
                <w:sz w:val="22"/>
                <w:szCs w:val="22"/>
              </w:rPr>
              <w:t>94,430</w:t>
            </w:r>
          </w:p>
        </w:tc>
        <w:tc>
          <w:tcPr>
            <w:tcW w:w="1195" w:type="dxa"/>
            <w:tcBorders>
              <w:top w:val="nil"/>
              <w:left w:val="nil"/>
              <w:bottom w:val="nil"/>
              <w:right w:val="nil"/>
            </w:tcBorders>
            <w:noWrap/>
          </w:tcPr>
          <w:p w14:paraId="67F3F073" w14:textId="7BC39F42" w:rsidR="002A0C5E" w:rsidRPr="00D02A84" w:rsidRDefault="00030770" w:rsidP="002A0C5E">
            <w:pPr>
              <w:jc w:val="right"/>
              <w:rPr>
                <w:rFonts w:ascii="Arial" w:hAnsi="Arial" w:cs="Arial"/>
                <w:sz w:val="22"/>
                <w:szCs w:val="22"/>
              </w:rPr>
            </w:pPr>
            <w:r>
              <w:rPr>
                <w:rFonts w:ascii="Arial" w:hAnsi="Arial" w:cs="Arial"/>
                <w:sz w:val="22"/>
                <w:szCs w:val="22"/>
              </w:rPr>
              <w:t>1,223,660</w:t>
            </w:r>
          </w:p>
        </w:tc>
        <w:tc>
          <w:tcPr>
            <w:tcW w:w="1195" w:type="dxa"/>
            <w:tcBorders>
              <w:top w:val="nil"/>
              <w:left w:val="nil"/>
              <w:bottom w:val="nil"/>
              <w:right w:val="nil"/>
            </w:tcBorders>
            <w:noWrap/>
          </w:tcPr>
          <w:p w14:paraId="145C6158" w14:textId="1257001B" w:rsidR="002A0C5E" w:rsidRPr="00D02A84" w:rsidRDefault="00030770" w:rsidP="002A0C5E">
            <w:pPr>
              <w:jc w:val="right"/>
              <w:rPr>
                <w:rFonts w:ascii="Arial" w:hAnsi="Arial" w:cs="Arial"/>
                <w:sz w:val="22"/>
                <w:szCs w:val="22"/>
              </w:rPr>
            </w:pPr>
            <w:r>
              <w:rPr>
                <w:rFonts w:ascii="Arial" w:hAnsi="Arial" w:cs="Arial"/>
                <w:sz w:val="22"/>
                <w:szCs w:val="22"/>
              </w:rPr>
              <w:t>1,127,450</w:t>
            </w:r>
          </w:p>
        </w:tc>
        <w:tc>
          <w:tcPr>
            <w:tcW w:w="1195" w:type="dxa"/>
            <w:tcBorders>
              <w:top w:val="nil"/>
              <w:left w:val="nil"/>
              <w:bottom w:val="nil"/>
              <w:right w:val="nil"/>
            </w:tcBorders>
            <w:noWrap/>
          </w:tcPr>
          <w:p w14:paraId="370F2038" w14:textId="0EA07731" w:rsidR="002A0C5E" w:rsidRPr="00D02A84" w:rsidRDefault="00030770" w:rsidP="002A0C5E">
            <w:pPr>
              <w:jc w:val="right"/>
              <w:rPr>
                <w:rFonts w:ascii="Arial" w:hAnsi="Arial" w:cs="Arial"/>
                <w:sz w:val="22"/>
                <w:szCs w:val="22"/>
              </w:rPr>
            </w:pPr>
            <w:r>
              <w:rPr>
                <w:rFonts w:ascii="Arial" w:hAnsi="Arial" w:cs="Arial"/>
                <w:sz w:val="22"/>
                <w:szCs w:val="22"/>
              </w:rPr>
              <w:t>1,127,450</w:t>
            </w:r>
          </w:p>
        </w:tc>
        <w:tc>
          <w:tcPr>
            <w:tcW w:w="1195" w:type="dxa"/>
            <w:tcBorders>
              <w:top w:val="nil"/>
              <w:left w:val="nil"/>
              <w:bottom w:val="nil"/>
              <w:right w:val="nil"/>
            </w:tcBorders>
            <w:noWrap/>
          </w:tcPr>
          <w:p w14:paraId="5A53E779" w14:textId="72212379" w:rsidR="002A0C5E" w:rsidRPr="00D02A84" w:rsidRDefault="00030770" w:rsidP="002A0C5E">
            <w:pPr>
              <w:jc w:val="right"/>
              <w:rPr>
                <w:rFonts w:ascii="Arial" w:hAnsi="Arial" w:cs="Arial"/>
                <w:sz w:val="22"/>
                <w:szCs w:val="22"/>
              </w:rPr>
            </w:pPr>
            <w:r>
              <w:rPr>
                <w:rFonts w:ascii="Arial" w:hAnsi="Arial" w:cs="Arial"/>
                <w:sz w:val="22"/>
                <w:szCs w:val="22"/>
              </w:rPr>
              <w:t>1,127,450</w:t>
            </w:r>
          </w:p>
        </w:tc>
        <w:tc>
          <w:tcPr>
            <w:tcW w:w="1195" w:type="dxa"/>
            <w:tcBorders>
              <w:top w:val="nil"/>
              <w:left w:val="nil"/>
              <w:bottom w:val="nil"/>
              <w:right w:val="nil"/>
            </w:tcBorders>
            <w:noWrap/>
          </w:tcPr>
          <w:p w14:paraId="5FE3F2B5" w14:textId="3E2AEDA1" w:rsidR="002A0C5E" w:rsidRPr="00D02A84" w:rsidRDefault="00030770" w:rsidP="002A0C5E">
            <w:pPr>
              <w:jc w:val="right"/>
              <w:rPr>
                <w:rFonts w:ascii="Arial" w:hAnsi="Arial" w:cs="Arial"/>
                <w:sz w:val="22"/>
                <w:szCs w:val="22"/>
              </w:rPr>
            </w:pPr>
            <w:r>
              <w:rPr>
                <w:rFonts w:ascii="Arial" w:hAnsi="Arial" w:cs="Arial"/>
                <w:sz w:val="22"/>
                <w:szCs w:val="22"/>
              </w:rPr>
              <w:t>1,127,450</w:t>
            </w:r>
          </w:p>
        </w:tc>
      </w:tr>
      <w:tr w:rsidR="00215458" w:rsidRPr="006D70F0" w14:paraId="5C3F7BDE" w14:textId="77777777" w:rsidTr="00397951">
        <w:trPr>
          <w:trHeight w:val="284"/>
        </w:trPr>
        <w:tc>
          <w:tcPr>
            <w:tcW w:w="3550" w:type="dxa"/>
            <w:tcBorders>
              <w:top w:val="nil"/>
              <w:left w:val="nil"/>
              <w:bottom w:val="nil"/>
              <w:right w:val="nil"/>
            </w:tcBorders>
          </w:tcPr>
          <w:p w14:paraId="16BE2BE6" w14:textId="1EBEDABC" w:rsidR="002A0C5E" w:rsidRPr="00447199" w:rsidRDefault="002A0C5E" w:rsidP="002A0C5E">
            <w:pPr>
              <w:rPr>
                <w:rFonts w:ascii="Arial" w:hAnsi="Arial" w:cs="Arial"/>
                <w:sz w:val="22"/>
                <w:szCs w:val="22"/>
              </w:rPr>
            </w:pPr>
            <w:r w:rsidRPr="00447199">
              <w:rPr>
                <w:rFonts w:ascii="Arial" w:hAnsi="Arial" w:cs="Arial"/>
                <w:sz w:val="22"/>
                <w:szCs w:val="22"/>
              </w:rPr>
              <w:t>Income Volatility Reserve</w:t>
            </w:r>
          </w:p>
        </w:tc>
        <w:tc>
          <w:tcPr>
            <w:tcW w:w="1318" w:type="dxa"/>
            <w:tcBorders>
              <w:top w:val="nil"/>
              <w:left w:val="nil"/>
              <w:bottom w:val="nil"/>
              <w:right w:val="nil"/>
            </w:tcBorders>
            <w:noWrap/>
          </w:tcPr>
          <w:p w14:paraId="18A6E59B" w14:textId="11DF52E9" w:rsidR="002A0C5E" w:rsidRPr="00447199" w:rsidRDefault="00DD6F29" w:rsidP="002A0C5E">
            <w:pPr>
              <w:jc w:val="right"/>
              <w:rPr>
                <w:rFonts w:ascii="Arial" w:hAnsi="Arial" w:cs="Arial"/>
                <w:sz w:val="22"/>
                <w:szCs w:val="22"/>
              </w:rPr>
            </w:pPr>
            <w:r w:rsidRPr="00447199">
              <w:rPr>
                <w:rFonts w:ascii="Arial" w:hAnsi="Arial" w:cs="Arial"/>
                <w:sz w:val="22"/>
                <w:szCs w:val="22"/>
              </w:rPr>
              <w:t>3</w:t>
            </w:r>
            <w:r w:rsidR="004046E1" w:rsidRPr="00447199">
              <w:rPr>
                <w:rFonts w:ascii="Arial" w:hAnsi="Arial" w:cs="Arial"/>
                <w:sz w:val="22"/>
                <w:szCs w:val="22"/>
              </w:rPr>
              <w:t>35</w:t>
            </w:r>
            <w:r w:rsidRPr="00447199">
              <w:rPr>
                <w:rFonts w:ascii="Arial" w:hAnsi="Arial" w:cs="Arial"/>
                <w:sz w:val="22"/>
                <w:szCs w:val="22"/>
              </w:rPr>
              <w:t>,000</w:t>
            </w:r>
          </w:p>
        </w:tc>
        <w:tc>
          <w:tcPr>
            <w:tcW w:w="1195" w:type="dxa"/>
            <w:tcBorders>
              <w:top w:val="nil"/>
              <w:left w:val="nil"/>
              <w:bottom w:val="nil"/>
              <w:right w:val="nil"/>
            </w:tcBorders>
            <w:noWrap/>
          </w:tcPr>
          <w:p w14:paraId="55C336FC" w14:textId="6FE09883" w:rsidR="002A0C5E" w:rsidRPr="00447199" w:rsidRDefault="00447199" w:rsidP="002A0C5E">
            <w:pPr>
              <w:jc w:val="right"/>
              <w:rPr>
                <w:rFonts w:ascii="Arial" w:hAnsi="Arial" w:cs="Arial"/>
                <w:sz w:val="22"/>
                <w:szCs w:val="22"/>
              </w:rPr>
            </w:pPr>
            <w:r w:rsidRPr="00447199">
              <w:rPr>
                <w:rFonts w:ascii="Arial" w:hAnsi="Arial" w:cs="Arial"/>
                <w:sz w:val="22"/>
                <w:szCs w:val="22"/>
              </w:rPr>
              <w:t>335</w:t>
            </w:r>
            <w:r w:rsidR="00DD6F29" w:rsidRPr="00447199">
              <w:rPr>
                <w:rFonts w:ascii="Arial" w:hAnsi="Arial" w:cs="Arial"/>
                <w:sz w:val="22"/>
                <w:szCs w:val="22"/>
              </w:rPr>
              <w:t>,000</w:t>
            </w:r>
          </w:p>
        </w:tc>
        <w:tc>
          <w:tcPr>
            <w:tcW w:w="1195" w:type="dxa"/>
            <w:tcBorders>
              <w:top w:val="nil"/>
              <w:left w:val="nil"/>
              <w:bottom w:val="nil"/>
              <w:right w:val="nil"/>
            </w:tcBorders>
            <w:noWrap/>
          </w:tcPr>
          <w:p w14:paraId="3D214CEB" w14:textId="00165BC3" w:rsidR="002A0C5E" w:rsidRPr="00447199" w:rsidRDefault="00447199" w:rsidP="002A0C5E">
            <w:pPr>
              <w:jc w:val="right"/>
              <w:rPr>
                <w:rFonts w:ascii="Arial" w:hAnsi="Arial" w:cs="Arial"/>
                <w:sz w:val="22"/>
                <w:szCs w:val="22"/>
              </w:rPr>
            </w:pPr>
            <w:r w:rsidRPr="00447199">
              <w:rPr>
                <w:rFonts w:ascii="Arial" w:hAnsi="Arial" w:cs="Arial"/>
                <w:sz w:val="22"/>
                <w:szCs w:val="22"/>
              </w:rPr>
              <w:t>335</w:t>
            </w:r>
            <w:r w:rsidR="002A66F2" w:rsidRPr="00447199">
              <w:rPr>
                <w:rFonts w:ascii="Arial" w:hAnsi="Arial" w:cs="Arial"/>
                <w:sz w:val="22"/>
                <w:szCs w:val="22"/>
              </w:rPr>
              <w:t>,000</w:t>
            </w:r>
          </w:p>
        </w:tc>
        <w:tc>
          <w:tcPr>
            <w:tcW w:w="1195" w:type="dxa"/>
            <w:tcBorders>
              <w:top w:val="nil"/>
              <w:left w:val="nil"/>
              <w:bottom w:val="nil"/>
              <w:right w:val="nil"/>
            </w:tcBorders>
            <w:noWrap/>
          </w:tcPr>
          <w:p w14:paraId="4190B860" w14:textId="7991B028" w:rsidR="002A0C5E" w:rsidRPr="00447199" w:rsidRDefault="00447199" w:rsidP="002A0C5E">
            <w:pPr>
              <w:jc w:val="right"/>
              <w:rPr>
                <w:rFonts w:ascii="Arial" w:hAnsi="Arial" w:cs="Arial"/>
                <w:sz w:val="22"/>
                <w:szCs w:val="22"/>
              </w:rPr>
            </w:pPr>
            <w:r w:rsidRPr="00447199">
              <w:rPr>
                <w:rFonts w:ascii="Arial" w:hAnsi="Arial" w:cs="Arial"/>
                <w:sz w:val="22"/>
                <w:szCs w:val="22"/>
              </w:rPr>
              <w:t>335</w:t>
            </w:r>
            <w:r w:rsidR="002A66F2" w:rsidRPr="00447199">
              <w:rPr>
                <w:rFonts w:ascii="Arial" w:hAnsi="Arial" w:cs="Arial"/>
                <w:sz w:val="22"/>
                <w:szCs w:val="22"/>
              </w:rPr>
              <w:t>,000</w:t>
            </w:r>
          </w:p>
        </w:tc>
        <w:tc>
          <w:tcPr>
            <w:tcW w:w="1195" w:type="dxa"/>
            <w:tcBorders>
              <w:top w:val="nil"/>
              <w:left w:val="nil"/>
              <w:bottom w:val="nil"/>
              <w:right w:val="nil"/>
            </w:tcBorders>
            <w:noWrap/>
          </w:tcPr>
          <w:p w14:paraId="67FE0F04" w14:textId="0D2E037F" w:rsidR="002A0C5E" w:rsidRPr="00447199" w:rsidRDefault="00447199" w:rsidP="002A0C5E">
            <w:pPr>
              <w:jc w:val="right"/>
              <w:rPr>
                <w:rFonts w:ascii="Arial" w:hAnsi="Arial" w:cs="Arial"/>
                <w:sz w:val="22"/>
                <w:szCs w:val="22"/>
              </w:rPr>
            </w:pPr>
            <w:r w:rsidRPr="00447199">
              <w:rPr>
                <w:rFonts w:ascii="Arial" w:hAnsi="Arial" w:cs="Arial"/>
                <w:sz w:val="22"/>
                <w:szCs w:val="22"/>
              </w:rPr>
              <w:t>335</w:t>
            </w:r>
            <w:r w:rsidR="002A66F2" w:rsidRPr="00447199">
              <w:rPr>
                <w:rFonts w:ascii="Arial" w:hAnsi="Arial" w:cs="Arial"/>
                <w:sz w:val="22"/>
                <w:szCs w:val="22"/>
              </w:rPr>
              <w:t>,000</w:t>
            </w:r>
          </w:p>
        </w:tc>
        <w:tc>
          <w:tcPr>
            <w:tcW w:w="1195" w:type="dxa"/>
            <w:tcBorders>
              <w:top w:val="nil"/>
              <w:left w:val="nil"/>
              <w:bottom w:val="nil"/>
              <w:right w:val="nil"/>
            </w:tcBorders>
            <w:noWrap/>
          </w:tcPr>
          <w:p w14:paraId="18930BFC" w14:textId="06BD29BC" w:rsidR="002A0C5E" w:rsidRPr="00447199" w:rsidRDefault="00447199" w:rsidP="002A0C5E">
            <w:pPr>
              <w:jc w:val="right"/>
              <w:rPr>
                <w:rFonts w:ascii="Arial" w:hAnsi="Arial" w:cs="Arial"/>
                <w:sz w:val="22"/>
                <w:szCs w:val="22"/>
              </w:rPr>
            </w:pPr>
            <w:r w:rsidRPr="00447199">
              <w:rPr>
                <w:rFonts w:ascii="Arial" w:hAnsi="Arial" w:cs="Arial"/>
                <w:sz w:val="22"/>
                <w:szCs w:val="22"/>
              </w:rPr>
              <w:t>335</w:t>
            </w:r>
            <w:r w:rsidR="002A66F2" w:rsidRPr="00447199">
              <w:rPr>
                <w:rFonts w:ascii="Arial" w:hAnsi="Arial" w:cs="Arial"/>
                <w:sz w:val="22"/>
                <w:szCs w:val="22"/>
              </w:rPr>
              <w:t>,000</w:t>
            </w:r>
          </w:p>
        </w:tc>
      </w:tr>
      <w:tr w:rsidR="00215458" w:rsidRPr="006D70F0" w14:paraId="06B725E1" w14:textId="77777777" w:rsidTr="00397951">
        <w:trPr>
          <w:trHeight w:val="284"/>
        </w:trPr>
        <w:tc>
          <w:tcPr>
            <w:tcW w:w="3550" w:type="dxa"/>
            <w:tcBorders>
              <w:top w:val="nil"/>
              <w:left w:val="nil"/>
              <w:bottom w:val="nil"/>
              <w:right w:val="nil"/>
            </w:tcBorders>
            <w:hideMark/>
          </w:tcPr>
          <w:p w14:paraId="0D1923AA" w14:textId="77777777" w:rsidR="002A0C5E" w:rsidRPr="00EA572E" w:rsidRDefault="002A0C5E" w:rsidP="002A0C5E">
            <w:pPr>
              <w:rPr>
                <w:rFonts w:ascii="Arial" w:hAnsi="Arial" w:cs="Arial"/>
                <w:sz w:val="22"/>
                <w:szCs w:val="22"/>
              </w:rPr>
            </w:pPr>
            <w:r w:rsidRPr="00EA572E">
              <w:rPr>
                <w:rFonts w:ascii="Arial" w:hAnsi="Arial" w:cs="Arial"/>
                <w:sz w:val="22"/>
                <w:szCs w:val="22"/>
              </w:rPr>
              <w:t xml:space="preserve">Invest to Save </w:t>
            </w:r>
          </w:p>
        </w:tc>
        <w:tc>
          <w:tcPr>
            <w:tcW w:w="1318" w:type="dxa"/>
            <w:tcBorders>
              <w:top w:val="nil"/>
              <w:left w:val="nil"/>
              <w:bottom w:val="nil"/>
              <w:right w:val="nil"/>
            </w:tcBorders>
            <w:noWrap/>
          </w:tcPr>
          <w:p w14:paraId="1879EDD4" w14:textId="35A13A50" w:rsidR="002A0C5E" w:rsidRPr="00EA572E" w:rsidRDefault="00E66356" w:rsidP="002A0C5E">
            <w:pPr>
              <w:jc w:val="right"/>
              <w:rPr>
                <w:rFonts w:ascii="Arial" w:hAnsi="Arial" w:cs="Arial"/>
                <w:sz w:val="22"/>
                <w:szCs w:val="22"/>
              </w:rPr>
            </w:pPr>
            <w:r>
              <w:rPr>
                <w:rFonts w:ascii="Arial" w:hAnsi="Arial" w:cs="Arial"/>
                <w:sz w:val="22"/>
                <w:szCs w:val="22"/>
              </w:rPr>
              <w:t>490,920</w:t>
            </w:r>
          </w:p>
        </w:tc>
        <w:tc>
          <w:tcPr>
            <w:tcW w:w="1195" w:type="dxa"/>
            <w:tcBorders>
              <w:top w:val="nil"/>
              <w:left w:val="nil"/>
              <w:bottom w:val="nil"/>
              <w:right w:val="nil"/>
            </w:tcBorders>
            <w:noWrap/>
          </w:tcPr>
          <w:p w14:paraId="18A592EB" w14:textId="3EC34A9A" w:rsidR="002A0C5E" w:rsidRPr="00EA572E" w:rsidRDefault="00E66356" w:rsidP="002A0C5E">
            <w:pPr>
              <w:jc w:val="right"/>
              <w:rPr>
                <w:rFonts w:ascii="Arial" w:hAnsi="Arial" w:cs="Arial"/>
                <w:sz w:val="22"/>
                <w:szCs w:val="22"/>
              </w:rPr>
            </w:pPr>
            <w:r>
              <w:rPr>
                <w:rFonts w:ascii="Arial" w:hAnsi="Arial" w:cs="Arial"/>
                <w:sz w:val="22"/>
                <w:szCs w:val="22"/>
              </w:rPr>
              <w:t>490,920</w:t>
            </w:r>
          </w:p>
        </w:tc>
        <w:tc>
          <w:tcPr>
            <w:tcW w:w="1195" w:type="dxa"/>
            <w:tcBorders>
              <w:top w:val="nil"/>
              <w:left w:val="nil"/>
              <w:bottom w:val="nil"/>
              <w:right w:val="nil"/>
            </w:tcBorders>
            <w:noWrap/>
          </w:tcPr>
          <w:p w14:paraId="2301FDFD" w14:textId="7529BD09" w:rsidR="002A0C5E" w:rsidRPr="00EA572E" w:rsidRDefault="00E66356" w:rsidP="002A0C5E">
            <w:pPr>
              <w:jc w:val="right"/>
              <w:rPr>
                <w:rFonts w:ascii="Arial" w:hAnsi="Arial" w:cs="Arial"/>
                <w:sz w:val="22"/>
                <w:szCs w:val="22"/>
              </w:rPr>
            </w:pPr>
            <w:r>
              <w:rPr>
                <w:rFonts w:ascii="Arial" w:hAnsi="Arial" w:cs="Arial"/>
                <w:sz w:val="22"/>
                <w:szCs w:val="22"/>
              </w:rPr>
              <w:t>490,920</w:t>
            </w:r>
          </w:p>
        </w:tc>
        <w:tc>
          <w:tcPr>
            <w:tcW w:w="1195" w:type="dxa"/>
            <w:tcBorders>
              <w:top w:val="nil"/>
              <w:left w:val="nil"/>
              <w:bottom w:val="nil"/>
              <w:right w:val="nil"/>
            </w:tcBorders>
            <w:noWrap/>
          </w:tcPr>
          <w:p w14:paraId="1E79AABA" w14:textId="6218EADB" w:rsidR="002A0C5E" w:rsidRPr="00EA572E" w:rsidRDefault="00E66356" w:rsidP="002A0C5E">
            <w:pPr>
              <w:jc w:val="right"/>
              <w:rPr>
                <w:rFonts w:ascii="Arial" w:hAnsi="Arial" w:cs="Arial"/>
                <w:sz w:val="22"/>
                <w:szCs w:val="22"/>
              </w:rPr>
            </w:pPr>
            <w:r>
              <w:rPr>
                <w:rFonts w:ascii="Arial" w:hAnsi="Arial" w:cs="Arial"/>
                <w:sz w:val="22"/>
                <w:szCs w:val="22"/>
              </w:rPr>
              <w:t>490,920</w:t>
            </w:r>
          </w:p>
        </w:tc>
        <w:tc>
          <w:tcPr>
            <w:tcW w:w="1195" w:type="dxa"/>
            <w:tcBorders>
              <w:top w:val="nil"/>
              <w:left w:val="nil"/>
              <w:bottom w:val="nil"/>
              <w:right w:val="nil"/>
            </w:tcBorders>
            <w:noWrap/>
          </w:tcPr>
          <w:p w14:paraId="3C9776EA" w14:textId="470A1E51" w:rsidR="002A0C5E" w:rsidRPr="00EA572E" w:rsidRDefault="00E66356" w:rsidP="002A0C5E">
            <w:pPr>
              <w:jc w:val="right"/>
              <w:rPr>
                <w:rFonts w:ascii="Arial" w:hAnsi="Arial" w:cs="Arial"/>
                <w:sz w:val="22"/>
                <w:szCs w:val="22"/>
              </w:rPr>
            </w:pPr>
            <w:r>
              <w:rPr>
                <w:rFonts w:ascii="Arial" w:hAnsi="Arial" w:cs="Arial"/>
                <w:sz w:val="22"/>
                <w:szCs w:val="22"/>
              </w:rPr>
              <w:t>490,920</w:t>
            </w:r>
          </w:p>
        </w:tc>
        <w:tc>
          <w:tcPr>
            <w:tcW w:w="1195" w:type="dxa"/>
            <w:tcBorders>
              <w:top w:val="nil"/>
              <w:left w:val="nil"/>
              <w:bottom w:val="nil"/>
              <w:right w:val="nil"/>
            </w:tcBorders>
            <w:noWrap/>
          </w:tcPr>
          <w:p w14:paraId="19B9C494" w14:textId="47A89235" w:rsidR="002A0C5E" w:rsidRPr="00EA572E" w:rsidRDefault="00E66356" w:rsidP="002A0C5E">
            <w:pPr>
              <w:jc w:val="right"/>
              <w:rPr>
                <w:rFonts w:ascii="Arial" w:hAnsi="Arial" w:cs="Arial"/>
                <w:sz w:val="22"/>
                <w:szCs w:val="22"/>
              </w:rPr>
            </w:pPr>
            <w:r>
              <w:rPr>
                <w:rFonts w:ascii="Arial" w:hAnsi="Arial" w:cs="Arial"/>
                <w:sz w:val="22"/>
                <w:szCs w:val="22"/>
              </w:rPr>
              <w:t>490,920</w:t>
            </w:r>
          </w:p>
        </w:tc>
      </w:tr>
      <w:tr w:rsidR="00215458" w:rsidRPr="006D70F0" w14:paraId="337D4625" w14:textId="77777777" w:rsidTr="00397951">
        <w:trPr>
          <w:trHeight w:val="284"/>
        </w:trPr>
        <w:tc>
          <w:tcPr>
            <w:tcW w:w="3550" w:type="dxa"/>
            <w:tcBorders>
              <w:top w:val="nil"/>
              <w:left w:val="nil"/>
              <w:bottom w:val="nil"/>
              <w:right w:val="nil"/>
            </w:tcBorders>
            <w:hideMark/>
          </w:tcPr>
          <w:p w14:paraId="3B34E07C" w14:textId="77777777" w:rsidR="002A0C5E" w:rsidRPr="00C83757" w:rsidRDefault="002A0C5E" w:rsidP="002A0C5E">
            <w:pPr>
              <w:rPr>
                <w:rFonts w:ascii="Arial" w:hAnsi="Arial" w:cs="Arial"/>
                <w:sz w:val="22"/>
                <w:szCs w:val="22"/>
              </w:rPr>
            </w:pPr>
            <w:r w:rsidRPr="00C83757">
              <w:rPr>
                <w:rFonts w:ascii="Arial" w:hAnsi="Arial" w:cs="Arial"/>
                <w:sz w:val="22"/>
                <w:szCs w:val="22"/>
              </w:rPr>
              <w:t>IT Reserve</w:t>
            </w:r>
          </w:p>
        </w:tc>
        <w:tc>
          <w:tcPr>
            <w:tcW w:w="1318" w:type="dxa"/>
            <w:tcBorders>
              <w:top w:val="nil"/>
              <w:left w:val="nil"/>
              <w:bottom w:val="nil"/>
              <w:right w:val="nil"/>
            </w:tcBorders>
            <w:noWrap/>
          </w:tcPr>
          <w:p w14:paraId="7694D447" w14:textId="1C98B83A" w:rsidR="002A0C5E" w:rsidRPr="00C83757" w:rsidRDefault="00C34634" w:rsidP="002A0C5E">
            <w:pPr>
              <w:jc w:val="right"/>
              <w:rPr>
                <w:rFonts w:ascii="Arial" w:hAnsi="Arial" w:cs="Arial"/>
                <w:sz w:val="22"/>
                <w:szCs w:val="22"/>
              </w:rPr>
            </w:pPr>
            <w:r w:rsidRPr="00C83757">
              <w:rPr>
                <w:rFonts w:ascii="Arial" w:hAnsi="Arial" w:cs="Arial"/>
                <w:sz w:val="22"/>
                <w:szCs w:val="22"/>
              </w:rPr>
              <w:t>386</w:t>
            </w:r>
            <w:r w:rsidR="00A23B0A" w:rsidRPr="00C83757">
              <w:rPr>
                <w:rFonts w:ascii="Arial" w:hAnsi="Arial" w:cs="Arial"/>
                <w:sz w:val="22"/>
                <w:szCs w:val="22"/>
              </w:rPr>
              <w:t>,280</w:t>
            </w:r>
          </w:p>
        </w:tc>
        <w:tc>
          <w:tcPr>
            <w:tcW w:w="1195" w:type="dxa"/>
            <w:tcBorders>
              <w:top w:val="nil"/>
              <w:left w:val="nil"/>
              <w:bottom w:val="nil"/>
              <w:right w:val="nil"/>
            </w:tcBorders>
            <w:noWrap/>
          </w:tcPr>
          <w:p w14:paraId="46A0A2D3" w14:textId="76F12E90" w:rsidR="002A0C5E" w:rsidRPr="00C83757" w:rsidRDefault="0001795D" w:rsidP="002A0C5E">
            <w:pPr>
              <w:jc w:val="right"/>
              <w:rPr>
                <w:rFonts w:ascii="Arial" w:hAnsi="Arial" w:cs="Arial"/>
                <w:sz w:val="22"/>
                <w:szCs w:val="22"/>
              </w:rPr>
            </w:pPr>
            <w:r w:rsidRPr="00C83757">
              <w:rPr>
                <w:rFonts w:ascii="Arial" w:hAnsi="Arial" w:cs="Arial"/>
                <w:sz w:val="22"/>
                <w:szCs w:val="22"/>
              </w:rPr>
              <w:t>476</w:t>
            </w:r>
            <w:r w:rsidR="00A23B0A" w:rsidRPr="00C83757">
              <w:rPr>
                <w:rFonts w:ascii="Arial" w:hAnsi="Arial" w:cs="Arial"/>
                <w:sz w:val="22"/>
                <w:szCs w:val="22"/>
              </w:rPr>
              <w:t>,280</w:t>
            </w:r>
          </w:p>
        </w:tc>
        <w:tc>
          <w:tcPr>
            <w:tcW w:w="1195" w:type="dxa"/>
            <w:tcBorders>
              <w:top w:val="nil"/>
              <w:left w:val="nil"/>
              <w:bottom w:val="nil"/>
              <w:right w:val="nil"/>
            </w:tcBorders>
            <w:noWrap/>
          </w:tcPr>
          <w:p w14:paraId="1B935C62" w14:textId="72447A4A" w:rsidR="002A0C5E" w:rsidRPr="00C83757" w:rsidRDefault="00692DAE" w:rsidP="002A0C5E">
            <w:pPr>
              <w:jc w:val="right"/>
              <w:rPr>
                <w:rFonts w:ascii="Arial" w:hAnsi="Arial" w:cs="Arial"/>
                <w:sz w:val="22"/>
                <w:szCs w:val="22"/>
              </w:rPr>
            </w:pPr>
            <w:r w:rsidRPr="00C83757">
              <w:rPr>
                <w:rFonts w:ascii="Arial" w:hAnsi="Arial" w:cs="Arial"/>
                <w:sz w:val="22"/>
                <w:szCs w:val="22"/>
              </w:rPr>
              <w:t>566</w:t>
            </w:r>
            <w:r w:rsidR="006E1A18" w:rsidRPr="00C83757">
              <w:rPr>
                <w:rFonts w:ascii="Arial" w:hAnsi="Arial" w:cs="Arial"/>
                <w:sz w:val="22"/>
                <w:szCs w:val="22"/>
              </w:rPr>
              <w:t>,280</w:t>
            </w:r>
          </w:p>
        </w:tc>
        <w:tc>
          <w:tcPr>
            <w:tcW w:w="1195" w:type="dxa"/>
            <w:tcBorders>
              <w:top w:val="nil"/>
              <w:left w:val="nil"/>
              <w:bottom w:val="nil"/>
              <w:right w:val="nil"/>
            </w:tcBorders>
            <w:noWrap/>
          </w:tcPr>
          <w:p w14:paraId="7F4BEC5F" w14:textId="0769C792" w:rsidR="002A0C5E" w:rsidRPr="00C83757" w:rsidRDefault="00A5160E" w:rsidP="002A0C5E">
            <w:pPr>
              <w:jc w:val="right"/>
              <w:rPr>
                <w:rFonts w:ascii="Arial" w:hAnsi="Arial" w:cs="Arial"/>
                <w:sz w:val="22"/>
                <w:szCs w:val="22"/>
              </w:rPr>
            </w:pPr>
            <w:r w:rsidRPr="00C83757">
              <w:rPr>
                <w:rFonts w:ascii="Arial" w:hAnsi="Arial" w:cs="Arial"/>
                <w:sz w:val="22"/>
                <w:szCs w:val="22"/>
              </w:rPr>
              <w:t>656</w:t>
            </w:r>
            <w:r w:rsidR="006E1A18" w:rsidRPr="00C83757">
              <w:rPr>
                <w:rFonts w:ascii="Arial" w:hAnsi="Arial" w:cs="Arial"/>
                <w:sz w:val="22"/>
                <w:szCs w:val="22"/>
              </w:rPr>
              <w:t>,280</w:t>
            </w:r>
          </w:p>
        </w:tc>
        <w:tc>
          <w:tcPr>
            <w:tcW w:w="1195" w:type="dxa"/>
            <w:tcBorders>
              <w:top w:val="nil"/>
              <w:left w:val="nil"/>
              <w:bottom w:val="nil"/>
              <w:right w:val="nil"/>
            </w:tcBorders>
            <w:noWrap/>
          </w:tcPr>
          <w:p w14:paraId="1EB7F160" w14:textId="1FF49A43" w:rsidR="002A0C5E" w:rsidRPr="00C83757" w:rsidRDefault="00197DF5" w:rsidP="002A0C5E">
            <w:pPr>
              <w:jc w:val="right"/>
              <w:rPr>
                <w:rFonts w:ascii="Arial" w:hAnsi="Arial" w:cs="Arial"/>
                <w:sz w:val="22"/>
                <w:szCs w:val="22"/>
              </w:rPr>
            </w:pPr>
            <w:r w:rsidRPr="00C83757">
              <w:rPr>
                <w:rFonts w:ascii="Arial" w:hAnsi="Arial" w:cs="Arial"/>
                <w:sz w:val="22"/>
                <w:szCs w:val="22"/>
              </w:rPr>
              <w:t>746</w:t>
            </w:r>
            <w:r w:rsidR="006E1A18" w:rsidRPr="00C83757">
              <w:rPr>
                <w:rFonts w:ascii="Arial" w:hAnsi="Arial" w:cs="Arial"/>
                <w:sz w:val="22"/>
                <w:szCs w:val="22"/>
              </w:rPr>
              <w:t>,280</w:t>
            </w:r>
          </w:p>
        </w:tc>
        <w:tc>
          <w:tcPr>
            <w:tcW w:w="1195" w:type="dxa"/>
            <w:tcBorders>
              <w:top w:val="nil"/>
              <w:left w:val="nil"/>
              <w:bottom w:val="nil"/>
              <w:right w:val="nil"/>
            </w:tcBorders>
            <w:noWrap/>
          </w:tcPr>
          <w:p w14:paraId="11B3A2E8" w14:textId="7664B851" w:rsidR="002A0C5E" w:rsidRPr="00C83757" w:rsidRDefault="00C83757" w:rsidP="002A0C5E">
            <w:pPr>
              <w:jc w:val="right"/>
              <w:rPr>
                <w:rFonts w:ascii="Arial" w:hAnsi="Arial" w:cs="Arial"/>
                <w:sz w:val="22"/>
                <w:szCs w:val="22"/>
              </w:rPr>
            </w:pPr>
            <w:r w:rsidRPr="00C83757">
              <w:rPr>
                <w:rFonts w:ascii="Arial" w:hAnsi="Arial" w:cs="Arial"/>
                <w:sz w:val="22"/>
                <w:szCs w:val="22"/>
              </w:rPr>
              <w:t>836</w:t>
            </w:r>
            <w:r w:rsidR="006E1A18" w:rsidRPr="00C83757">
              <w:rPr>
                <w:rFonts w:ascii="Arial" w:hAnsi="Arial" w:cs="Arial"/>
                <w:sz w:val="22"/>
                <w:szCs w:val="22"/>
              </w:rPr>
              <w:t>,280</w:t>
            </w:r>
          </w:p>
        </w:tc>
      </w:tr>
      <w:tr w:rsidR="00215458" w:rsidRPr="006D70F0" w14:paraId="3709BCC5" w14:textId="77777777" w:rsidTr="00397951">
        <w:trPr>
          <w:trHeight w:val="284"/>
        </w:trPr>
        <w:tc>
          <w:tcPr>
            <w:tcW w:w="3550" w:type="dxa"/>
            <w:tcBorders>
              <w:top w:val="nil"/>
              <w:left w:val="nil"/>
              <w:bottom w:val="nil"/>
              <w:right w:val="nil"/>
            </w:tcBorders>
          </w:tcPr>
          <w:p w14:paraId="67F8C531" w14:textId="77777777" w:rsidR="002A0C5E" w:rsidRPr="00570F3D" w:rsidRDefault="002A0C5E" w:rsidP="002A0C5E">
            <w:pPr>
              <w:rPr>
                <w:rFonts w:ascii="Arial" w:hAnsi="Arial" w:cs="Arial"/>
                <w:sz w:val="22"/>
                <w:szCs w:val="22"/>
              </w:rPr>
            </w:pPr>
            <w:r w:rsidRPr="00570F3D">
              <w:rPr>
                <w:rFonts w:ascii="Arial" w:hAnsi="Arial" w:cs="Arial"/>
                <w:sz w:val="22"/>
                <w:szCs w:val="22"/>
              </w:rPr>
              <w:t>Lincoln Lottery</w:t>
            </w:r>
          </w:p>
        </w:tc>
        <w:tc>
          <w:tcPr>
            <w:tcW w:w="1318" w:type="dxa"/>
            <w:tcBorders>
              <w:top w:val="nil"/>
              <w:left w:val="nil"/>
              <w:bottom w:val="nil"/>
              <w:right w:val="nil"/>
            </w:tcBorders>
            <w:noWrap/>
          </w:tcPr>
          <w:p w14:paraId="4DB1DB24" w14:textId="6B3650C5" w:rsidR="002A0C5E" w:rsidRPr="00570F3D" w:rsidRDefault="00BE342E" w:rsidP="002A0C5E">
            <w:pPr>
              <w:jc w:val="right"/>
              <w:rPr>
                <w:rFonts w:ascii="Arial" w:hAnsi="Arial" w:cs="Arial"/>
                <w:sz w:val="22"/>
                <w:szCs w:val="22"/>
              </w:rPr>
            </w:pPr>
            <w:r w:rsidRPr="00570F3D">
              <w:rPr>
                <w:rFonts w:ascii="Arial" w:hAnsi="Arial" w:cs="Arial"/>
                <w:sz w:val="22"/>
                <w:szCs w:val="22"/>
              </w:rPr>
              <w:t>8,</w:t>
            </w:r>
            <w:r w:rsidR="00570F3D" w:rsidRPr="00570F3D">
              <w:rPr>
                <w:rFonts w:ascii="Arial" w:hAnsi="Arial" w:cs="Arial"/>
                <w:sz w:val="22"/>
                <w:szCs w:val="22"/>
              </w:rPr>
              <w:t>9</w:t>
            </w:r>
            <w:r w:rsidRPr="00570F3D">
              <w:rPr>
                <w:rFonts w:ascii="Arial" w:hAnsi="Arial" w:cs="Arial"/>
                <w:sz w:val="22"/>
                <w:szCs w:val="22"/>
              </w:rPr>
              <w:t>30</w:t>
            </w:r>
          </w:p>
        </w:tc>
        <w:tc>
          <w:tcPr>
            <w:tcW w:w="1195" w:type="dxa"/>
            <w:tcBorders>
              <w:top w:val="nil"/>
              <w:left w:val="nil"/>
              <w:bottom w:val="nil"/>
              <w:right w:val="nil"/>
            </w:tcBorders>
            <w:noWrap/>
          </w:tcPr>
          <w:p w14:paraId="3B30D4F6" w14:textId="0F2C5A2A" w:rsidR="002A0C5E" w:rsidRPr="00570F3D" w:rsidRDefault="00BE342E" w:rsidP="002A0C5E">
            <w:pPr>
              <w:jc w:val="right"/>
              <w:rPr>
                <w:rFonts w:ascii="Arial" w:hAnsi="Arial" w:cs="Arial"/>
                <w:sz w:val="22"/>
                <w:szCs w:val="22"/>
              </w:rPr>
            </w:pPr>
            <w:r w:rsidRPr="00570F3D">
              <w:rPr>
                <w:rFonts w:ascii="Arial" w:hAnsi="Arial" w:cs="Arial"/>
                <w:sz w:val="22"/>
                <w:szCs w:val="22"/>
              </w:rPr>
              <w:t>8,</w:t>
            </w:r>
            <w:r w:rsidR="00570F3D" w:rsidRPr="00570F3D">
              <w:rPr>
                <w:rFonts w:ascii="Arial" w:hAnsi="Arial" w:cs="Arial"/>
                <w:sz w:val="22"/>
                <w:szCs w:val="22"/>
              </w:rPr>
              <w:t>930</w:t>
            </w:r>
          </w:p>
        </w:tc>
        <w:tc>
          <w:tcPr>
            <w:tcW w:w="1195" w:type="dxa"/>
            <w:tcBorders>
              <w:top w:val="nil"/>
              <w:left w:val="nil"/>
              <w:bottom w:val="nil"/>
              <w:right w:val="nil"/>
            </w:tcBorders>
            <w:noWrap/>
          </w:tcPr>
          <w:p w14:paraId="5B66B5E3" w14:textId="13C82E49" w:rsidR="002A0C5E" w:rsidRPr="00570F3D" w:rsidRDefault="00BE342E" w:rsidP="002A0C5E">
            <w:pPr>
              <w:jc w:val="right"/>
              <w:rPr>
                <w:rFonts w:ascii="Arial" w:hAnsi="Arial" w:cs="Arial"/>
                <w:sz w:val="22"/>
                <w:szCs w:val="22"/>
              </w:rPr>
            </w:pPr>
            <w:r w:rsidRPr="00570F3D">
              <w:rPr>
                <w:rFonts w:ascii="Arial" w:hAnsi="Arial" w:cs="Arial"/>
                <w:sz w:val="22"/>
                <w:szCs w:val="22"/>
              </w:rPr>
              <w:t>8,</w:t>
            </w:r>
            <w:r w:rsidR="00570F3D" w:rsidRPr="00570F3D">
              <w:rPr>
                <w:rFonts w:ascii="Arial" w:hAnsi="Arial" w:cs="Arial"/>
                <w:sz w:val="22"/>
                <w:szCs w:val="22"/>
              </w:rPr>
              <w:t>930</w:t>
            </w:r>
          </w:p>
        </w:tc>
        <w:tc>
          <w:tcPr>
            <w:tcW w:w="1195" w:type="dxa"/>
            <w:tcBorders>
              <w:top w:val="nil"/>
              <w:left w:val="nil"/>
              <w:bottom w:val="nil"/>
              <w:right w:val="nil"/>
            </w:tcBorders>
            <w:noWrap/>
          </w:tcPr>
          <w:p w14:paraId="0E5C9B1C" w14:textId="1CF750F4" w:rsidR="002A0C5E" w:rsidRPr="00570F3D" w:rsidRDefault="00BE342E" w:rsidP="002A0C5E">
            <w:pPr>
              <w:jc w:val="right"/>
              <w:rPr>
                <w:rFonts w:ascii="Arial" w:hAnsi="Arial" w:cs="Arial"/>
                <w:sz w:val="22"/>
                <w:szCs w:val="22"/>
              </w:rPr>
            </w:pPr>
            <w:r w:rsidRPr="00570F3D">
              <w:rPr>
                <w:rFonts w:ascii="Arial" w:hAnsi="Arial" w:cs="Arial"/>
                <w:sz w:val="22"/>
                <w:szCs w:val="22"/>
              </w:rPr>
              <w:t>8,</w:t>
            </w:r>
            <w:r w:rsidR="00570F3D" w:rsidRPr="00570F3D">
              <w:rPr>
                <w:rFonts w:ascii="Arial" w:hAnsi="Arial" w:cs="Arial"/>
                <w:sz w:val="22"/>
                <w:szCs w:val="22"/>
              </w:rPr>
              <w:t>930</w:t>
            </w:r>
          </w:p>
        </w:tc>
        <w:tc>
          <w:tcPr>
            <w:tcW w:w="1195" w:type="dxa"/>
            <w:tcBorders>
              <w:top w:val="nil"/>
              <w:left w:val="nil"/>
              <w:bottom w:val="nil"/>
              <w:right w:val="nil"/>
            </w:tcBorders>
            <w:noWrap/>
          </w:tcPr>
          <w:p w14:paraId="11B74C41" w14:textId="511EB6A1" w:rsidR="002A0C5E" w:rsidRPr="00570F3D" w:rsidRDefault="00BE342E" w:rsidP="002A0C5E">
            <w:pPr>
              <w:jc w:val="right"/>
              <w:rPr>
                <w:rFonts w:ascii="Arial" w:hAnsi="Arial" w:cs="Arial"/>
                <w:sz w:val="22"/>
                <w:szCs w:val="22"/>
              </w:rPr>
            </w:pPr>
            <w:r w:rsidRPr="00570F3D">
              <w:rPr>
                <w:rFonts w:ascii="Arial" w:hAnsi="Arial" w:cs="Arial"/>
                <w:sz w:val="22"/>
                <w:szCs w:val="22"/>
              </w:rPr>
              <w:t>8,</w:t>
            </w:r>
            <w:r w:rsidR="00570F3D" w:rsidRPr="00570F3D">
              <w:rPr>
                <w:rFonts w:ascii="Arial" w:hAnsi="Arial" w:cs="Arial"/>
                <w:sz w:val="22"/>
                <w:szCs w:val="22"/>
              </w:rPr>
              <w:t>930</w:t>
            </w:r>
          </w:p>
        </w:tc>
        <w:tc>
          <w:tcPr>
            <w:tcW w:w="1195" w:type="dxa"/>
            <w:tcBorders>
              <w:top w:val="nil"/>
              <w:left w:val="nil"/>
              <w:bottom w:val="nil"/>
              <w:right w:val="nil"/>
            </w:tcBorders>
            <w:noWrap/>
          </w:tcPr>
          <w:p w14:paraId="3FF50D3D" w14:textId="1F2A1D24" w:rsidR="002A0C5E" w:rsidRPr="00570F3D" w:rsidRDefault="00BE342E" w:rsidP="002A0C5E">
            <w:pPr>
              <w:jc w:val="right"/>
              <w:rPr>
                <w:rFonts w:ascii="Arial" w:hAnsi="Arial" w:cs="Arial"/>
                <w:sz w:val="22"/>
                <w:szCs w:val="22"/>
              </w:rPr>
            </w:pPr>
            <w:r w:rsidRPr="00570F3D">
              <w:rPr>
                <w:rFonts w:ascii="Arial" w:hAnsi="Arial" w:cs="Arial"/>
                <w:sz w:val="22"/>
                <w:szCs w:val="22"/>
              </w:rPr>
              <w:t>8,</w:t>
            </w:r>
            <w:r w:rsidR="00570F3D" w:rsidRPr="00570F3D">
              <w:rPr>
                <w:rFonts w:ascii="Arial" w:hAnsi="Arial" w:cs="Arial"/>
                <w:sz w:val="22"/>
                <w:szCs w:val="22"/>
              </w:rPr>
              <w:t>930</w:t>
            </w:r>
          </w:p>
        </w:tc>
      </w:tr>
      <w:tr w:rsidR="00215458" w:rsidRPr="006D70F0" w14:paraId="3720D160" w14:textId="77777777" w:rsidTr="00397951">
        <w:trPr>
          <w:trHeight w:val="284"/>
        </w:trPr>
        <w:tc>
          <w:tcPr>
            <w:tcW w:w="3550" w:type="dxa"/>
            <w:tcBorders>
              <w:top w:val="nil"/>
              <w:left w:val="nil"/>
              <w:bottom w:val="nil"/>
              <w:right w:val="nil"/>
            </w:tcBorders>
            <w:hideMark/>
          </w:tcPr>
          <w:p w14:paraId="0B9BA2B8" w14:textId="77777777" w:rsidR="002A0C5E" w:rsidRPr="00CA6CA4" w:rsidRDefault="002A0C5E" w:rsidP="002A0C5E">
            <w:pPr>
              <w:rPr>
                <w:rFonts w:ascii="Arial" w:hAnsi="Arial" w:cs="Arial"/>
                <w:sz w:val="22"/>
                <w:szCs w:val="22"/>
              </w:rPr>
            </w:pPr>
            <w:r w:rsidRPr="00CA6CA4">
              <w:rPr>
                <w:rFonts w:ascii="Arial" w:hAnsi="Arial" w:cs="Arial"/>
                <w:sz w:val="22"/>
                <w:szCs w:val="22"/>
              </w:rPr>
              <w:t>Mayoral Car</w:t>
            </w:r>
          </w:p>
        </w:tc>
        <w:tc>
          <w:tcPr>
            <w:tcW w:w="1318" w:type="dxa"/>
            <w:tcBorders>
              <w:top w:val="nil"/>
              <w:left w:val="nil"/>
              <w:bottom w:val="nil"/>
              <w:right w:val="nil"/>
            </w:tcBorders>
            <w:noWrap/>
          </w:tcPr>
          <w:p w14:paraId="6CBE1574" w14:textId="1CA1B1FC" w:rsidR="002A0C5E" w:rsidRPr="00CA6CA4" w:rsidRDefault="002A0C5E" w:rsidP="002A0C5E">
            <w:pPr>
              <w:jc w:val="right"/>
              <w:rPr>
                <w:rFonts w:ascii="Arial" w:hAnsi="Arial" w:cs="Arial"/>
                <w:sz w:val="22"/>
                <w:szCs w:val="22"/>
              </w:rPr>
            </w:pPr>
            <w:r w:rsidRPr="00CA6CA4">
              <w:rPr>
                <w:rFonts w:ascii="Arial" w:hAnsi="Arial" w:cs="Arial"/>
                <w:sz w:val="22"/>
                <w:szCs w:val="22"/>
              </w:rPr>
              <w:t>7,100</w:t>
            </w:r>
          </w:p>
        </w:tc>
        <w:tc>
          <w:tcPr>
            <w:tcW w:w="1195" w:type="dxa"/>
            <w:tcBorders>
              <w:top w:val="nil"/>
              <w:left w:val="nil"/>
              <w:bottom w:val="nil"/>
              <w:right w:val="nil"/>
            </w:tcBorders>
            <w:noWrap/>
          </w:tcPr>
          <w:p w14:paraId="5349EE36" w14:textId="750A08D5" w:rsidR="002A0C5E" w:rsidRPr="00CA6CA4" w:rsidRDefault="002A0C5E" w:rsidP="002A0C5E">
            <w:pPr>
              <w:jc w:val="right"/>
              <w:rPr>
                <w:rFonts w:ascii="Arial" w:hAnsi="Arial" w:cs="Arial"/>
                <w:sz w:val="22"/>
                <w:szCs w:val="22"/>
              </w:rPr>
            </w:pPr>
            <w:r w:rsidRPr="00CA6CA4">
              <w:rPr>
                <w:rFonts w:ascii="Arial" w:hAnsi="Arial" w:cs="Arial"/>
                <w:sz w:val="22"/>
                <w:szCs w:val="22"/>
              </w:rPr>
              <w:t>7,100</w:t>
            </w:r>
          </w:p>
        </w:tc>
        <w:tc>
          <w:tcPr>
            <w:tcW w:w="1195" w:type="dxa"/>
            <w:tcBorders>
              <w:top w:val="nil"/>
              <w:left w:val="nil"/>
              <w:bottom w:val="nil"/>
              <w:right w:val="nil"/>
            </w:tcBorders>
            <w:noWrap/>
          </w:tcPr>
          <w:p w14:paraId="56447D2F" w14:textId="6921D841" w:rsidR="002A0C5E" w:rsidRPr="00CA6CA4" w:rsidRDefault="002A0C5E" w:rsidP="002A0C5E">
            <w:pPr>
              <w:jc w:val="right"/>
              <w:rPr>
                <w:rFonts w:ascii="Arial" w:hAnsi="Arial" w:cs="Arial"/>
                <w:sz w:val="22"/>
                <w:szCs w:val="22"/>
              </w:rPr>
            </w:pPr>
            <w:r w:rsidRPr="00CA6CA4">
              <w:rPr>
                <w:rFonts w:ascii="Arial" w:hAnsi="Arial" w:cs="Arial"/>
                <w:sz w:val="22"/>
                <w:szCs w:val="22"/>
              </w:rPr>
              <w:t>7,100</w:t>
            </w:r>
          </w:p>
        </w:tc>
        <w:tc>
          <w:tcPr>
            <w:tcW w:w="1195" w:type="dxa"/>
            <w:tcBorders>
              <w:top w:val="nil"/>
              <w:left w:val="nil"/>
              <w:bottom w:val="nil"/>
              <w:right w:val="nil"/>
            </w:tcBorders>
            <w:noWrap/>
          </w:tcPr>
          <w:p w14:paraId="1C835FAC" w14:textId="005C9D90" w:rsidR="002A0C5E" w:rsidRPr="00CA6CA4" w:rsidRDefault="002A0C5E" w:rsidP="002A0C5E">
            <w:pPr>
              <w:jc w:val="right"/>
              <w:rPr>
                <w:rFonts w:ascii="Arial" w:hAnsi="Arial" w:cs="Arial"/>
                <w:sz w:val="22"/>
                <w:szCs w:val="22"/>
              </w:rPr>
            </w:pPr>
            <w:r w:rsidRPr="00CA6CA4">
              <w:rPr>
                <w:rFonts w:ascii="Arial" w:hAnsi="Arial" w:cs="Arial"/>
                <w:sz w:val="22"/>
                <w:szCs w:val="22"/>
              </w:rPr>
              <w:t>7,100</w:t>
            </w:r>
          </w:p>
        </w:tc>
        <w:tc>
          <w:tcPr>
            <w:tcW w:w="1195" w:type="dxa"/>
            <w:tcBorders>
              <w:top w:val="nil"/>
              <w:left w:val="nil"/>
              <w:bottom w:val="nil"/>
              <w:right w:val="nil"/>
            </w:tcBorders>
            <w:noWrap/>
          </w:tcPr>
          <w:p w14:paraId="76FA1D07" w14:textId="572E198C" w:rsidR="002A0C5E" w:rsidRPr="00CA6CA4" w:rsidRDefault="002A0C5E" w:rsidP="002A0C5E">
            <w:pPr>
              <w:jc w:val="right"/>
              <w:rPr>
                <w:rFonts w:ascii="Arial" w:hAnsi="Arial" w:cs="Arial"/>
                <w:sz w:val="22"/>
                <w:szCs w:val="22"/>
              </w:rPr>
            </w:pPr>
            <w:r w:rsidRPr="00CA6CA4">
              <w:rPr>
                <w:rFonts w:ascii="Arial" w:hAnsi="Arial" w:cs="Arial"/>
                <w:sz w:val="22"/>
                <w:szCs w:val="22"/>
              </w:rPr>
              <w:t>7,100</w:t>
            </w:r>
          </w:p>
        </w:tc>
        <w:tc>
          <w:tcPr>
            <w:tcW w:w="1195" w:type="dxa"/>
            <w:tcBorders>
              <w:top w:val="nil"/>
              <w:left w:val="nil"/>
              <w:bottom w:val="nil"/>
              <w:right w:val="nil"/>
            </w:tcBorders>
            <w:noWrap/>
          </w:tcPr>
          <w:p w14:paraId="743883AF" w14:textId="22BD9998" w:rsidR="002A0C5E" w:rsidRPr="00CA6CA4" w:rsidRDefault="002A0C5E" w:rsidP="002A0C5E">
            <w:pPr>
              <w:jc w:val="right"/>
              <w:rPr>
                <w:rFonts w:ascii="Arial" w:hAnsi="Arial" w:cs="Arial"/>
                <w:sz w:val="22"/>
                <w:szCs w:val="22"/>
              </w:rPr>
            </w:pPr>
            <w:r w:rsidRPr="00CA6CA4">
              <w:rPr>
                <w:rFonts w:ascii="Arial" w:hAnsi="Arial" w:cs="Arial"/>
                <w:sz w:val="22"/>
                <w:szCs w:val="22"/>
              </w:rPr>
              <w:t>7,100</w:t>
            </w:r>
          </w:p>
        </w:tc>
      </w:tr>
      <w:tr w:rsidR="00215458" w:rsidRPr="006D70F0" w14:paraId="26996198" w14:textId="77777777" w:rsidTr="00397951">
        <w:trPr>
          <w:trHeight w:val="284"/>
        </w:trPr>
        <w:tc>
          <w:tcPr>
            <w:tcW w:w="3550" w:type="dxa"/>
            <w:tcBorders>
              <w:top w:val="nil"/>
              <w:left w:val="nil"/>
              <w:bottom w:val="nil"/>
              <w:right w:val="nil"/>
            </w:tcBorders>
          </w:tcPr>
          <w:p w14:paraId="05AE1151" w14:textId="10805EB1" w:rsidR="0037777E" w:rsidRPr="008342DE" w:rsidRDefault="00B62527" w:rsidP="0037777E">
            <w:pPr>
              <w:rPr>
                <w:rFonts w:ascii="Arial" w:hAnsi="Arial" w:cs="Arial"/>
                <w:sz w:val="22"/>
                <w:szCs w:val="22"/>
              </w:rPr>
            </w:pPr>
            <w:r>
              <w:rPr>
                <w:rFonts w:ascii="Arial" w:hAnsi="Arial" w:cs="Arial"/>
                <w:sz w:val="22"/>
                <w:szCs w:val="22"/>
              </w:rPr>
              <w:t>Lincoln Central</w:t>
            </w:r>
            <w:r w:rsidR="0037777E" w:rsidRPr="008342DE">
              <w:rPr>
                <w:rFonts w:ascii="Arial" w:hAnsi="Arial" w:cs="Arial"/>
                <w:sz w:val="22"/>
                <w:szCs w:val="22"/>
              </w:rPr>
              <w:t xml:space="preserve"> &amp; Bus Station Sinking Fund</w:t>
            </w:r>
          </w:p>
        </w:tc>
        <w:tc>
          <w:tcPr>
            <w:tcW w:w="1318" w:type="dxa"/>
            <w:tcBorders>
              <w:top w:val="nil"/>
              <w:left w:val="nil"/>
              <w:bottom w:val="nil"/>
              <w:right w:val="nil"/>
            </w:tcBorders>
            <w:noWrap/>
          </w:tcPr>
          <w:p w14:paraId="01DB00D5" w14:textId="3B527088" w:rsidR="0037777E" w:rsidRPr="008342DE" w:rsidRDefault="001719F4" w:rsidP="0037777E">
            <w:pPr>
              <w:jc w:val="right"/>
              <w:rPr>
                <w:rFonts w:ascii="Arial" w:hAnsi="Arial" w:cs="Arial"/>
                <w:sz w:val="22"/>
                <w:szCs w:val="22"/>
              </w:rPr>
            </w:pPr>
            <w:r w:rsidRPr="008342DE">
              <w:rPr>
                <w:rFonts w:ascii="Arial" w:hAnsi="Arial" w:cs="Arial"/>
                <w:sz w:val="22"/>
                <w:szCs w:val="22"/>
              </w:rPr>
              <w:t>289,840</w:t>
            </w:r>
          </w:p>
        </w:tc>
        <w:tc>
          <w:tcPr>
            <w:tcW w:w="1195" w:type="dxa"/>
            <w:tcBorders>
              <w:top w:val="nil"/>
              <w:left w:val="nil"/>
              <w:bottom w:val="nil"/>
              <w:right w:val="nil"/>
            </w:tcBorders>
            <w:noWrap/>
          </w:tcPr>
          <w:p w14:paraId="49BBABE4" w14:textId="17C0F6F0" w:rsidR="0037777E" w:rsidRPr="008342DE" w:rsidRDefault="00B3644B" w:rsidP="0037777E">
            <w:pPr>
              <w:jc w:val="right"/>
              <w:rPr>
                <w:rFonts w:ascii="Arial" w:hAnsi="Arial" w:cs="Arial"/>
                <w:sz w:val="22"/>
                <w:szCs w:val="22"/>
              </w:rPr>
            </w:pPr>
            <w:r w:rsidRPr="008342DE">
              <w:rPr>
                <w:rFonts w:ascii="Arial" w:hAnsi="Arial" w:cs="Arial"/>
                <w:sz w:val="22"/>
                <w:szCs w:val="22"/>
              </w:rPr>
              <w:t>338,610</w:t>
            </w:r>
          </w:p>
        </w:tc>
        <w:tc>
          <w:tcPr>
            <w:tcW w:w="1195" w:type="dxa"/>
            <w:tcBorders>
              <w:top w:val="nil"/>
              <w:left w:val="nil"/>
              <w:bottom w:val="nil"/>
              <w:right w:val="nil"/>
            </w:tcBorders>
            <w:noWrap/>
          </w:tcPr>
          <w:p w14:paraId="3FBE32BB" w14:textId="5C9D1EB3" w:rsidR="0037777E" w:rsidRPr="008342DE" w:rsidRDefault="00B3644B" w:rsidP="0037777E">
            <w:pPr>
              <w:jc w:val="right"/>
              <w:rPr>
                <w:rFonts w:ascii="Arial" w:hAnsi="Arial" w:cs="Arial"/>
                <w:sz w:val="22"/>
                <w:szCs w:val="22"/>
              </w:rPr>
            </w:pPr>
            <w:r w:rsidRPr="008342DE">
              <w:rPr>
                <w:rFonts w:ascii="Arial" w:hAnsi="Arial" w:cs="Arial"/>
                <w:sz w:val="22"/>
                <w:szCs w:val="22"/>
              </w:rPr>
              <w:t>388,360</w:t>
            </w:r>
          </w:p>
        </w:tc>
        <w:tc>
          <w:tcPr>
            <w:tcW w:w="1195" w:type="dxa"/>
            <w:tcBorders>
              <w:top w:val="nil"/>
              <w:left w:val="nil"/>
              <w:bottom w:val="nil"/>
              <w:right w:val="nil"/>
            </w:tcBorders>
            <w:noWrap/>
          </w:tcPr>
          <w:p w14:paraId="7EAD05CC" w14:textId="3A307835" w:rsidR="0037777E" w:rsidRPr="008342DE" w:rsidRDefault="00B3644B" w:rsidP="0037777E">
            <w:pPr>
              <w:jc w:val="right"/>
              <w:rPr>
                <w:rFonts w:ascii="Arial" w:hAnsi="Arial" w:cs="Arial"/>
                <w:sz w:val="22"/>
                <w:szCs w:val="22"/>
              </w:rPr>
            </w:pPr>
            <w:r w:rsidRPr="008342DE">
              <w:rPr>
                <w:rFonts w:ascii="Arial" w:hAnsi="Arial" w:cs="Arial"/>
                <w:sz w:val="22"/>
                <w:szCs w:val="22"/>
              </w:rPr>
              <w:t>439,110</w:t>
            </w:r>
          </w:p>
        </w:tc>
        <w:tc>
          <w:tcPr>
            <w:tcW w:w="1195" w:type="dxa"/>
            <w:tcBorders>
              <w:top w:val="nil"/>
              <w:left w:val="nil"/>
              <w:bottom w:val="nil"/>
              <w:right w:val="nil"/>
            </w:tcBorders>
            <w:noWrap/>
          </w:tcPr>
          <w:p w14:paraId="4EC46975" w14:textId="1A96BB7A" w:rsidR="0037777E" w:rsidRPr="008342DE" w:rsidRDefault="00B3644B" w:rsidP="0037777E">
            <w:pPr>
              <w:jc w:val="right"/>
              <w:rPr>
                <w:rFonts w:ascii="Arial" w:hAnsi="Arial" w:cs="Arial"/>
                <w:sz w:val="22"/>
                <w:szCs w:val="22"/>
              </w:rPr>
            </w:pPr>
            <w:r w:rsidRPr="008342DE">
              <w:rPr>
                <w:rFonts w:ascii="Arial" w:hAnsi="Arial" w:cs="Arial"/>
                <w:sz w:val="22"/>
                <w:szCs w:val="22"/>
              </w:rPr>
              <w:t>490,880</w:t>
            </w:r>
          </w:p>
        </w:tc>
        <w:tc>
          <w:tcPr>
            <w:tcW w:w="1195" w:type="dxa"/>
            <w:tcBorders>
              <w:top w:val="nil"/>
              <w:left w:val="nil"/>
              <w:bottom w:val="nil"/>
              <w:right w:val="nil"/>
            </w:tcBorders>
            <w:noWrap/>
          </w:tcPr>
          <w:p w14:paraId="600E7B34" w14:textId="58830EF2" w:rsidR="0037777E" w:rsidRPr="008342DE" w:rsidRDefault="008342DE" w:rsidP="0037777E">
            <w:pPr>
              <w:jc w:val="right"/>
              <w:rPr>
                <w:rFonts w:ascii="Arial" w:hAnsi="Arial" w:cs="Arial"/>
                <w:sz w:val="22"/>
                <w:szCs w:val="22"/>
              </w:rPr>
            </w:pPr>
            <w:r w:rsidRPr="008342DE">
              <w:rPr>
                <w:rFonts w:ascii="Arial" w:hAnsi="Arial" w:cs="Arial"/>
                <w:sz w:val="22"/>
                <w:szCs w:val="22"/>
              </w:rPr>
              <w:t>543,690</w:t>
            </w:r>
          </w:p>
        </w:tc>
      </w:tr>
      <w:tr w:rsidR="00215458" w:rsidRPr="006D70F0" w14:paraId="5D89AFAB" w14:textId="77777777" w:rsidTr="00397951">
        <w:trPr>
          <w:trHeight w:val="284"/>
        </w:trPr>
        <w:tc>
          <w:tcPr>
            <w:tcW w:w="3550" w:type="dxa"/>
            <w:tcBorders>
              <w:top w:val="nil"/>
              <w:left w:val="nil"/>
              <w:bottom w:val="nil"/>
              <w:right w:val="nil"/>
            </w:tcBorders>
            <w:hideMark/>
          </w:tcPr>
          <w:p w14:paraId="6541C6AE" w14:textId="77777777" w:rsidR="0037777E" w:rsidRPr="00776479" w:rsidRDefault="0037777E" w:rsidP="0037777E">
            <w:pPr>
              <w:rPr>
                <w:rFonts w:ascii="Arial" w:hAnsi="Arial" w:cs="Arial"/>
                <w:sz w:val="22"/>
                <w:szCs w:val="22"/>
              </w:rPr>
            </w:pPr>
            <w:r w:rsidRPr="00776479">
              <w:rPr>
                <w:rFonts w:ascii="Arial" w:hAnsi="Arial" w:cs="Arial"/>
                <w:sz w:val="22"/>
                <w:szCs w:val="22"/>
              </w:rPr>
              <w:t>Private Sector Stock Condition Survey</w:t>
            </w:r>
          </w:p>
        </w:tc>
        <w:tc>
          <w:tcPr>
            <w:tcW w:w="1318" w:type="dxa"/>
            <w:tcBorders>
              <w:top w:val="nil"/>
              <w:left w:val="nil"/>
              <w:bottom w:val="nil"/>
              <w:right w:val="nil"/>
            </w:tcBorders>
            <w:noWrap/>
          </w:tcPr>
          <w:p w14:paraId="276FDF79" w14:textId="4FA4AA71" w:rsidR="0037777E" w:rsidRPr="00776479" w:rsidRDefault="001E7ED0" w:rsidP="0037777E">
            <w:pPr>
              <w:jc w:val="right"/>
              <w:rPr>
                <w:rFonts w:ascii="Arial" w:hAnsi="Arial" w:cs="Arial"/>
                <w:sz w:val="22"/>
                <w:szCs w:val="22"/>
              </w:rPr>
            </w:pPr>
            <w:r w:rsidRPr="00776479">
              <w:rPr>
                <w:rFonts w:ascii="Arial" w:hAnsi="Arial" w:cs="Arial"/>
                <w:sz w:val="22"/>
                <w:szCs w:val="22"/>
              </w:rPr>
              <w:t>25,260</w:t>
            </w:r>
          </w:p>
        </w:tc>
        <w:tc>
          <w:tcPr>
            <w:tcW w:w="1195" w:type="dxa"/>
            <w:tcBorders>
              <w:top w:val="nil"/>
              <w:left w:val="nil"/>
              <w:bottom w:val="nil"/>
              <w:right w:val="nil"/>
            </w:tcBorders>
            <w:noWrap/>
          </w:tcPr>
          <w:p w14:paraId="09DCEBC5" w14:textId="75A8AC91" w:rsidR="0037777E" w:rsidRPr="00776479" w:rsidRDefault="00757B44" w:rsidP="0037777E">
            <w:pPr>
              <w:jc w:val="right"/>
              <w:rPr>
                <w:rFonts w:ascii="Arial" w:hAnsi="Arial" w:cs="Arial"/>
                <w:sz w:val="22"/>
                <w:szCs w:val="22"/>
              </w:rPr>
            </w:pPr>
            <w:r w:rsidRPr="00776479">
              <w:rPr>
                <w:rFonts w:ascii="Arial" w:hAnsi="Arial" w:cs="Arial"/>
                <w:sz w:val="22"/>
                <w:szCs w:val="22"/>
              </w:rPr>
              <w:t>39,260</w:t>
            </w:r>
          </w:p>
        </w:tc>
        <w:tc>
          <w:tcPr>
            <w:tcW w:w="1195" w:type="dxa"/>
            <w:tcBorders>
              <w:top w:val="nil"/>
              <w:left w:val="nil"/>
              <w:bottom w:val="nil"/>
              <w:right w:val="nil"/>
            </w:tcBorders>
            <w:noWrap/>
          </w:tcPr>
          <w:p w14:paraId="7B4D8AA0" w14:textId="6997465D" w:rsidR="0037777E" w:rsidRPr="00776479" w:rsidRDefault="00E54188" w:rsidP="0037777E">
            <w:pPr>
              <w:jc w:val="right"/>
              <w:rPr>
                <w:rFonts w:ascii="Arial" w:hAnsi="Arial" w:cs="Arial"/>
                <w:sz w:val="22"/>
                <w:szCs w:val="22"/>
              </w:rPr>
            </w:pPr>
            <w:r w:rsidRPr="00776479">
              <w:rPr>
                <w:rFonts w:ascii="Arial" w:hAnsi="Arial" w:cs="Arial"/>
                <w:sz w:val="22"/>
                <w:szCs w:val="22"/>
              </w:rPr>
              <w:t>53,260</w:t>
            </w:r>
          </w:p>
        </w:tc>
        <w:tc>
          <w:tcPr>
            <w:tcW w:w="1195" w:type="dxa"/>
            <w:tcBorders>
              <w:top w:val="nil"/>
              <w:left w:val="nil"/>
              <w:bottom w:val="nil"/>
              <w:right w:val="nil"/>
            </w:tcBorders>
            <w:noWrap/>
          </w:tcPr>
          <w:p w14:paraId="68CC26D1" w14:textId="34E67504" w:rsidR="0037777E" w:rsidRPr="00776479" w:rsidRDefault="00553C36" w:rsidP="0037777E">
            <w:pPr>
              <w:jc w:val="right"/>
              <w:rPr>
                <w:rFonts w:ascii="Arial" w:hAnsi="Arial" w:cs="Arial"/>
                <w:sz w:val="22"/>
                <w:szCs w:val="22"/>
              </w:rPr>
            </w:pPr>
            <w:r w:rsidRPr="00776479">
              <w:rPr>
                <w:rFonts w:ascii="Arial" w:hAnsi="Arial" w:cs="Arial"/>
                <w:sz w:val="22"/>
                <w:szCs w:val="22"/>
              </w:rPr>
              <w:t>67,260</w:t>
            </w:r>
          </w:p>
        </w:tc>
        <w:tc>
          <w:tcPr>
            <w:tcW w:w="1195" w:type="dxa"/>
            <w:tcBorders>
              <w:top w:val="nil"/>
              <w:left w:val="nil"/>
              <w:bottom w:val="nil"/>
              <w:right w:val="nil"/>
            </w:tcBorders>
            <w:noWrap/>
          </w:tcPr>
          <w:p w14:paraId="7AFA0227" w14:textId="544D2E4D" w:rsidR="0037777E" w:rsidRPr="00776479" w:rsidRDefault="000A69CA" w:rsidP="0037777E">
            <w:pPr>
              <w:jc w:val="right"/>
              <w:rPr>
                <w:rFonts w:ascii="Arial" w:hAnsi="Arial" w:cs="Arial"/>
                <w:sz w:val="22"/>
                <w:szCs w:val="22"/>
              </w:rPr>
            </w:pPr>
            <w:r w:rsidRPr="00776479">
              <w:rPr>
                <w:rFonts w:ascii="Arial" w:hAnsi="Arial" w:cs="Arial"/>
                <w:sz w:val="22"/>
                <w:szCs w:val="22"/>
              </w:rPr>
              <w:t>9,660</w:t>
            </w:r>
          </w:p>
        </w:tc>
        <w:tc>
          <w:tcPr>
            <w:tcW w:w="1195" w:type="dxa"/>
            <w:tcBorders>
              <w:top w:val="nil"/>
              <w:left w:val="nil"/>
              <w:bottom w:val="nil"/>
              <w:right w:val="nil"/>
            </w:tcBorders>
            <w:noWrap/>
          </w:tcPr>
          <w:p w14:paraId="64319763" w14:textId="76726570" w:rsidR="0037777E" w:rsidRPr="00776479" w:rsidRDefault="00F269F0" w:rsidP="0037777E">
            <w:pPr>
              <w:jc w:val="right"/>
              <w:rPr>
                <w:rFonts w:ascii="Arial" w:hAnsi="Arial" w:cs="Arial"/>
                <w:sz w:val="22"/>
                <w:szCs w:val="22"/>
              </w:rPr>
            </w:pPr>
            <w:r w:rsidRPr="00776479">
              <w:rPr>
                <w:rFonts w:ascii="Arial" w:hAnsi="Arial" w:cs="Arial"/>
                <w:sz w:val="22"/>
                <w:szCs w:val="22"/>
              </w:rPr>
              <w:t>23,660</w:t>
            </w:r>
          </w:p>
        </w:tc>
      </w:tr>
      <w:tr w:rsidR="00215458" w:rsidRPr="006D70F0" w14:paraId="307D6C82" w14:textId="77777777" w:rsidTr="00397951">
        <w:trPr>
          <w:trHeight w:val="284"/>
        </w:trPr>
        <w:tc>
          <w:tcPr>
            <w:tcW w:w="3550" w:type="dxa"/>
            <w:tcBorders>
              <w:top w:val="nil"/>
              <w:left w:val="nil"/>
              <w:bottom w:val="nil"/>
              <w:right w:val="nil"/>
            </w:tcBorders>
          </w:tcPr>
          <w:p w14:paraId="6A2A7BFE" w14:textId="29C0158A" w:rsidR="0037777E" w:rsidRPr="000A0F8F" w:rsidRDefault="0037777E" w:rsidP="0037777E">
            <w:pPr>
              <w:rPr>
                <w:rFonts w:ascii="Arial" w:hAnsi="Arial" w:cs="Arial"/>
                <w:sz w:val="22"/>
                <w:szCs w:val="22"/>
              </w:rPr>
            </w:pPr>
            <w:r w:rsidRPr="000A0F8F">
              <w:rPr>
                <w:rFonts w:ascii="Arial" w:hAnsi="Arial" w:cs="Arial"/>
                <w:sz w:val="22"/>
                <w:szCs w:val="22"/>
              </w:rPr>
              <w:t>Professional Trainee Scheme</w:t>
            </w:r>
          </w:p>
        </w:tc>
        <w:tc>
          <w:tcPr>
            <w:tcW w:w="1318" w:type="dxa"/>
            <w:tcBorders>
              <w:top w:val="nil"/>
              <w:left w:val="nil"/>
              <w:bottom w:val="nil"/>
              <w:right w:val="nil"/>
            </w:tcBorders>
            <w:noWrap/>
          </w:tcPr>
          <w:p w14:paraId="7AE3BC8D" w14:textId="1A283E1D" w:rsidR="0037777E" w:rsidRPr="000A0F8F" w:rsidRDefault="0037777E" w:rsidP="0037777E">
            <w:pPr>
              <w:jc w:val="right"/>
              <w:rPr>
                <w:rFonts w:ascii="Arial" w:hAnsi="Arial" w:cs="Arial"/>
                <w:sz w:val="22"/>
                <w:szCs w:val="22"/>
              </w:rPr>
            </w:pPr>
            <w:r w:rsidRPr="000A0F8F">
              <w:rPr>
                <w:rFonts w:ascii="Arial" w:hAnsi="Arial" w:cs="Arial"/>
                <w:sz w:val="22"/>
                <w:szCs w:val="22"/>
              </w:rPr>
              <w:t>90,000</w:t>
            </w:r>
          </w:p>
        </w:tc>
        <w:tc>
          <w:tcPr>
            <w:tcW w:w="1195" w:type="dxa"/>
            <w:tcBorders>
              <w:top w:val="nil"/>
              <w:left w:val="nil"/>
              <w:bottom w:val="nil"/>
              <w:right w:val="nil"/>
            </w:tcBorders>
            <w:noWrap/>
          </w:tcPr>
          <w:p w14:paraId="0DC5620A" w14:textId="7B9015CC" w:rsidR="0037777E" w:rsidRPr="000A0F8F" w:rsidRDefault="0037777E" w:rsidP="0037777E">
            <w:pPr>
              <w:jc w:val="right"/>
              <w:rPr>
                <w:rFonts w:ascii="Arial" w:hAnsi="Arial" w:cs="Arial"/>
                <w:sz w:val="22"/>
                <w:szCs w:val="22"/>
              </w:rPr>
            </w:pPr>
            <w:r w:rsidRPr="000A0F8F">
              <w:rPr>
                <w:rFonts w:ascii="Arial" w:hAnsi="Arial" w:cs="Arial"/>
                <w:sz w:val="22"/>
                <w:szCs w:val="22"/>
              </w:rPr>
              <w:t>90,000</w:t>
            </w:r>
          </w:p>
        </w:tc>
        <w:tc>
          <w:tcPr>
            <w:tcW w:w="1195" w:type="dxa"/>
            <w:tcBorders>
              <w:top w:val="nil"/>
              <w:left w:val="nil"/>
              <w:bottom w:val="nil"/>
              <w:right w:val="nil"/>
            </w:tcBorders>
            <w:noWrap/>
          </w:tcPr>
          <w:p w14:paraId="684ED400" w14:textId="61A13D20" w:rsidR="0037777E" w:rsidRPr="000A0F8F" w:rsidRDefault="0037777E" w:rsidP="0037777E">
            <w:pPr>
              <w:jc w:val="right"/>
              <w:rPr>
                <w:rFonts w:ascii="Arial" w:hAnsi="Arial" w:cs="Arial"/>
                <w:sz w:val="22"/>
                <w:szCs w:val="22"/>
              </w:rPr>
            </w:pPr>
            <w:r w:rsidRPr="000A0F8F">
              <w:rPr>
                <w:rFonts w:ascii="Arial" w:hAnsi="Arial" w:cs="Arial"/>
                <w:sz w:val="22"/>
                <w:szCs w:val="22"/>
              </w:rPr>
              <w:t>90,000</w:t>
            </w:r>
          </w:p>
        </w:tc>
        <w:tc>
          <w:tcPr>
            <w:tcW w:w="1195" w:type="dxa"/>
            <w:tcBorders>
              <w:top w:val="nil"/>
              <w:left w:val="nil"/>
              <w:bottom w:val="nil"/>
              <w:right w:val="nil"/>
            </w:tcBorders>
            <w:noWrap/>
          </w:tcPr>
          <w:p w14:paraId="3327F0F2" w14:textId="01B2E4F2" w:rsidR="0037777E" w:rsidRPr="000A0F8F" w:rsidRDefault="0037777E" w:rsidP="0037777E">
            <w:pPr>
              <w:jc w:val="right"/>
              <w:rPr>
                <w:rFonts w:ascii="Arial" w:hAnsi="Arial" w:cs="Arial"/>
                <w:sz w:val="22"/>
                <w:szCs w:val="22"/>
              </w:rPr>
            </w:pPr>
            <w:r w:rsidRPr="000A0F8F">
              <w:rPr>
                <w:rFonts w:ascii="Arial" w:hAnsi="Arial" w:cs="Arial"/>
                <w:sz w:val="22"/>
                <w:szCs w:val="22"/>
              </w:rPr>
              <w:t>90,000</w:t>
            </w:r>
          </w:p>
        </w:tc>
        <w:tc>
          <w:tcPr>
            <w:tcW w:w="1195" w:type="dxa"/>
            <w:tcBorders>
              <w:top w:val="nil"/>
              <w:left w:val="nil"/>
              <w:bottom w:val="nil"/>
              <w:right w:val="nil"/>
            </w:tcBorders>
            <w:noWrap/>
          </w:tcPr>
          <w:p w14:paraId="1E5351CD" w14:textId="4705D61B" w:rsidR="0037777E" w:rsidRPr="000A0F8F" w:rsidRDefault="0037777E" w:rsidP="0037777E">
            <w:pPr>
              <w:jc w:val="right"/>
              <w:rPr>
                <w:rFonts w:ascii="Arial" w:hAnsi="Arial" w:cs="Arial"/>
                <w:sz w:val="22"/>
                <w:szCs w:val="22"/>
              </w:rPr>
            </w:pPr>
            <w:r w:rsidRPr="000A0F8F">
              <w:rPr>
                <w:rFonts w:ascii="Arial" w:hAnsi="Arial" w:cs="Arial"/>
                <w:sz w:val="22"/>
                <w:szCs w:val="22"/>
              </w:rPr>
              <w:t>90,000</w:t>
            </w:r>
          </w:p>
        </w:tc>
        <w:tc>
          <w:tcPr>
            <w:tcW w:w="1195" w:type="dxa"/>
            <w:tcBorders>
              <w:top w:val="nil"/>
              <w:left w:val="nil"/>
              <w:bottom w:val="nil"/>
              <w:right w:val="nil"/>
            </w:tcBorders>
            <w:noWrap/>
          </w:tcPr>
          <w:p w14:paraId="7D75EFCC" w14:textId="45F39A82" w:rsidR="0037777E" w:rsidRPr="000A0F8F" w:rsidRDefault="0037777E" w:rsidP="0037777E">
            <w:pPr>
              <w:jc w:val="right"/>
              <w:rPr>
                <w:rFonts w:ascii="Arial" w:hAnsi="Arial" w:cs="Arial"/>
                <w:sz w:val="22"/>
                <w:szCs w:val="22"/>
              </w:rPr>
            </w:pPr>
            <w:r w:rsidRPr="000A0F8F">
              <w:rPr>
                <w:rFonts w:ascii="Arial" w:hAnsi="Arial" w:cs="Arial"/>
                <w:sz w:val="22"/>
                <w:szCs w:val="22"/>
              </w:rPr>
              <w:t>90,000</w:t>
            </w:r>
          </w:p>
        </w:tc>
      </w:tr>
      <w:tr w:rsidR="00215458" w:rsidRPr="006D70F0" w14:paraId="54D08482" w14:textId="77777777" w:rsidTr="00397951">
        <w:trPr>
          <w:trHeight w:val="284"/>
        </w:trPr>
        <w:tc>
          <w:tcPr>
            <w:tcW w:w="3550" w:type="dxa"/>
            <w:tcBorders>
              <w:top w:val="nil"/>
              <w:left w:val="nil"/>
              <w:bottom w:val="nil"/>
              <w:right w:val="nil"/>
            </w:tcBorders>
          </w:tcPr>
          <w:p w14:paraId="062512E2" w14:textId="77777777" w:rsidR="008851C8" w:rsidRPr="00B90EB1" w:rsidRDefault="008851C8" w:rsidP="008851C8">
            <w:pPr>
              <w:rPr>
                <w:rFonts w:ascii="Arial" w:hAnsi="Arial" w:cs="Arial"/>
                <w:sz w:val="22"/>
                <w:szCs w:val="22"/>
              </w:rPr>
            </w:pPr>
            <w:r w:rsidRPr="00B90EB1">
              <w:rPr>
                <w:rFonts w:ascii="Arial" w:hAnsi="Arial" w:cs="Arial"/>
                <w:sz w:val="22"/>
                <w:szCs w:val="22"/>
              </w:rPr>
              <w:t>Residents Parking Scheme</w:t>
            </w:r>
          </w:p>
        </w:tc>
        <w:tc>
          <w:tcPr>
            <w:tcW w:w="1318" w:type="dxa"/>
            <w:tcBorders>
              <w:top w:val="nil"/>
              <w:left w:val="nil"/>
              <w:bottom w:val="nil"/>
              <w:right w:val="nil"/>
            </w:tcBorders>
            <w:noWrap/>
          </w:tcPr>
          <w:p w14:paraId="575220D2" w14:textId="565397F1" w:rsidR="008851C8" w:rsidRPr="00B90EB1" w:rsidRDefault="00DA1551" w:rsidP="008851C8">
            <w:pPr>
              <w:jc w:val="right"/>
              <w:rPr>
                <w:rFonts w:ascii="Arial" w:hAnsi="Arial" w:cs="Arial"/>
                <w:sz w:val="22"/>
                <w:szCs w:val="22"/>
              </w:rPr>
            </w:pPr>
            <w:r w:rsidRPr="00B90EB1">
              <w:rPr>
                <w:rFonts w:ascii="Arial" w:hAnsi="Arial" w:cs="Arial"/>
                <w:sz w:val="22"/>
                <w:szCs w:val="22"/>
              </w:rPr>
              <w:t>37,380</w:t>
            </w:r>
          </w:p>
        </w:tc>
        <w:tc>
          <w:tcPr>
            <w:tcW w:w="1195" w:type="dxa"/>
            <w:tcBorders>
              <w:top w:val="nil"/>
              <w:left w:val="nil"/>
              <w:bottom w:val="nil"/>
              <w:right w:val="nil"/>
            </w:tcBorders>
            <w:noWrap/>
          </w:tcPr>
          <w:p w14:paraId="04C20563" w14:textId="561B00B0" w:rsidR="008851C8" w:rsidRPr="00B90EB1" w:rsidRDefault="00BD1501" w:rsidP="008851C8">
            <w:pPr>
              <w:jc w:val="right"/>
              <w:rPr>
                <w:rFonts w:ascii="Arial" w:hAnsi="Arial" w:cs="Arial"/>
                <w:sz w:val="22"/>
                <w:szCs w:val="22"/>
              </w:rPr>
            </w:pPr>
            <w:r w:rsidRPr="00B90EB1">
              <w:rPr>
                <w:rFonts w:ascii="Arial" w:hAnsi="Arial" w:cs="Arial"/>
                <w:sz w:val="22"/>
                <w:szCs w:val="22"/>
              </w:rPr>
              <w:t>46,300</w:t>
            </w:r>
          </w:p>
        </w:tc>
        <w:tc>
          <w:tcPr>
            <w:tcW w:w="1195" w:type="dxa"/>
            <w:tcBorders>
              <w:top w:val="nil"/>
              <w:left w:val="nil"/>
              <w:bottom w:val="nil"/>
              <w:right w:val="nil"/>
            </w:tcBorders>
            <w:noWrap/>
          </w:tcPr>
          <w:p w14:paraId="22556C6D" w14:textId="4A4B72A5" w:rsidR="008851C8" w:rsidRPr="00B90EB1" w:rsidRDefault="00D62D5C" w:rsidP="008851C8">
            <w:pPr>
              <w:jc w:val="right"/>
              <w:rPr>
                <w:rFonts w:ascii="Arial" w:hAnsi="Arial" w:cs="Arial"/>
                <w:sz w:val="22"/>
                <w:szCs w:val="22"/>
              </w:rPr>
            </w:pPr>
            <w:r w:rsidRPr="00B90EB1">
              <w:rPr>
                <w:rFonts w:ascii="Arial" w:hAnsi="Arial" w:cs="Arial"/>
                <w:sz w:val="22"/>
                <w:szCs w:val="22"/>
              </w:rPr>
              <w:t>49,960</w:t>
            </w:r>
          </w:p>
        </w:tc>
        <w:tc>
          <w:tcPr>
            <w:tcW w:w="1195" w:type="dxa"/>
            <w:tcBorders>
              <w:top w:val="nil"/>
              <w:left w:val="nil"/>
              <w:bottom w:val="nil"/>
              <w:right w:val="nil"/>
            </w:tcBorders>
            <w:noWrap/>
          </w:tcPr>
          <w:p w14:paraId="422D53AF" w14:textId="68BA5A90" w:rsidR="008851C8" w:rsidRPr="00B90EB1" w:rsidRDefault="00590118" w:rsidP="008851C8">
            <w:pPr>
              <w:jc w:val="right"/>
              <w:rPr>
                <w:rFonts w:ascii="Arial" w:hAnsi="Arial" w:cs="Arial"/>
                <w:sz w:val="22"/>
                <w:szCs w:val="22"/>
              </w:rPr>
            </w:pPr>
            <w:r w:rsidRPr="00B90EB1">
              <w:rPr>
                <w:rFonts w:ascii="Arial" w:hAnsi="Arial" w:cs="Arial"/>
                <w:sz w:val="22"/>
                <w:szCs w:val="22"/>
              </w:rPr>
              <w:t>66,620</w:t>
            </w:r>
          </w:p>
        </w:tc>
        <w:tc>
          <w:tcPr>
            <w:tcW w:w="1195" w:type="dxa"/>
            <w:tcBorders>
              <w:top w:val="nil"/>
              <w:left w:val="nil"/>
              <w:bottom w:val="nil"/>
              <w:right w:val="nil"/>
            </w:tcBorders>
            <w:noWrap/>
          </w:tcPr>
          <w:p w14:paraId="5FF0425B" w14:textId="06F3A57B" w:rsidR="008851C8" w:rsidRPr="00B90EB1" w:rsidRDefault="00590118" w:rsidP="008851C8">
            <w:pPr>
              <w:jc w:val="right"/>
              <w:rPr>
                <w:rFonts w:ascii="Arial" w:hAnsi="Arial" w:cs="Arial"/>
                <w:sz w:val="22"/>
                <w:szCs w:val="22"/>
              </w:rPr>
            </w:pPr>
            <w:r w:rsidRPr="00B90EB1">
              <w:rPr>
                <w:rFonts w:ascii="Arial" w:hAnsi="Arial" w:cs="Arial"/>
                <w:sz w:val="22"/>
                <w:szCs w:val="22"/>
              </w:rPr>
              <w:t>77,790</w:t>
            </w:r>
          </w:p>
        </w:tc>
        <w:tc>
          <w:tcPr>
            <w:tcW w:w="1195" w:type="dxa"/>
            <w:tcBorders>
              <w:top w:val="nil"/>
              <w:left w:val="nil"/>
              <w:bottom w:val="nil"/>
              <w:right w:val="nil"/>
            </w:tcBorders>
            <w:noWrap/>
          </w:tcPr>
          <w:p w14:paraId="1F2E7879" w14:textId="57A4EF29" w:rsidR="008851C8" w:rsidRPr="00B90EB1" w:rsidRDefault="00B90EB1" w:rsidP="008851C8">
            <w:pPr>
              <w:jc w:val="right"/>
              <w:rPr>
                <w:rFonts w:ascii="Arial" w:hAnsi="Arial" w:cs="Arial"/>
                <w:sz w:val="22"/>
                <w:szCs w:val="22"/>
              </w:rPr>
            </w:pPr>
            <w:r w:rsidRPr="00B90EB1">
              <w:rPr>
                <w:rFonts w:ascii="Arial" w:hAnsi="Arial" w:cs="Arial"/>
                <w:sz w:val="22"/>
                <w:szCs w:val="22"/>
              </w:rPr>
              <w:t>83,310</w:t>
            </w:r>
          </w:p>
        </w:tc>
      </w:tr>
      <w:tr w:rsidR="00215458" w:rsidRPr="006D70F0" w14:paraId="417F70F3" w14:textId="77777777" w:rsidTr="00397951">
        <w:trPr>
          <w:trHeight w:val="284"/>
        </w:trPr>
        <w:tc>
          <w:tcPr>
            <w:tcW w:w="3550" w:type="dxa"/>
            <w:tcBorders>
              <w:top w:val="nil"/>
              <w:left w:val="nil"/>
              <w:bottom w:val="nil"/>
              <w:right w:val="nil"/>
            </w:tcBorders>
          </w:tcPr>
          <w:p w14:paraId="283E0551" w14:textId="23CE2BDA" w:rsidR="008851C8" w:rsidRPr="00E62CDF" w:rsidRDefault="008851C8" w:rsidP="008851C8">
            <w:pPr>
              <w:rPr>
                <w:rFonts w:ascii="Arial" w:hAnsi="Arial" w:cs="Arial"/>
                <w:sz w:val="22"/>
                <w:szCs w:val="22"/>
                <w:lang w:eastAsia="en-GB"/>
              </w:rPr>
            </w:pPr>
            <w:r w:rsidRPr="00E62CDF">
              <w:rPr>
                <w:rFonts w:ascii="Arial" w:hAnsi="Arial" w:cs="Arial"/>
                <w:sz w:val="22"/>
                <w:szCs w:val="22"/>
              </w:rPr>
              <w:t>Revenues &amp; Benefits Community Fund</w:t>
            </w:r>
          </w:p>
        </w:tc>
        <w:tc>
          <w:tcPr>
            <w:tcW w:w="1318" w:type="dxa"/>
            <w:tcBorders>
              <w:top w:val="nil"/>
              <w:left w:val="nil"/>
              <w:bottom w:val="nil"/>
              <w:right w:val="nil"/>
            </w:tcBorders>
            <w:noWrap/>
          </w:tcPr>
          <w:p w14:paraId="6E5EC4E5" w14:textId="69563A55" w:rsidR="008851C8" w:rsidRPr="00E62CDF" w:rsidRDefault="00E62CDF" w:rsidP="008851C8">
            <w:pPr>
              <w:jc w:val="right"/>
              <w:rPr>
                <w:rFonts w:ascii="Arial" w:hAnsi="Arial" w:cs="Arial"/>
                <w:sz w:val="22"/>
                <w:szCs w:val="22"/>
              </w:rPr>
            </w:pPr>
            <w:r w:rsidRPr="00E62CDF">
              <w:rPr>
                <w:rFonts w:ascii="Arial" w:hAnsi="Arial" w:cs="Arial"/>
                <w:sz w:val="22"/>
                <w:szCs w:val="22"/>
              </w:rPr>
              <w:t>68,270</w:t>
            </w:r>
          </w:p>
        </w:tc>
        <w:tc>
          <w:tcPr>
            <w:tcW w:w="1195" w:type="dxa"/>
            <w:tcBorders>
              <w:top w:val="nil"/>
              <w:left w:val="nil"/>
              <w:bottom w:val="nil"/>
              <w:right w:val="nil"/>
            </w:tcBorders>
            <w:noWrap/>
          </w:tcPr>
          <w:p w14:paraId="44B4888A" w14:textId="712499C1" w:rsidR="008851C8" w:rsidRPr="00E62CDF" w:rsidRDefault="00E62CDF" w:rsidP="008851C8">
            <w:pPr>
              <w:jc w:val="right"/>
              <w:rPr>
                <w:rFonts w:ascii="Arial" w:hAnsi="Arial" w:cs="Arial"/>
                <w:sz w:val="22"/>
                <w:szCs w:val="22"/>
              </w:rPr>
            </w:pPr>
            <w:r w:rsidRPr="00E62CDF">
              <w:rPr>
                <w:rFonts w:ascii="Arial" w:hAnsi="Arial" w:cs="Arial"/>
                <w:sz w:val="22"/>
                <w:szCs w:val="22"/>
              </w:rPr>
              <w:t>68,270</w:t>
            </w:r>
          </w:p>
        </w:tc>
        <w:tc>
          <w:tcPr>
            <w:tcW w:w="1195" w:type="dxa"/>
            <w:tcBorders>
              <w:top w:val="nil"/>
              <w:left w:val="nil"/>
              <w:bottom w:val="nil"/>
              <w:right w:val="nil"/>
            </w:tcBorders>
            <w:noWrap/>
          </w:tcPr>
          <w:p w14:paraId="5CE70001" w14:textId="61996C99" w:rsidR="008851C8" w:rsidRPr="00E62CDF" w:rsidRDefault="00E62CDF" w:rsidP="008851C8">
            <w:pPr>
              <w:jc w:val="right"/>
              <w:rPr>
                <w:rFonts w:ascii="Arial" w:hAnsi="Arial" w:cs="Arial"/>
                <w:sz w:val="22"/>
                <w:szCs w:val="22"/>
              </w:rPr>
            </w:pPr>
            <w:r w:rsidRPr="00E62CDF">
              <w:rPr>
                <w:rFonts w:ascii="Arial" w:hAnsi="Arial" w:cs="Arial"/>
                <w:sz w:val="22"/>
                <w:szCs w:val="22"/>
              </w:rPr>
              <w:t>68,270</w:t>
            </w:r>
          </w:p>
        </w:tc>
        <w:tc>
          <w:tcPr>
            <w:tcW w:w="1195" w:type="dxa"/>
            <w:tcBorders>
              <w:top w:val="nil"/>
              <w:left w:val="nil"/>
              <w:bottom w:val="nil"/>
              <w:right w:val="nil"/>
            </w:tcBorders>
            <w:noWrap/>
          </w:tcPr>
          <w:p w14:paraId="24F81975" w14:textId="50BDFECF" w:rsidR="008851C8" w:rsidRPr="00E62CDF" w:rsidRDefault="00E62CDF" w:rsidP="008851C8">
            <w:pPr>
              <w:jc w:val="right"/>
              <w:rPr>
                <w:rFonts w:ascii="Arial" w:hAnsi="Arial" w:cs="Arial"/>
                <w:sz w:val="22"/>
                <w:szCs w:val="22"/>
              </w:rPr>
            </w:pPr>
            <w:r w:rsidRPr="00E62CDF">
              <w:rPr>
                <w:rFonts w:ascii="Arial" w:hAnsi="Arial" w:cs="Arial"/>
                <w:sz w:val="22"/>
                <w:szCs w:val="22"/>
              </w:rPr>
              <w:t>68,270</w:t>
            </w:r>
          </w:p>
        </w:tc>
        <w:tc>
          <w:tcPr>
            <w:tcW w:w="1195" w:type="dxa"/>
            <w:tcBorders>
              <w:top w:val="nil"/>
              <w:left w:val="nil"/>
              <w:bottom w:val="nil"/>
              <w:right w:val="nil"/>
            </w:tcBorders>
            <w:noWrap/>
          </w:tcPr>
          <w:p w14:paraId="5CF550FA" w14:textId="1DB99B12" w:rsidR="008851C8" w:rsidRPr="00E62CDF" w:rsidRDefault="00E62CDF" w:rsidP="008851C8">
            <w:pPr>
              <w:jc w:val="right"/>
              <w:rPr>
                <w:rFonts w:ascii="Arial" w:hAnsi="Arial" w:cs="Arial"/>
                <w:sz w:val="22"/>
                <w:szCs w:val="22"/>
              </w:rPr>
            </w:pPr>
            <w:r w:rsidRPr="00E62CDF">
              <w:rPr>
                <w:rFonts w:ascii="Arial" w:hAnsi="Arial" w:cs="Arial"/>
                <w:sz w:val="22"/>
                <w:szCs w:val="22"/>
              </w:rPr>
              <w:t>68,270</w:t>
            </w:r>
          </w:p>
        </w:tc>
        <w:tc>
          <w:tcPr>
            <w:tcW w:w="1195" w:type="dxa"/>
            <w:tcBorders>
              <w:top w:val="nil"/>
              <w:left w:val="nil"/>
              <w:bottom w:val="nil"/>
              <w:right w:val="nil"/>
            </w:tcBorders>
            <w:noWrap/>
          </w:tcPr>
          <w:p w14:paraId="4A307EDB" w14:textId="29B6B831" w:rsidR="008851C8" w:rsidRPr="00E62CDF" w:rsidRDefault="00E62CDF" w:rsidP="008851C8">
            <w:pPr>
              <w:jc w:val="right"/>
              <w:rPr>
                <w:rFonts w:ascii="Arial" w:hAnsi="Arial" w:cs="Arial"/>
                <w:sz w:val="22"/>
                <w:szCs w:val="22"/>
              </w:rPr>
            </w:pPr>
            <w:r w:rsidRPr="00E62CDF">
              <w:rPr>
                <w:rFonts w:ascii="Arial" w:hAnsi="Arial" w:cs="Arial"/>
                <w:sz w:val="22"/>
                <w:szCs w:val="22"/>
              </w:rPr>
              <w:t>68,270</w:t>
            </w:r>
          </w:p>
        </w:tc>
      </w:tr>
      <w:tr w:rsidR="00215458" w:rsidRPr="006D70F0" w14:paraId="6F89F51C" w14:textId="77777777" w:rsidTr="00397951">
        <w:trPr>
          <w:trHeight w:val="284"/>
        </w:trPr>
        <w:tc>
          <w:tcPr>
            <w:tcW w:w="3550" w:type="dxa"/>
            <w:tcBorders>
              <w:top w:val="nil"/>
              <w:left w:val="nil"/>
              <w:bottom w:val="nil"/>
              <w:right w:val="nil"/>
            </w:tcBorders>
            <w:hideMark/>
          </w:tcPr>
          <w:p w14:paraId="5E78652A" w14:textId="77777777" w:rsidR="008851C8" w:rsidRPr="00D94EC0" w:rsidRDefault="008851C8" w:rsidP="008851C8">
            <w:pPr>
              <w:rPr>
                <w:rFonts w:ascii="Arial" w:hAnsi="Arial" w:cs="Arial"/>
                <w:sz w:val="22"/>
                <w:szCs w:val="22"/>
              </w:rPr>
            </w:pPr>
            <w:r w:rsidRPr="00D94EC0">
              <w:rPr>
                <w:rFonts w:ascii="Arial" w:hAnsi="Arial" w:cs="Arial"/>
                <w:sz w:val="22"/>
                <w:szCs w:val="22"/>
              </w:rPr>
              <w:t>Section 106 interest</w:t>
            </w:r>
          </w:p>
        </w:tc>
        <w:tc>
          <w:tcPr>
            <w:tcW w:w="1318" w:type="dxa"/>
            <w:tcBorders>
              <w:top w:val="nil"/>
              <w:left w:val="nil"/>
              <w:bottom w:val="nil"/>
              <w:right w:val="nil"/>
            </w:tcBorders>
            <w:noWrap/>
          </w:tcPr>
          <w:p w14:paraId="4BCDD25A" w14:textId="38941989" w:rsidR="008851C8" w:rsidRPr="00D94EC0" w:rsidRDefault="008851C8" w:rsidP="008851C8">
            <w:pPr>
              <w:jc w:val="right"/>
              <w:rPr>
                <w:rFonts w:ascii="Arial" w:hAnsi="Arial" w:cs="Arial"/>
                <w:sz w:val="22"/>
                <w:szCs w:val="22"/>
              </w:rPr>
            </w:pPr>
            <w:r w:rsidRPr="00D94EC0">
              <w:rPr>
                <w:rFonts w:ascii="Arial" w:hAnsi="Arial" w:cs="Arial"/>
                <w:sz w:val="22"/>
                <w:szCs w:val="22"/>
              </w:rPr>
              <w:t>31,570</w:t>
            </w:r>
          </w:p>
        </w:tc>
        <w:tc>
          <w:tcPr>
            <w:tcW w:w="1195" w:type="dxa"/>
            <w:tcBorders>
              <w:top w:val="nil"/>
              <w:left w:val="nil"/>
              <w:bottom w:val="nil"/>
              <w:right w:val="nil"/>
            </w:tcBorders>
            <w:noWrap/>
          </w:tcPr>
          <w:p w14:paraId="320B9539" w14:textId="1902DE0B" w:rsidR="008851C8" w:rsidRPr="00D94EC0" w:rsidRDefault="008851C8" w:rsidP="008851C8">
            <w:pPr>
              <w:jc w:val="right"/>
              <w:rPr>
                <w:rFonts w:ascii="Arial" w:hAnsi="Arial" w:cs="Arial"/>
                <w:sz w:val="22"/>
                <w:szCs w:val="22"/>
              </w:rPr>
            </w:pPr>
            <w:r w:rsidRPr="00D94EC0">
              <w:rPr>
                <w:rFonts w:ascii="Arial" w:hAnsi="Arial" w:cs="Arial"/>
                <w:sz w:val="22"/>
                <w:szCs w:val="22"/>
              </w:rPr>
              <w:t>31,570</w:t>
            </w:r>
          </w:p>
        </w:tc>
        <w:tc>
          <w:tcPr>
            <w:tcW w:w="1195" w:type="dxa"/>
            <w:tcBorders>
              <w:top w:val="nil"/>
              <w:left w:val="nil"/>
              <w:bottom w:val="nil"/>
              <w:right w:val="nil"/>
            </w:tcBorders>
            <w:noWrap/>
          </w:tcPr>
          <w:p w14:paraId="01686CF9" w14:textId="76F05140" w:rsidR="008851C8" w:rsidRPr="00D94EC0" w:rsidRDefault="008851C8" w:rsidP="008851C8">
            <w:pPr>
              <w:jc w:val="right"/>
              <w:rPr>
                <w:rFonts w:ascii="Arial" w:hAnsi="Arial" w:cs="Arial"/>
                <w:sz w:val="22"/>
                <w:szCs w:val="22"/>
              </w:rPr>
            </w:pPr>
            <w:r w:rsidRPr="00D94EC0">
              <w:rPr>
                <w:rFonts w:ascii="Arial" w:hAnsi="Arial" w:cs="Arial"/>
                <w:sz w:val="22"/>
                <w:szCs w:val="22"/>
              </w:rPr>
              <w:t>31,570</w:t>
            </w:r>
          </w:p>
        </w:tc>
        <w:tc>
          <w:tcPr>
            <w:tcW w:w="1195" w:type="dxa"/>
            <w:tcBorders>
              <w:top w:val="nil"/>
              <w:left w:val="nil"/>
              <w:bottom w:val="nil"/>
              <w:right w:val="nil"/>
            </w:tcBorders>
            <w:noWrap/>
          </w:tcPr>
          <w:p w14:paraId="1E2947F4" w14:textId="09E64BB7" w:rsidR="008851C8" w:rsidRPr="00D94EC0" w:rsidRDefault="008851C8" w:rsidP="008851C8">
            <w:pPr>
              <w:jc w:val="right"/>
              <w:rPr>
                <w:rFonts w:ascii="Arial" w:hAnsi="Arial" w:cs="Arial"/>
                <w:sz w:val="22"/>
                <w:szCs w:val="22"/>
              </w:rPr>
            </w:pPr>
            <w:r w:rsidRPr="00D94EC0">
              <w:rPr>
                <w:rFonts w:ascii="Arial" w:hAnsi="Arial" w:cs="Arial"/>
                <w:sz w:val="22"/>
                <w:szCs w:val="22"/>
              </w:rPr>
              <w:t>31,570</w:t>
            </w:r>
          </w:p>
        </w:tc>
        <w:tc>
          <w:tcPr>
            <w:tcW w:w="1195" w:type="dxa"/>
            <w:tcBorders>
              <w:top w:val="nil"/>
              <w:left w:val="nil"/>
              <w:bottom w:val="nil"/>
              <w:right w:val="nil"/>
            </w:tcBorders>
            <w:noWrap/>
          </w:tcPr>
          <w:p w14:paraId="30BA17A9" w14:textId="30408FA4" w:rsidR="008851C8" w:rsidRPr="00D94EC0" w:rsidRDefault="008851C8" w:rsidP="008851C8">
            <w:pPr>
              <w:jc w:val="right"/>
              <w:rPr>
                <w:rFonts w:ascii="Arial" w:hAnsi="Arial" w:cs="Arial"/>
                <w:sz w:val="22"/>
                <w:szCs w:val="22"/>
              </w:rPr>
            </w:pPr>
            <w:r w:rsidRPr="00D94EC0">
              <w:rPr>
                <w:rFonts w:ascii="Arial" w:hAnsi="Arial" w:cs="Arial"/>
                <w:sz w:val="22"/>
                <w:szCs w:val="22"/>
              </w:rPr>
              <w:t>31,570</w:t>
            </w:r>
          </w:p>
        </w:tc>
        <w:tc>
          <w:tcPr>
            <w:tcW w:w="1195" w:type="dxa"/>
            <w:tcBorders>
              <w:top w:val="nil"/>
              <w:left w:val="nil"/>
              <w:bottom w:val="nil"/>
              <w:right w:val="nil"/>
            </w:tcBorders>
            <w:noWrap/>
          </w:tcPr>
          <w:p w14:paraId="6E2A8053" w14:textId="3E97AF0D" w:rsidR="008851C8" w:rsidRPr="00D94EC0" w:rsidRDefault="008851C8" w:rsidP="008851C8">
            <w:pPr>
              <w:jc w:val="right"/>
              <w:rPr>
                <w:rFonts w:ascii="Arial" w:hAnsi="Arial" w:cs="Arial"/>
                <w:sz w:val="22"/>
                <w:szCs w:val="22"/>
              </w:rPr>
            </w:pPr>
            <w:r w:rsidRPr="00D94EC0">
              <w:rPr>
                <w:rFonts w:ascii="Arial" w:hAnsi="Arial" w:cs="Arial"/>
                <w:sz w:val="22"/>
                <w:szCs w:val="22"/>
              </w:rPr>
              <w:t>31,570</w:t>
            </w:r>
          </w:p>
        </w:tc>
      </w:tr>
      <w:tr w:rsidR="00215458" w:rsidRPr="006D70F0" w14:paraId="4692B661" w14:textId="77777777" w:rsidTr="00397951">
        <w:trPr>
          <w:trHeight w:val="284"/>
        </w:trPr>
        <w:tc>
          <w:tcPr>
            <w:tcW w:w="3550" w:type="dxa"/>
            <w:tcBorders>
              <w:top w:val="nil"/>
              <w:left w:val="nil"/>
              <w:bottom w:val="nil"/>
              <w:right w:val="nil"/>
            </w:tcBorders>
          </w:tcPr>
          <w:p w14:paraId="0832883B" w14:textId="082A6D36" w:rsidR="008851C8" w:rsidRPr="00F02E8A" w:rsidRDefault="008851C8" w:rsidP="008851C8">
            <w:pPr>
              <w:rPr>
                <w:rFonts w:ascii="Arial" w:hAnsi="Arial" w:cs="Arial"/>
                <w:sz w:val="22"/>
                <w:szCs w:val="22"/>
              </w:rPr>
            </w:pPr>
            <w:r w:rsidRPr="00F02E8A">
              <w:rPr>
                <w:rFonts w:ascii="Arial" w:hAnsi="Arial" w:cs="Arial"/>
                <w:sz w:val="22"/>
                <w:szCs w:val="22"/>
              </w:rPr>
              <w:t>Staff Wellbeing</w:t>
            </w:r>
          </w:p>
        </w:tc>
        <w:tc>
          <w:tcPr>
            <w:tcW w:w="1318" w:type="dxa"/>
            <w:tcBorders>
              <w:top w:val="nil"/>
              <w:left w:val="nil"/>
              <w:bottom w:val="nil"/>
              <w:right w:val="nil"/>
            </w:tcBorders>
            <w:noWrap/>
          </w:tcPr>
          <w:p w14:paraId="15A1050B" w14:textId="130133F3" w:rsidR="008851C8" w:rsidRPr="00F02E8A" w:rsidRDefault="008851C8" w:rsidP="008851C8">
            <w:pPr>
              <w:jc w:val="right"/>
              <w:rPr>
                <w:rFonts w:ascii="Arial" w:hAnsi="Arial" w:cs="Arial"/>
                <w:sz w:val="22"/>
                <w:szCs w:val="22"/>
              </w:rPr>
            </w:pPr>
            <w:r w:rsidRPr="00F02E8A">
              <w:rPr>
                <w:rFonts w:ascii="Arial" w:hAnsi="Arial" w:cs="Arial"/>
                <w:sz w:val="22"/>
                <w:szCs w:val="22"/>
              </w:rPr>
              <w:t>28,260</w:t>
            </w:r>
          </w:p>
        </w:tc>
        <w:tc>
          <w:tcPr>
            <w:tcW w:w="1195" w:type="dxa"/>
            <w:tcBorders>
              <w:top w:val="nil"/>
              <w:left w:val="nil"/>
              <w:bottom w:val="nil"/>
              <w:right w:val="nil"/>
            </w:tcBorders>
            <w:noWrap/>
          </w:tcPr>
          <w:p w14:paraId="5D4B4705" w14:textId="43E3324B" w:rsidR="008851C8" w:rsidRPr="00F02E8A" w:rsidRDefault="008851C8" w:rsidP="008851C8">
            <w:pPr>
              <w:jc w:val="right"/>
              <w:rPr>
                <w:rFonts w:ascii="Arial" w:hAnsi="Arial" w:cs="Arial"/>
                <w:sz w:val="22"/>
                <w:szCs w:val="22"/>
              </w:rPr>
            </w:pPr>
            <w:r w:rsidRPr="00F02E8A">
              <w:rPr>
                <w:rFonts w:ascii="Arial" w:hAnsi="Arial" w:cs="Arial"/>
                <w:sz w:val="22"/>
                <w:szCs w:val="22"/>
              </w:rPr>
              <w:t>28,260</w:t>
            </w:r>
          </w:p>
        </w:tc>
        <w:tc>
          <w:tcPr>
            <w:tcW w:w="1195" w:type="dxa"/>
            <w:tcBorders>
              <w:top w:val="nil"/>
              <w:left w:val="nil"/>
              <w:bottom w:val="nil"/>
              <w:right w:val="nil"/>
            </w:tcBorders>
            <w:noWrap/>
          </w:tcPr>
          <w:p w14:paraId="2BF0645B" w14:textId="4FF2AAFD" w:rsidR="008851C8" w:rsidRPr="00F02E8A" w:rsidRDefault="008851C8" w:rsidP="008851C8">
            <w:pPr>
              <w:jc w:val="right"/>
              <w:rPr>
                <w:rFonts w:ascii="Arial" w:hAnsi="Arial" w:cs="Arial"/>
                <w:sz w:val="22"/>
                <w:szCs w:val="22"/>
              </w:rPr>
            </w:pPr>
            <w:r w:rsidRPr="00F02E8A">
              <w:rPr>
                <w:rFonts w:ascii="Arial" w:hAnsi="Arial" w:cs="Arial"/>
                <w:sz w:val="22"/>
                <w:szCs w:val="22"/>
              </w:rPr>
              <w:t>28,260</w:t>
            </w:r>
          </w:p>
        </w:tc>
        <w:tc>
          <w:tcPr>
            <w:tcW w:w="1195" w:type="dxa"/>
            <w:tcBorders>
              <w:top w:val="nil"/>
              <w:left w:val="nil"/>
              <w:bottom w:val="nil"/>
              <w:right w:val="nil"/>
            </w:tcBorders>
            <w:noWrap/>
          </w:tcPr>
          <w:p w14:paraId="4046D338" w14:textId="2B967EC8" w:rsidR="008851C8" w:rsidRPr="00F02E8A" w:rsidRDefault="008851C8" w:rsidP="008851C8">
            <w:pPr>
              <w:jc w:val="right"/>
              <w:rPr>
                <w:rFonts w:ascii="Arial" w:hAnsi="Arial" w:cs="Arial"/>
                <w:sz w:val="22"/>
                <w:szCs w:val="22"/>
              </w:rPr>
            </w:pPr>
            <w:r w:rsidRPr="00F02E8A">
              <w:rPr>
                <w:rFonts w:ascii="Arial" w:hAnsi="Arial" w:cs="Arial"/>
                <w:sz w:val="22"/>
                <w:szCs w:val="22"/>
              </w:rPr>
              <w:t>28,260</w:t>
            </w:r>
          </w:p>
        </w:tc>
        <w:tc>
          <w:tcPr>
            <w:tcW w:w="1195" w:type="dxa"/>
            <w:tcBorders>
              <w:top w:val="nil"/>
              <w:left w:val="nil"/>
              <w:bottom w:val="nil"/>
              <w:right w:val="nil"/>
            </w:tcBorders>
            <w:noWrap/>
          </w:tcPr>
          <w:p w14:paraId="7821F537" w14:textId="478A9473" w:rsidR="008851C8" w:rsidRPr="00F02E8A" w:rsidRDefault="008851C8" w:rsidP="008851C8">
            <w:pPr>
              <w:jc w:val="right"/>
              <w:rPr>
                <w:rFonts w:ascii="Arial" w:hAnsi="Arial" w:cs="Arial"/>
                <w:sz w:val="22"/>
                <w:szCs w:val="22"/>
              </w:rPr>
            </w:pPr>
            <w:r w:rsidRPr="00F02E8A">
              <w:rPr>
                <w:rFonts w:ascii="Arial" w:hAnsi="Arial" w:cs="Arial"/>
                <w:sz w:val="22"/>
                <w:szCs w:val="22"/>
              </w:rPr>
              <w:t>28,260</w:t>
            </w:r>
          </w:p>
        </w:tc>
        <w:tc>
          <w:tcPr>
            <w:tcW w:w="1195" w:type="dxa"/>
            <w:tcBorders>
              <w:top w:val="nil"/>
              <w:left w:val="nil"/>
              <w:bottom w:val="nil"/>
              <w:right w:val="nil"/>
            </w:tcBorders>
            <w:noWrap/>
          </w:tcPr>
          <w:p w14:paraId="49C93212" w14:textId="2A6DD8CB" w:rsidR="008851C8" w:rsidRPr="00F02E8A" w:rsidRDefault="008851C8" w:rsidP="008851C8">
            <w:pPr>
              <w:jc w:val="right"/>
              <w:rPr>
                <w:rFonts w:ascii="Arial" w:hAnsi="Arial" w:cs="Arial"/>
                <w:sz w:val="22"/>
                <w:szCs w:val="22"/>
              </w:rPr>
            </w:pPr>
            <w:r w:rsidRPr="00F02E8A">
              <w:rPr>
                <w:rFonts w:ascii="Arial" w:hAnsi="Arial" w:cs="Arial"/>
                <w:sz w:val="22"/>
                <w:szCs w:val="22"/>
              </w:rPr>
              <w:t>28,260</w:t>
            </w:r>
          </w:p>
        </w:tc>
      </w:tr>
      <w:tr w:rsidR="00215458" w:rsidRPr="006D70F0" w14:paraId="541A0A67" w14:textId="77777777" w:rsidTr="00397951">
        <w:trPr>
          <w:trHeight w:val="284"/>
        </w:trPr>
        <w:tc>
          <w:tcPr>
            <w:tcW w:w="3550" w:type="dxa"/>
            <w:tcBorders>
              <w:top w:val="nil"/>
              <w:left w:val="nil"/>
              <w:bottom w:val="nil"/>
              <w:right w:val="nil"/>
            </w:tcBorders>
            <w:hideMark/>
          </w:tcPr>
          <w:p w14:paraId="7AF80DEB" w14:textId="77777777" w:rsidR="008851C8" w:rsidRPr="002864B4" w:rsidRDefault="008851C8" w:rsidP="008851C8">
            <w:pPr>
              <w:rPr>
                <w:rFonts w:ascii="Arial" w:hAnsi="Arial" w:cs="Arial"/>
                <w:sz w:val="22"/>
                <w:szCs w:val="22"/>
              </w:rPr>
            </w:pPr>
            <w:r w:rsidRPr="002864B4">
              <w:rPr>
                <w:rFonts w:ascii="Arial" w:hAnsi="Arial" w:cs="Arial"/>
                <w:sz w:val="22"/>
                <w:szCs w:val="22"/>
              </w:rPr>
              <w:t>Tank Memorial</w:t>
            </w:r>
          </w:p>
        </w:tc>
        <w:tc>
          <w:tcPr>
            <w:tcW w:w="1318" w:type="dxa"/>
            <w:tcBorders>
              <w:top w:val="nil"/>
              <w:left w:val="nil"/>
              <w:bottom w:val="nil"/>
              <w:right w:val="nil"/>
            </w:tcBorders>
            <w:noWrap/>
          </w:tcPr>
          <w:p w14:paraId="193AE5DD" w14:textId="77777777" w:rsidR="008851C8" w:rsidRPr="002864B4" w:rsidRDefault="008851C8" w:rsidP="008851C8">
            <w:pPr>
              <w:jc w:val="right"/>
              <w:rPr>
                <w:rFonts w:ascii="Arial" w:hAnsi="Arial" w:cs="Arial"/>
                <w:sz w:val="22"/>
                <w:szCs w:val="22"/>
              </w:rPr>
            </w:pPr>
            <w:r w:rsidRPr="002864B4">
              <w:rPr>
                <w:rFonts w:ascii="Arial" w:hAnsi="Arial" w:cs="Arial"/>
                <w:sz w:val="22"/>
                <w:szCs w:val="22"/>
              </w:rPr>
              <w:t>10,000</w:t>
            </w:r>
          </w:p>
        </w:tc>
        <w:tc>
          <w:tcPr>
            <w:tcW w:w="1195" w:type="dxa"/>
            <w:tcBorders>
              <w:top w:val="nil"/>
              <w:left w:val="nil"/>
              <w:bottom w:val="nil"/>
              <w:right w:val="nil"/>
            </w:tcBorders>
            <w:noWrap/>
          </w:tcPr>
          <w:p w14:paraId="0390FB92" w14:textId="77777777" w:rsidR="008851C8" w:rsidRPr="002864B4" w:rsidRDefault="008851C8" w:rsidP="008851C8">
            <w:pPr>
              <w:jc w:val="right"/>
              <w:rPr>
                <w:rFonts w:ascii="Arial" w:hAnsi="Arial" w:cs="Arial"/>
                <w:sz w:val="22"/>
                <w:szCs w:val="22"/>
              </w:rPr>
            </w:pPr>
            <w:r w:rsidRPr="002864B4">
              <w:rPr>
                <w:rFonts w:ascii="Arial" w:hAnsi="Arial" w:cs="Arial"/>
                <w:sz w:val="22"/>
                <w:szCs w:val="22"/>
              </w:rPr>
              <w:t>10,000</w:t>
            </w:r>
          </w:p>
        </w:tc>
        <w:tc>
          <w:tcPr>
            <w:tcW w:w="1195" w:type="dxa"/>
            <w:tcBorders>
              <w:top w:val="nil"/>
              <w:left w:val="nil"/>
              <w:bottom w:val="nil"/>
              <w:right w:val="nil"/>
            </w:tcBorders>
            <w:noWrap/>
          </w:tcPr>
          <w:p w14:paraId="6C0FD0ED" w14:textId="77777777" w:rsidR="008851C8" w:rsidRPr="002864B4" w:rsidRDefault="008851C8" w:rsidP="008851C8">
            <w:pPr>
              <w:jc w:val="right"/>
              <w:rPr>
                <w:rFonts w:ascii="Arial" w:hAnsi="Arial" w:cs="Arial"/>
                <w:sz w:val="22"/>
                <w:szCs w:val="22"/>
              </w:rPr>
            </w:pPr>
            <w:r w:rsidRPr="002864B4">
              <w:rPr>
                <w:rFonts w:ascii="Arial" w:hAnsi="Arial" w:cs="Arial"/>
                <w:sz w:val="22"/>
                <w:szCs w:val="22"/>
              </w:rPr>
              <w:t>10,000</w:t>
            </w:r>
          </w:p>
        </w:tc>
        <w:tc>
          <w:tcPr>
            <w:tcW w:w="1195" w:type="dxa"/>
            <w:tcBorders>
              <w:top w:val="nil"/>
              <w:left w:val="nil"/>
              <w:bottom w:val="nil"/>
              <w:right w:val="nil"/>
            </w:tcBorders>
            <w:noWrap/>
          </w:tcPr>
          <w:p w14:paraId="35CEF97A" w14:textId="77777777" w:rsidR="008851C8" w:rsidRPr="002864B4" w:rsidRDefault="008851C8" w:rsidP="008851C8">
            <w:pPr>
              <w:jc w:val="right"/>
              <w:rPr>
                <w:rFonts w:ascii="Arial" w:hAnsi="Arial" w:cs="Arial"/>
                <w:sz w:val="22"/>
                <w:szCs w:val="22"/>
              </w:rPr>
            </w:pPr>
            <w:r w:rsidRPr="002864B4">
              <w:rPr>
                <w:rFonts w:ascii="Arial" w:hAnsi="Arial" w:cs="Arial"/>
                <w:sz w:val="22"/>
                <w:szCs w:val="22"/>
              </w:rPr>
              <w:t>10,000</w:t>
            </w:r>
          </w:p>
        </w:tc>
        <w:tc>
          <w:tcPr>
            <w:tcW w:w="1195" w:type="dxa"/>
            <w:tcBorders>
              <w:top w:val="nil"/>
              <w:left w:val="nil"/>
              <w:bottom w:val="nil"/>
              <w:right w:val="nil"/>
            </w:tcBorders>
            <w:noWrap/>
          </w:tcPr>
          <w:p w14:paraId="60458E04" w14:textId="77777777" w:rsidR="008851C8" w:rsidRPr="002864B4" w:rsidRDefault="008851C8" w:rsidP="008851C8">
            <w:pPr>
              <w:jc w:val="right"/>
              <w:rPr>
                <w:rFonts w:ascii="Arial" w:hAnsi="Arial" w:cs="Arial"/>
                <w:sz w:val="22"/>
                <w:szCs w:val="22"/>
              </w:rPr>
            </w:pPr>
            <w:r w:rsidRPr="002864B4">
              <w:rPr>
                <w:rFonts w:ascii="Arial" w:hAnsi="Arial" w:cs="Arial"/>
                <w:sz w:val="22"/>
                <w:szCs w:val="22"/>
              </w:rPr>
              <w:t>10,000</w:t>
            </w:r>
          </w:p>
        </w:tc>
        <w:tc>
          <w:tcPr>
            <w:tcW w:w="1195" w:type="dxa"/>
            <w:tcBorders>
              <w:top w:val="nil"/>
              <w:left w:val="nil"/>
              <w:bottom w:val="nil"/>
              <w:right w:val="nil"/>
            </w:tcBorders>
            <w:noWrap/>
          </w:tcPr>
          <w:p w14:paraId="67662158" w14:textId="77777777" w:rsidR="008851C8" w:rsidRPr="002864B4" w:rsidRDefault="008851C8" w:rsidP="008851C8">
            <w:pPr>
              <w:jc w:val="right"/>
              <w:rPr>
                <w:rFonts w:ascii="Arial" w:hAnsi="Arial" w:cs="Arial"/>
                <w:sz w:val="22"/>
                <w:szCs w:val="22"/>
              </w:rPr>
            </w:pPr>
            <w:r w:rsidRPr="002864B4">
              <w:rPr>
                <w:rFonts w:ascii="Arial" w:hAnsi="Arial" w:cs="Arial"/>
                <w:sz w:val="22"/>
                <w:szCs w:val="22"/>
              </w:rPr>
              <w:t>10,000</w:t>
            </w:r>
          </w:p>
        </w:tc>
      </w:tr>
      <w:tr w:rsidR="00215458" w:rsidRPr="006D70F0" w14:paraId="4889CAE7" w14:textId="77777777" w:rsidTr="00397951">
        <w:trPr>
          <w:trHeight w:val="284"/>
        </w:trPr>
        <w:tc>
          <w:tcPr>
            <w:tcW w:w="3550" w:type="dxa"/>
            <w:tcBorders>
              <w:top w:val="nil"/>
              <w:left w:val="nil"/>
              <w:bottom w:val="nil"/>
              <w:right w:val="nil"/>
            </w:tcBorders>
            <w:hideMark/>
          </w:tcPr>
          <w:p w14:paraId="060DFEAB" w14:textId="77777777" w:rsidR="008851C8" w:rsidRPr="00E55C85" w:rsidRDefault="008851C8" w:rsidP="008851C8">
            <w:pPr>
              <w:rPr>
                <w:rFonts w:ascii="Arial" w:hAnsi="Arial" w:cs="Arial"/>
                <w:sz w:val="22"/>
                <w:szCs w:val="22"/>
              </w:rPr>
            </w:pPr>
            <w:r w:rsidRPr="00E55C85">
              <w:rPr>
                <w:rFonts w:ascii="Arial" w:hAnsi="Arial" w:cs="Arial"/>
                <w:sz w:val="22"/>
                <w:szCs w:val="22"/>
              </w:rPr>
              <w:t>Tree Risk Assessment</w:t>
            </w:r>
          </w:p>
        </w:tc>
        <w:tc>
          <w:tcPr>
            <w:tcW w:w="1318" w:type="dxa"/>
            <w:tcBorders>
              <w:top w:val="nil"/>
              <w:left w:val="nil"/>
              <w:bottom w:val="nil"/>
              <w:right w:val="nil"/>
            </w:tcBorders>
            <w:noWrap/>
          </w:tcPr>
          <w:p w14:paraId="61EF9327" w14:textId="5ABBF8B2" w:rsidR="008851C8" w:rsidRPr="00E55C85" w:rsidRDefault="00994338" w:rsidP="008851C8">
            <w:pPr>
              <w:jc w:val="right"/>
              <w:rPr>
                <w:rFonts w:ascii="Arial" w:hAnsi="Arial" w:cs="Arial"/>
                <w:sz w:val="22"/>
                <w:szCs w:val="22"/>
              </w:rPr>
            </w:pPr>
            <w:r w:rsidRPr="00E55C85">
              <w:rPr>
                <w:rFonts w:ascii="Arial" w:hAnsi="Arial" w:cs="Arial"/>
                <w:sz w:val="22"/>
                <w:szCs w:val="22"/>
              </w:rPr>
              <w:t>32,780</w:t>
            </w:r>
          </w:p>
        </w:tc>
        <w:tc>
          <w:tcPr>
            <w:tcW w:w="1195" w:type="dxa"/>
            <w:tcBorders>
              <w:top w:val="nil"/>
              <w:left w:val="nil"/>
              <w:bottom w:val="nil"/>
              <w:right w:val="nil"/>
            </w:tcBorders>
            <w:noWrap/>
          </w:tcPr>
          <w:p w14:paraId="3EED1F60" w14:textId="2FE87C4A" w:rsidR="008851C8" w:rsidRPr="00E55C85" w:rsidRDefault="000869FF" w:rsidP="008851C8">
            <w:pPr>
              <w:jc w:val="right"/>
              <w:rPr>
                <w:rFonts w:ascii="Arial" w:hAnsi="Arial" w:cs="Arial"/>
                <w:sz w:val="22"/>
                <w:szCs w:val="22"/>
              </w:rPr>
            </w:pPr>
            <w:r w:rsidRPr="00E55C85">
              <w:rPr>
                <w:rFonts w:ascii="Arial" w:hAnsi="Arial" w:cs="Arial"/>
                <w:sz w:val="22"/>
                <w:szCs w:val="22"/>
              </w:rPr>
              <w:t>34,710</w:t>
            </w:r>
          </w:p>
        </w:tc>
        <w:tc>
          <w:tcPr>
            <w:tcW w:w="1195" w:type="dxa"/>
            <w:tcBorders>
              <w:top w:val="nil"/>
              <w:left w:val="nil"/>
              <w:bottom w:val="nil"/>
              <w:right w:val="nil"/>
            </w:tcBorders>
            <w:noWrap/>
          </w:tcPr>
          <w:p w14:paraId="29D98868" w14:textId="127250A0" w:rsidR="008851C8" w:rsidRPr="00E55C85" w:rsidRDefault="00F55166" w:rsidP="008851C8">
            <w:pPr>
              <w:jc w:val="right"/>
              <w:rPr>
                <w:rFonts w:ascii="Arial" w:hAnsi="Arial" w:cs="Arial"/>
                <w:sz w:val="22"/>
                <w:szCs w:val="22"/>
              </w:rPr>
            </w:pPr>
            <w:r w:rsidRPr="00E55C85">
              <w:rPr>
                <w:rFonts w:ascii="Arial" w:hAnsi="Arial" w:cs="Arial"/>
                <w:sz w:val="22"/>
                <w:szCs w:val="22"/>
              </w:rPr>
              <w:t>26,820</w:t>
            </w:r>
          </w:p>
        </w:tc>
        <w:tc>
          <w:tcPr>
            <w:tcW w:w="1195" w:type="dxa"/>
            <w:tcBorders>
              <w:top w:val="nil"/>
              <w:left w:val="nil"/>
              <w:bottom w:val="nil"/>
              <w:right w:val="nil"/>
            </w:tcBorders>
            <w:noWrap/>
          </w:tcPr>
          <w:p w14:paraId="1952D227" w14:textId="57CFFAFA" w:rsidR="008851C8" w:rsidRPr="00E55C85" w:rsidRDefault="0030182F" w:rsidP="008851C8">
            <w:pPr>
              <w:jc w:val="right"/>
              <w:rPr>
                <w:rFonts w:ascii="Arial" w:hAnsi="Arial" w:cs="Arial"/>
                <w:sz w:val="22"/>
                <w:szCs w:val="22"/>
              </w:rPr>
            </w:pPr>
            <w:r w:rsidRPr="00E55C85">
              <w:rPr>
                <w:rFonts w:ascii="Arial" w:hAnsi="Arial" w:cs="Arial"/>
                <w:sz w:val="22"/>
                <w:szCs w:val="22"/>
              </w:rPr>
              <w:t>18,370</w:t>
            </w:r>
          </w:p>
        </w:tc>
        <w:tc>
          <w:tcPr>
            <w:tcW w:w="1195" w:type="dxa"/>
            <w:tcBorders>
              <w:top w:val="nil"/>
              <w:left w:val="nil"/>
              <w:bottom w:val="nil"/>
              <w:right w:val="nil"/>
            </w:tcBorders>
            <w:noWrap/>
          </w:tcPr>
          <w:p w14:paraId="1954E9E1" w14:textId="46C5FA24" w:rsidR="008851C8" w:rsidRPr="00E55C85" w:rsidRDefault="008D77B9" w:rsidP="008851C8">
            <w:pPr>
              <w:jc w:val="right"/>
              <w:rPr>
                <w:rFonts w:ascii="Arial" w:hAnsi="Arial" w:cs="Arial"/>
                <w:sz w:val="22"/>
                <w:szCs w:val="22"/>
              </w:rPr>
            </w:pPr>
            <w:r w:rsidRPr="00E55C85">
              <w:rPr>
                <w:rFonts w:ascii="Arial" w:hAnsi="Arial" w:cs="Arial"/>
                <w:sz w:val="22"/>
                <w:szCs w:val="22"/>
              </w:rPr>
              <w:t>9,350</w:t>
            </w:r>
          </w:p>
        </w:tc>
        <w:tc>
          <w:tcPr>
            <w:tcW w:w="1195" w:type="dxa"/>
            <w:tcBorders>
              <w:top w:val="nil"/>
              <w:left w:val="nil"/>
              <w:bottom w:val="nil"/>
              <w:right w:val="nil"/>
            </w:tcBorders>
            <w:noWrap/>
          </w:tcPr>
          <w:p w14:paraId="699D09B1" w14:textId="7827848C" w:rsidR="008851C8" w:rsidRPr="00E55C85" w:rsidRDefault="00E55C85" w:rsidP="008851C8">
            <w:pPr>
              <w:jc w:val="right"/>
              <w:rPr>
                <w:rFonts w:ascii="Arial" w:hAnsi="Arial" w:cs="Arial"/>
                <w:sz w:val="22"/>
                <w:szCs w:val="22"/>
              </w:rPr>
            </w:pPr>
            <w:r w:rsidRPr="00E55C85">
              <w:rPr>
                <w:rFonts w:ascii="Arial" w:hAnsi="Arial" w:cs="Arial"/>
                <w:sz w:val="22"/>
                <w:szCs w:val="22"/>
              </w:rPr>
              <w:t>0</w:t>
            </w:r>
          </w:p>
        </w:tc>
      </w:tr>
      <w:tr w:rsidR="00215458" w:rsidRPr="006D70F0" w14:paraId="6C5A6A2B" w14:textId="77777777" w:rsidTr="00397951">
        <w:trPr>
          <w:trHeight w:val="284"/>
        </w:trPr>
        <w:tc>
          <w:tcPr>
            <w:tcW w:w="3550" w:type="dxa"/>
            <w:tcBorders>
              <w:top w:val="nil"/>
              <w:left w:val="nil"/>
              <w:bottom w:val="nil"/>
              <w:right w:val="nil"/>
            </w:tcBorders>
          </w:tcPr>
          <w:p w14:paraId="6939E691" w14:textId="2E73153B" w:rsidR="008851C8" w:rsidRPr="00B44A56" w:rsidRDefault="008851C8" w:rsidP="008851C8">
            <w:pPr>
              <w:rPr>
                <w:rFonts w:ascii="Arial" w:hAnsi="Arial" w:cs="Arial"/>
                <w:sz w:val="22"/>
                <w:szCs w:val="22"/>
              </w:rPr>
            </w:pPr>
            <w:r w:rsidRPr="00B44A56">
              <w:rPr>
                <w:rFonts w:ascii="Arial" w:hAnsi="Arial" w:cs="Arial"/>
                <w:sz w:val="22"/>
                <w:szCs w:val="22"/>
              </w:rPr>
              <w:t>Vision 2030</w:t>
            </w:r>
          </w:p>
        </w:tc>
        <w:tc>
          <w:tcPr>
            <w:tcW w:w="1318" w:type="dxa"/>
            <w:tcBorders>
              <w:top w:val="nil"/>
              <w:left w:val="nil"/>
              <w:bottom w:val="nil"/>
              <w:right w:val="nil"/>
            </w:tcBorders>
            <w:noWrap/>
          </w:tcPr>
          <w:p w14:paraId="6D4F4308" w14:textId="7B6CA4F1" w:rsidR="008851C8" w:rsidRPr="00B44A56" w:rsidRDefault="00FE1E46" w:rsidP="008851C8">
            <w:pPr>
              <w:jc w:val="right"/>
              <w:rPr>
                <w:rFonts w:ascii="Arial" w:hAnsi="Arial" w:cs="Arial"/>
                <w:sz w:val="22"/>
                <w:szCs w:val="22"/>
              </w:rPr>
            </w:pPr>
            <w:r>
              <w:rPr>
                <w:rFonts w:ascii="Arial" w:hAnsi="Arial" w:cs="Arial"/>
                <w:sz w:val="22"/>
                <w:szCs w:val="22"/>
              </w:rPr>
              <w:t>685,310</w:t>
            </w:r>
          </w:p>
        </w:tc>
        <w:tc>
          <w:tcPr>
            <w:tcW w:w="1195" w:type="dxa"/>
            <w:tcBorders>
              <w:top w:val="nil"/>
              <w:left w:val="nil"/>
              <w:bottom w:val="nil"/>
              <w:right w:val="nil"/>
            </w:tcBorders>
            <w:noWrap/>
          </w:tcPr>
          <w:p w14:paraId="14CB7B80" w14:textId="78926A00" w:rsidR="008851C8" w:rsidRPr="00B44A56" w:rsidRDefault="00FE1E46" w:rsidP="008851C8">
            <w:pPr>
              <w:jc w:val="right"/>
              <w:rPr>
                <w:rFonts w:ascii="Arial" w:hAnsi="Arial" w:cs="Arial"/>
                <w:sz w:val="22"/>
                <w:szCs w:val="22"/>
              </w:rPr>
            </w:pPr>
            <w:r>
              <w:rPr>
                <w:rFonts w:ascii="Arial" w:hAnsi="Arial" w:cs="Arial"/>
                <w:sz w:val="22"/>
                <w:szCs w:val="22"/>
              </w:rPr>
              <w:t>876,310</w:t>
            </w:r>
          </w:p>
        </w:tc>
        <w:tc>
          <w:tcPr>
            <w:tcW w:w="1195" w:type="dxa"/>
            <w:tcBorders>
              <w:top w:val="nil"/>
              <w:left w:val="nil"/>
              <w:bottom w:val="nil"/>
              <w:right w:val="nil"/>
            </w:tcBorders>
            <w:noWrap/>
          </w:tcPr>
          <w:p w14:paraId="5D4D9F10" w14:textId="3045683D" w:rsidR="008851C8" w:rsidRPr="00B44A56" w:rsidRDefault="00FE1E46" w:rsidP="008851C8">
            <w:pPr>
              <w:jc w:val="right"/>
              <w:rPr>
                <w:rFonts w:ascii="Arial" w:hAnsi="Arial" w:cs="Arial"/>
                <w:sz w:val="22"/>
                <w:szCs w:val="22"/>
              </w:rPr>
            </w:pPr>
            <w:r>
              <w:rPr>
                <w:rFonts w:ascii="Arial" w:hAnsi="Arial" w:cs="Arial"/>
                <w:sz w:val="22"/>
                <w:szCs w:val="22"/>
              </w:rPr>
              <w:t>926,310</w:t>
            </w:r>
          </w:p>
        </w:tc>
        <w:tc>
          <w:tcPr>
            <w:tcW w:w="1195" w:type="dxa"/>
            <w:tcBorders>
              <w:top w:val="nil"/>
              <w:left w:val="nil"/>
              <w:bottom w:val="nil"/>
              <w:right w:val="nil"/>
            </w:tcBorders>
            <w:noWrap/>
          </w:tcPr>
          <w:p w14:paraId="05DC002F" w14:textId="389A1AAC" w:rsidR="008851C8" w:rsidRPr="00B44A56" w:rsidRDefault="00FE1E46" w:rsidP="008851C8">
            <w:pPr>
              <w:jc w:val="right"/>
              <w:rPr>
                <w:rFonts w:ascii="Arial" w:hAnsi="Arial" w:cs="Arial"/>
                <w:sz w:val="22"/>
                <w:szCs w:val="22"/>
              </w:rPr>
            </w:pPr>
            <w:r>
              <w:rPr>
                <w:rFonts w:ascii="Arial" w:hAnsi="Arial" w:cs="Arial"/>
                <w:sz w:val="22"/>
                <w:szCs w:val="22"/>
              </w:rPr>
              <w:t>926,310</w:t>
            </w:r>
          </w:p>
        </w:tc>
        <w:tc>
          <w:tcPr>
            <w:tcW w:w="1195" w:type="dxa"/>
            <w:tcBorders>
              <w:top w:val="nil"/>
              <w:left w:val="nil"/>
              <w:bottom w:val="nil"/>
              <w:right w:val="nil"/>
            </w:tcBorders>
            <w:noWrap/>
          </w:tcPr>
          <w:p w14:paraId="63FFB69B" w14:textId="4CB6527E" w:rsidR="008851C8" w:rsidRPr="00B44A56" w:rsidRDefault="00FE1E46" w:rsidP="008851C8">
            <w:pPr>
              <w:jc w:val="right"/>
              <w:rPr>
                <w:rFonts w:ascii="Arial" w:hAnsi="Arial" w:cs="Arial"/>
                <w:sz w:val="22"/>
                <w:szCs w:val="22"/>
              </w:rPr>
            </w:pPr>
            <w:r>
              <w:rPr>
                <w:rFonts w:ascii="Arial" w:hAnsi="Arial" w:cs="Arial"/>
                <w:sz w:val="22"/>
                <w:szCs w:val="22"/>
              </w:rPr>
              <w:t>926,310</w:t>
            </w:r>
          </w:p>
        </w:tc>
        <w:tc>
          <w:tcPr>
            <w:tcW w:w="1195" w:type="dxa"/>
            <w:tcBorders>
              <w:top w:val="nil"/>
              <w:left w:val="nil"/>
              <w:bottom w:val="nil"/>
              <w:right w:val="nil"/>
            </w:tcBorders>
            <w:noWrap/>
          </w:tcPr>
          <w:p w14:paraId="640D469A" w14:textId="2FBBC298" w:rsidR="008851C8" w:rsidRPr="00B44A56" w:rsidRDefault="00FE1E46" w:rsidP="008851C8">
            <w:pPr>
              <w:jc w:val="right"/>
              <w:rPr>
                <w:rFonts w:ascii="Arial" w:hAnsi="Arial" w:cs="Arial"/>
                <w:sz w:val="22"/>
                <w:szCs w:val="22"/>
              </w:rPr>
            </w:pPr>
            <w:r>
              <w:rPr>
                <w:rFonts w:ascii="Arial" w:hAnsi="Arial" w:cs="Arial"/>
                <w:sz w:val="22"/>
                <w:szCs w:val="22"/>
              </w:rPr>
              <w:t>926,310</w:t>
            </w:r>
          </w:p>
        </w:tc>
      </w:tr>
      <w:tr w:rsidR="00215458" w:rsidRPr="006D70F0" w14:paraId="58371210" w14:textId="77777777" w:rsidTr="00397951">
        <w:trPr>
          <w:trHeight w:val="284"/>
        </w:trPr>
        <w:tc>
          <w:tcPr>
            <w:tcW w:w="3550" w:type="dxa"/>
            <w:tcBorders>
              <w:top w:val="nil"/>
              <w:left w:val="nil"/>
              <w:bottom w:val="nil"/>
              <w:right w:val="nil"/>
            </w:tcBorders>
          </w:tcPr>
          <w:p w14:paraId="63EBB523" w14:textId="77777777" w:rsidR="00DA209E" w:rsidRPr="00B44A56" w:rsidRDefault="00DA209E" w:rsidP="00DC0137">
            <w:pPr>
              <w:rPr>
                <w:rFonts w:ascii="Arial" w:hAnsi="Arial" w:cs="Arial"/>
                <w:sz w:val="22"/>
                <w:szCs w:val="22"/>
              </w:rPr>
            </w:pPr>
          </w:p>
        </w:tc>
        <w:tc>
          <w:tcPr>
            <w:tcW w:w="1318" w:type="dxa"/>
            <w:tcBorders>
              <w:top w:val="nil"/>
              <w:left w:val="nil"/>
              <w:bottom w:val="nil"/>
              <w:right w:val="nil"/>
            </w:tcBorders>
            <w:noWrap/>
          </w:tcPr>
          <w:p w14:paraId="6490E4CB" w14:textId="77777777" w:rsidR="00DA209E" w:rsidRDefault="00DA209E" w:rsidP="00DC0137">
            <w:pPr>
              <w:jc w:val="right"/>
              <w:rPr>
                <w:rFonts w:ascii="Arial" w:hAnsi="Arial" w:cs="Arial"/>
                <w:sz w:val="22"/>
                <w:szCs w:val="22"/>
              </w:rPr>
            </w:pPr>
          </w:p>
        </w:tc>
        <w:tc>
          <w:tcPr>
            <w:tcW w:w="1195" w:type="dxa"/>
            <w:tcBorders>
              <w:top w:val="nil"/>
              <w:left w:val="nil"/>
              <w:bottom w:val="nil"/>
              <w:right w:val="nil"/>
            </w:tcBorders>
            <w:noWrap/>
          </w:tcPr>
          <w:p w14:paraId="25A61ADC" w14:textId="77777777" w:rsidR="00DA209E" w:rsidRDefault="00DA209E" w:rsidP="00DC0137">
            <w:pPr>
              <w:jc w:val="right"/>
              <w:rPr>
                <w:rFonts w:ascii="Arial" w:hAnsi="Arial" w:cs="Arial"/>
                <w:sz w:val="22"/>
                <w:szCs w:val="22"/>
              </w:rPr>
            </w:pPr>
          </w:p>
        </w:tc>
        <w:tc>
          <w:tcPr>
            <w:tcW w:w="1195" w:type="dxa"/>
            <w:tcBorders>
              <w:top w:val="nil"/>
              <w:left w:val="nil"/>
              <w:bottom w:val="nil"/>
              <w:right w:val="nil"/>
            </w:tcBorders>
            <w:noWrap/>
          </w:tcPr>
          <w:p w14:paraId="70613EF6" w14:textId="77777777" w:rsidR="00DA209E" w:rsidRDefault="00DA209E" w:rsidP="00DC0137">
            <w:pPr>
              <w:jc w:val="right"/>
              <w:rPr>
                <w:rFonts w:ascii="Arial" w:hAnsi="Arial" w:cs="Arial"/>
                <w:sz w:val="22"/>
                <w:szCs w:val="22"/>
              </w:rPr>
            </w:pPr>
          </w:p>
        </w:tc>
        <w:tc>
          <w:tcPr>
            <w:tcW w:w="1195" w:type="dxa"/>
            <w:tcBorders>
              <w:top w:val="nil"/>
              <w:left w:val="nil"/>
              <w:bottom w:val="nil"/>
              <w:right w:val="nil"/>
            </w:tcBorders>
            <w:noWrap/>
          </w:tcPr>
          <w:p w14:paraId="5DB969C9" w14:textId="77777777" w:rsidR="00DA209E" w:rsidRDefault="00DA209E" w:rsidP="00DC0137">
            <w:pPr>
              <w:jc w:val="right"/>
              <w:rPr>
                <w:rFonts w:ascii="Arial" w:hAnsi="Arial" w:cs="Arial"/>
                <w:sz w:val="22"/>
                <w:szCs w:val="22"/>
              </w:rPr>
            </w:pPr>
          </w:p>
        </w:tc>
        <w:tc>
          <w:tcPr>
            <w:tcW w:w="1195" w:type="dxa"/>
            <w:tcBorders>
              <w:top w:val="nil"/>
              <w:left w:val="nil"/>
              <w:bottom w:val="nil"/>
              <w:right w:val="nil"/>
            </w:tcBorders>
            <w:noWrap/>
          </w:tcPr>
          <w:p w14:paraId="2D1C3F21" w14:textId="77777777" w:rsidR="00DA209E" w:rsidRDefault="00DA209E" w:rsidP="00DC0137">
            <w:pPr>
              <w:jc w:val="right"/>
              <w:rPr>
                <w:rFonts w:ascii="Arial" w:hAnsi="Arial" w:cs="Arial"/>
                <w:sz w:val="22"/>
                <w:szCs w:val="22"/>
              </w:rPr>
            </w:pPr>
          </w:p>
        </w:tc>
        <w:tc>
          <w:tcPr>
            <w:tcW w:w="1195" w:type="dxa"/>
            <w:tcBorders>
              <w:top w:val="nil"/>
              <w:left w:val="nil"/>
              <w:bottom w:val="nil"/>
              <w:right w:val="nil"/>
            </w:tcBorders>
            <w:noWrap/>
          </w:tcPr>
          <w:p w14:paraId="2FAE992D" w14:textId="77777777" w:rsidR="00DA209E" w:rsidRDefault="00DA209E" w:rsidP="00DC0137">
            <w:pPr>
              <w:jc w:val="right"/>
              <w:rPr>
                <w:rFonts w:ascii="Arial" w:hAnsi="Arial" w:cs="Arial"/>
                <w:sz w:val="22"/>
                <w:szCs w:val="22"/>
              </w:rPr>
            </w:pPr>
          </w:p>
        </w:tc>
      </w:tr>
      <w:tr w:rsidR="00244FE7" w:rsidRPr="006D70F0" w14:paraId="0FE587F2" w14:textId="77777777" w:rsidTr="00134927">
        <w:trPr>
          <w:trHeight w:val="299"/>
        </w:trPr>
        <w:tc>
          <w:tcPr>
            <w:tcW w:w="3550" w:type="dxa"/>
            <w:tcBorders>
              <w:top w:val="nil"/>
              <w:left w:val="nil"/>
              <w:bottom w:val="nil"/>
              <w:right w:val="nil"/>
            </w:tcBorders>
            <w:noWrap/>
          </w:tcPr>
          <w:p w14:paraId="21897C9C" w14:textId="41C73008" w:rsidR="00DA209E" w:rsidRPr="00DA209E" w:rsidRDefault="00DA209E">
            <w:pPr>
              <w:rPr>
                <w:rFonts w:ascii="Arial" w:hAnsi="Arial" w:cs="Arial"/>
                <w:b/>
                <w:color w:val="000000"/>
                <w:sz w:val="22"/>
                <w:szCs w:val="22"/>
              </w:rPr>
            </w:pPr>
            <w:r w:rsidRPr="00DA209E">
              <w:rPr>
                <w:rFonts w:ascii="Arial" w:hAnsi="Arial" w:cs="Arial"/>
                <w:b/>
                <w:color w:val="000000"/>
                <w:sz w:val="22"/>
                <w:szCs w:val="22"/>
              </w:rPr>
              <w:t>Total Earmarked Reserves</w:t>
            </w:r>
          </w:p>
        </w:tc>
        <w:tc>
          <w:tcPr>
            <w:tcW w:w="1318" w:type="dxa"/>
            <w:tcBorders>
              <w:top w:val="single" w:sz="4" w:space="0" w:color="auto"/>
              <w:left w:val="nil"/>
              <w:bottom w:val="single" w:sz="4" w:space="0" w:color="auto"/>
              <w:right w:val="nil"/>
            </w:tcBorders>
            <w:noWrap/>
          </w:tcPr>
          <w:p w14:paraId="327E1E33" w14:textId="4F4F5786" w:rsidR="00DA209E" w:rsidRDefault="003D6C27">
            <w:pPr>
              <w:jc w:val="right"/>
              <w:rPr>
                <w:rFonts w:ascii="Arial" w:hAnsi="Arial" w:cs="Arial"/>
                <w:b/>
                <w:sz w:val="22"/>
                <w:szCs w:val="22"/>
              </w:rPr>
            </w:pPr>
            <w:r>
              <w:rPr>
                <w:rFonts w:ascii="Arial" w:hAnsi="Arial" w:cs="Arial"/>
                <w:b/>
                <w:sz w:val="22"/>
                <w:szCs w:val="22"/>
              </w:rPr>
              <w:t>6,565,800</w:t>
            </w:r>
          </w:p>
        </w:tc>
        <w:tc>
          <w:tcPr>
            <w:tcW w:w="1195" w:type="dxa"/>
            <w:tcBorders>
              <w:top w:val="single" w:sz="4" w:space="0" w:color="auto"/>
              <w:left w:val="nil"/>
              <w:bottom w:val="single" w:sz="4" w:space="0" w:color="auto"/>
              <w:right w:val="nil"/>
            </w:tcBorders>
            <w:noWrap/>
          </w:tcPr>
          <w:p w14:paraId="2B5966D7" w14:textId="394A7C1F" w:rsidR="00DA209E" w:rsidRDefault="003D6C27">
            <w:pPr>
              <w:jc w:val="right"/>
              <w:rPr>
                <w:rFonts w:ascii="Arial" w:hAnsi="Arial" w:cs="Arial"/>
                <w:b/>
                <w:sz w:val="22"/>
                <w:szCs w:val="22"/>
              </w:rPr>
            </w:pPr>
            <w:r>
              <w:rPr>
                <w:rFonts w:ascii="Arial" w:hAnsi="Arial" w:cs="Arial"/>
                <w:b/>
                <w:sz w:val="22"/>
                <w:szCs w:val="22"/>
              </w:rPr>
              <w:t>6,278,550</w:t>
            </w:r>
          </w:p>
        </w:tc>
        <w:tc>
          <w:tcPr>
            <w:tcW w:w="1195" w:type="dxa"/>
            <w:tcBorders>
              <w:top w:val="single" w:sz="4" w:space="0" w:color="auto"/>
              <w:left w:val="nil"/>
              <w:bottom w:val="single" w:sz="4" w:space="0" w:color="auto"/>
              <w:right w:val="nil"/>
            </w:tcBorders>
            <w:noWrap/>
          </w:tcPr>
          <w:p w14:paraId="1FCB178E" w14:textId="70803835" w:rsidR="00DA209E" w:rsidRDefault="003D6C27">
            <w:pPr>
              <w:jc w:val="right"/>
              <w:rPr>
                <w:rFonts w:ascii="Arial" w:hAnsi="Arial" w:cs="Arial"/>
                <w:b/>
                <w:sz w:val="22"/>
                <w:szCs w:val="22"/>
              </w:rPr>
            </w:pPr>
            <w:r>
              <w:rPr>
                <w:rFonts w:ascii="Arial" w:hAnsi="Arial" w:cs="Arial"/>
                <w:b/>
                <w:sz w:val="22"/>
                <w:szCs w:val="22"/>
              </w:rPr>
              <w:t>6,806,290</w:t>
            </w:r>
          </w:p>
        </w:tc>
        <w:tc>
          <w:tcPr>
            <w:tcW w:w="1195" w:type="dxa"/>
            <w:tcBorders>
              <w:top w:val="single" w:sz="4" w:space="0" w:color="auto"/>
              <w:left w:val="nil"/>
              <w:bottom w:val="single" w:sz="4" w:space="0" w:color="auto"/>
              <w:right w:val="nil"/>
            </w:tcBorders>
            <w:noWrap/>
          </w:tcPr>
          <w:p w14:paraId="4D536712" w14:textId="301E065E" w:rsidR="00DA209E" w:rsidRDefault="003D6C27">
            <w:pPr>
              <w:jc w:val="right"/>
              <w:rPr>
                <w:rFonts w:ascii="Arial" w:hAnsi="Arial" w:cs="Arial"/>
                <w:b/>
                <w:sz w:val="22"/>
                <w:szCs w:val="22"/>
              </w:rPr>
            </w:pPr>
            <w:r>
              <w:rPr>
                <w:rFonts w:ascii="Arial" w:hAnsi="Arial" w:cs="Arial"/>
                <w:b/>
                <w:sz w:val="22"/>
                <w:szCs w:val="22"/>
              </w:rPr>
              <w:t>6,933,680</w:t>
            </w:r>
          </w:p>
        </w:tc>
        <w:tc>
          <w:tcPr>
            <w:tcW w:w="1195" w:type="dxa"/>
            <w:tcBorders>
              <w:top w:val="single" w:sz="4" w:space="0" w:color="auto"/>
              <w:left w:val="nil"/>
              <w:bottom w:val="single" w:sz="4" w:space="0" w:color="auto"/>
              <w:right w:val="nil"/>
            </w:tcBorders>
            <w:noWrap/>
          </w:tcPr>
          <w:p w14:paraId="13A5F821" w14:textId="1444FA66" w:rsidR="00DA209E" w:rsidRDefault="003D6C27">
            <w:pPr>
              <w:jc w:val="right"/>
              <w:rPr>
                <w:rFonts w:ascii="Arial" w:hAnsi="Arial" w:cs="Arial"/>
                <w:b/>
                <w:sz w:val="22"/>
                <w:szCs w:val="22"/>
              </w:rPr>
            </w:pPr>
            <w:r>
              <w:rPr>
                <w:rFonts w:ascii="Arial" w:hAnsi="Arial" w:cs="Arial"/>
                <w:b/>
                <w:sz w:val="22"/>
                <w:szCs w:val="22"/>
              </w:rPr>
              <w:t>7,104,430</w:t>
            </w:r>
          </w:p>
        </w:tc>
        <w:tc>
          <w:tcPr>
            <w:tcW w:w="1195" w:type="dxa"/>
            <w:tcBorders>
              <w:top w:val="single" w:sz="4" w:space="0" w:color="auto"/>
              <w:left w:val="nil"/>
              <w:bottom w:val="single" w:sz="4" w:space="0" w:color="auto"/>
              <w:right w:val="nil"/>
            </w:tcBorders>
            <w:noWrap/>
          </w:tcPr>
          <w:p w14:paraId="612CD49D" w14:textId="750EDC6D" w:rsidR="00DA209E" w:rsidRDefault="003D6C27">
            <w:pPr>
              <w:jc w:val="right"/>
              <w:rPr>
                <w:rFonts w:ascii="Arial" w:hAnsi="Arial" w:cs="Arial"/>
                <w:b/>
                <w:sz w:val="22"/>
                <w:szCs w:val="22"/>
              </w:rPr>
            </w:pPr>
            <w:r>
              <w:rPr>
                <w:rFonts w:ascii="Arial" w:hAnsi="Arial" w:cs="Arial"/>
                <w:b/>
                <w:sz w:val="22"/>
                <w:szCs w:val="22"/>
              </w:rPr>
              <w:t>7,281,840</w:t>
            </w:r>
          </w:p>
        </w:tc>
      </w:tr>
      <w:tr w:rsidR="00215458" w:rsidRPr="006D70F0" w14:paraId="55BE8B20" w14:textId="77777777" w:rsidTr="00D72427">
        <w:trPr>
          <w:trHeight w:val="284"/>
        </w:trPr>
        <w:tc>
          <w:tcPr>
            <w:tcW w:w="3550" w:type="dxa"/>
            <w:tcBorders>
              <w:top w:val="nil"/>
              <w:left w:val="nil"/>
              <w:right w:val="nil"/>
            </w:tcBorders>
          </w:tcPr>
          <w:p w14:paraId="34F285A7" w14:textId="77777777" w:rsidR="00DA209E" w:rsidRPr="00B44A56" w:rsidRDefault="00DA209E" w:rsidP="00DC0137">
            <w:pPr>
              <w:rPr>
                <w:rFonts w:ascii="Arial" w:hAnsi="Arial" w:cs="Arial"/>
                <w:sz w:val="22"/>
                <w:szCs w:val="22"/>
              </w:rPr>
            </w:pPr>
          </w:p>
        </w:tc>
        <w:tc>
          <w:tcPr>
            <w:tcW w:w="1318" w:type="dxa"/>
            <w:tcBorders>
              <w:top w:val="nil"/>
              <w:left w:val="nil"/>
              <w:right w:val="nil"/>
            </w:tcBorders>
            <w:noWrap/>
          </w:tcPr>
          <w:p w14:paraId="56FE18DB" w14:textId="77777777" w:rsidR="00DA209E" w:rsidRDefault="00DA209E" w:rsidP="00DC0137">
            <w:pPr>
              <w:jc w:val="right"/>
              <w:rPr>
                <w:rFonts w:ascii="Arial" w:hAnsi="Arial" w:cs="Arial"/>
                <w:sz w:val="22"/>
                <w:szCs w:val="22"/>
              </w:rPr>
            </w:pPr>
          </w:p>
        </w:tc>
        <w:tc>
          <w:tcPr>
            <w:tcW w:w="1195" w:type="dxa"/>
            <w:tcBorders>
              <w:top w:val="nil"/>
              <w:left w:val="nil"/>
              <w:right w:val="nil"/>
            </w:tcBorders>
            <w:noWrap/>
          </w:tcPr>
          <w:p w14:paraId="6D0C6472" w14:textId="77777777" w:rsidR="00DA209E" w:rsidRDefault="00DA209E" w:rsidP="00DC0137">
            <w:pPr>
              <w:jc w:val="right"/>
              <w:rPr>
                <w:rFonts w:ascii="Arial" w:hAnsi="Arial" w:cs="Arial"/>
                <w:sz w:val="22"/>
                <w:szCs w:val="22"/>
              </w:rPr>
            </w:pPr>
          </w:p>
        </w:tc>
        <w:tc>
          <w:tcPr>
            <w:tcW w:w="1195" w:type="dxa"/>
            <w:tcBorders>
              <w:top w:val="nil"/>
              <w:left w:val="nil"/>
              <w:right w:val="nil"/>
            </w:tcBorders>
            <w:noWrap/>
          </w:tcPr>
          <w:p w14:paraId="0F764FEB" w14:textId="77777777" w:rsidR="00DA209E" w:rsidRDefault="00DA209E" w:rsidP="00DC0137">
            <w:pPr>
              <w:jc w:val="right"/>
              <w:rPr>
                <w:rFonts w:ascii="Arial" w:hAnsi="Arial" w:cs="Arial"/>
                <w:sz w:val="22"/>
                <w:szCs w:val="22"/>
              </w:rPr>
            </w:pPr>
          </w:p>
        </w:tc>
        <w:tc>
          <w:tcPr>
            <w:tcW w:w="1195" w:type="dxa"/>
            <w:tcBorders>
              <w:top w:val="nil"/>
              <w:left w:val="nil"/>
              <w:right w:val="nil"/>
            </w:tcBorders>
            <w:noWrap/>
          </w:tcPr>
          <w:p w14:paraId="48E4B06E" w14:textId="77777777" w:rsidR="00DA209E" w:rsidRDefault="00DA209E" w:rsidP="00DC0137">
            <w:pPr>
              <w:jc w:val="right"/>
              <w:rPr>
                <w:rFonts w:ascii="Arial" w:hAnsi="Arial" w:cs="Arial"/>
                <w:sz w:val="22"/>
                <w:szCs w:val="22"/>
              </w:rPr>
            </w:pPr>
          </w:p>
        </w:tc>
        <w:tc>
          <w:tcPr>
            <w:tcW w:w="1195" w:type="dxa"/>
            <w:tcBorders>
              <w:top w:val="nil"/>
              <w:left w:val="nil"/>
              <w:right w:val="nil"/>
            </w:tcBorders>
            <w:noWrap/>
          </w:tcPr>
          <w:p w14:paraId="08513F6F" w14:textId="77777777" w:rsidR="00DA209E" w:rsidRDefault="00DA209E" w:rsidP="00DC0137">
            <w:pPr>
              <w:jc w:val="right"/>
              <w:rPr>
                <w:rFonts w:ascii="Arial" w:hAnsi="Arial" w:cs="Arial"/>
                <w:sz w:val="22"/>
                <w:szCs w:val="22"/>
              </w:rPr>
            </w:pPr>
          </w:p>
        </w:tc>
        <w:tc>
          <w:tcPr>
            <w:tcW w:w="1195" w:type="dxa"/>
            <w:tcBorders>
              <w:top w:val="nil"/>
              <w:left w:val="nil"/>
              <w:right w:val="nil"/>
            </w:tcBorders>
            <w:noWrap/>
          </w:tcPr>
          <w:p w14:paraId="2FFB4623" w14:textId="77777777" w:rsidR="00DA209E" w:rsidRDefault="00DA209E" w:rsidP="00DC0137">
            <w:pPr>
              <w:jc w:val="right"/>
              <w:rPr>
                <w:rFonts w:ascii="Arial" w:hAnsi="Arial" w:cs="Arial"/>
                <w:sz w:val="22"/>
                <w:szCs w:val="22"/>
              </w:rPr>
            </w:pPr>
          </w:p>
        </w:tc>
      </w:tr>
      <w:tr w:rsidR="00215458" w:rsidRPr="006D70F0" w14:paraId="2CF9D677" w14:textId="77777777" w:rsidTr="00D72427">
        <w:trPr>
          <w:trHeight w:val="284"/>
        </w:trPr>
        <w:tc>
          <w:tcPr>
            <w:tcW w:w="3550" w:type="dxa"/>
            <w:tcBorders>
              <w:top w:val="nil"/>
              <w:left w:val="nil"/>
              <w:right w:val="nil"/>
            </w:tcBorders>
          </w:tcPr>
          <w:p w14:paraId="5E6AB46F" w14:textId="00FE8293" w:rsidR="009A6676" w:rsidRPr="00B44A56" w:rsidRDefault="00261A74" w:rsidP="00DC0137">
            <w:pPr>
              <w:rPr>
                <w:rFonts w:ascii="Arial" w:hAnsi="Arial" w:cs="Arial"/>
                <w:sz w:val="22"/>
                <w:szCs w:val="22"/>
              </w:rPr>
            </w:pPr>
            <w:r>
              <w:rPr>
                <w:rFonts w:ascii="Arial" w:hAnsi="Arial" w:cs="Arial"/>
                <w:sz w:val="22"/>
                <w:szCs w:val="22"/>
              </w:rPr>
              <w:t xml:space="preserve">Insurance </w:t>
            </w:r>
            <w:r w:rsidR="00FB0667">
              <w:rPr>
                <w:rFonts w:ascii="Arial" w:hAnsi="Arial" w:cs="Arial"/>
                <w:sz w:val="22"/>
                <w:szCs w:val="22"/>
              </w:rPr>
              <w:t>Fund Reserve</w:t>
            </w:r>
          </w:p>
        </w:tc>
        <w:tc>
          <w:tcPr>
            <w:tcW w:w="1318" w:type="dxa"/>
            <w:tcBorders>
              <w:top w:val="nil"/>
              <w:left w:val="nil"/>
              <w:right w:val="nil"/>
            </w:tcBorders>
            <w:noWrap/>
          </w:tcPr>
          <w:p w14:paraId="3E98E509" w14:textId="67FBD858" w:rsidR="009A6676" w:rsidRDefault="00772C4A" w:rsidP="00DC0137">
            <w:pPr>
              <w:jc w:val="right"/>
              <w:rPr>
                <w:rFonts w:ascii="Arial" w:hAnsi="Arial" w:cs="Arial"/>
                <w:sz w:val="22"/>
                <w:szCs w:val="22"/>
              </w:rPr>
            </w:pPr>
            <w:r>
              <w:rPr>
                <w:rFonts w:ascii="Arial" w:hAnsi="Arial" w:cs="Arial"/>
                <w:sz w:val="22"/>
                <w:szCs w:val="22"/>
              </w:rPr>
              <w:t>1,166,279</w:t>
            </w:r>
          </w:p>
        </w:tc>
        <w:tc>
          <w:tcPr>
            <w:tcW w:w="1195" w:type="dxa"/>
            <w:tcBorders>
              <w:top w:val="nil"/>
              <w:left w:val="nil"/>
              <w:right w:val="nil"/>
            </w:tcBorders>
            <w:noWrap/>
          </w:tcPr>
          <w:p w14:paraId="0A975487" w14:textId="0C9D590C" w:rsidR="009A6676" w:rsidRDefault="00E94217" w:rsidP="00DC0137">
            <w:pPr>
              <w:jc w:val="right"/>
              <w:rPr>
                <w:rFonts w:ascii="Arial" w:hAnsi="Arial" w:cs="Arial"/>
                <w:sz w:val="22"/>
                <w:szCs w:val="22"/>
              </w:rPr>
            </w:pPr>
            <w:r>
              <w:rPr>
                <w:rFonts w:ascii="Arial" w:hAnsi="Arial" w:cs="Arial"/>
                <w:sz w:val="22"/>
                <w:szCs w:val="22"/>
              </w:rPr>
              <w:t>1,192,459</w:t>
            </w:r>
          </w:p>
        </w:tc>
        <w:tc>
          <w:tcPr>
            <w:tcW w:w="1195" w:type="dxa"/>
            <w:tcBorders>
              <w:top w:val="nil"/>
              <w:left w:val="nil"/>
              <w:right w:val="nil"/>
            </w:tcBorders>
            <w:noWrap/>
          </w:tcPr>
          <w:p w14:paraId="6A9272BE" w14:textId="59AC539D" w:rsidR="009A6676" w:rsidRDefault="00E94217" w:rsidP="00DC0137">
            <w:pPr>
              <w:jc w:val="right"/>
              <w:rPr>
                <w:rFonts w:ascii="Arial" w:hAnsi="Arial" w:cs="Arial"/>
                <w:sz w:val="22"/>
                <w:szCs w:val="22"/>
              </w:rPr>
            </w:pPr>
            <w:r>
              <w:rPr>
                <w:rFonts w:ascii="Arial" w:hAnsi="Arial" w:cs="Arial"/>
                <w:sz w:val="22"/>
                <w:szCs w:val="22"/>
              </w:rPr>
              <w:t>1,127,522</w:t>
            </w:r>
          </w:p>
        </w:tc>
        <w:tc>
          <w:tcPr>
            <w:tcW w:w="1195" w:type="dxa"/>
            <w:tcBorders>
              <w:top w:val="nil"/>
              <w:left w:val="nil"/>
              <w:right w:val="nil"/>
            </w:tcBorders>
            <w:noWrap/>
          </w:tcPr>
          <w:p w14:paraId="0F48C99B" w14:textId="51FAF1FF" w:rsidR="009A6676" w:rsidRDefault="00E94217" w:rsidP="00DC0137">
            <w:pPr>
              <w:jc w:val="right"/>
              <w:rPr>
                <w:rFonts w:ascii="Arial" w:hAnsi="Arial" w:cs="Arial"/>
                <w:sz w:val="22"/>
                <w:szCs w:val="22"/>
              </w:rPr>
            </w:pPr>
            <w:r>
              <w:rPr>
                <w:rFonts w:ascii="Arial" w:hAnsi="Arial" w:cs="Arial"/>
                <w:sz w:val="22"/>
                <w:szCs w:val="22"/>
              </w:rPr>
              <w:t>1,128,110</w:t>
            </w:r>
          </w:p>
        </w:tc>
        <w:tc>
          <w:tcPr>
            <w:tcW w:w="1195" w:type="dxa"/>
            <w:tcBorders>
              <w:top w:val="nil"/>
              <w:left w:val="nil"/>
              <w:right w:val="nil"/>
            </w:tcBorders>
            <w:noWrap/>
          </w:tcPr>
          <w:p w14:paraId="766AE5F8" w14:textId="4CCB27F8" w:rsidR="009A6676" w:rsidRDefault="00E94217" w:rsidP="00DC0137">
            <w:pPr>
              <w:jc w:val="right"/>
              <w:rPr>
                <w:rFonts w:ascii="Arial" w:hAnsi="Arial" w:cs="Arial"/>
                <w:sz w:val="22"/>
                <w:szCs w:val="22"/>
              </w:rPr>
            </w:pPr>
            <w:r>
              <w:rPr>
                <w:rFonts w:ascii="Arial" w:hAnsi="Arial" w:cs="Arial"/>
                <w:sz w:val="22"/>
                <w:szCs w:val="22"/>
              </w:rPr>
              <w:t>1,143,406</w:t>
            </w:r>
          </w:p>
        </w:tc>
        <w:tc>
          <w:tcPr>
            <w:tcW w:w="1195" w:type="dxa"/>
            <w:tcBorders>
              <w:top w:val="nil"/>
              <w:left w:val="nil"/>
              <w:right w:val="nil"/>
            </w:tcBorders>
            <w:noWrap/>
          </w:tcPr>
          <w:p w14:paraId="7E0550CD" w14:textId="78F619BD" w:rsidR="009A6676" w:rsidRDefault="00E94217" w:rsidP="00DC0137">
            <w:pPr>
              <w:jc w:val="right"/>
              <w:rPr>
                <w:rFonts w:ascii="Arial" w:hAnsi="Arial" w:cs="Arial"/>
                <w:sz w:val="22"/>
                <w:szCs w:val="22"/>
              </w:rPr>
            </w:pPr>
            <w:r>
              <w:rPr>
                <w:rFonts w:ascii="Arial" w:hAnsi="Arial" w:cs="Arial"/>
                <w:sz w:val="22"/>
                <w:szCs w:val="22"/>
              </w:rPr>
              <w:t>1,136,121</w:t>
            </w:r>
          </w:p>
        </w:tc>
      </w:tr>
      <w:tr w:rsidR="00244FE7" w:rsidRPr="006D70F0" w14:paraId="493A34B5" w14:textId="77777777" w:rsidTr="00D72427">
        <w:trPr>
          <w:trHeight w:val="299"/>
        </w:trPr>
        <w:tc>
          <w:tcPr>
            <w:tcW w:w="3550" w:type="dxa"/>
            <w:tcBorders>
              <w:top w:val="nil"/>
              <w:left w:val="nil"/>
              <w:bottom w:val="nil"/>
              <w:right w:val="nil"/>
            </w:tcBorders>
            <w:noWrap/>
          </w:tcPr>
          <w:p w14:paraId="5D257E22" w14:textId="77777777" w:rsidR="00DA209E" w:rsidRPr="00F9473E" w:rsidRDefault="00DA209E" w:rsidP="00DC0137">
            <w:pPr>
              <w:rPr>
                <w:rFonts w:ascii="Arial" w:hAnsi="Arial" w:cs="Arial"/>
                <w:b/>
                <w:color w:val="000000"/>
                <w:sz w:val="22"/>
                <w:szCs w:val="22"/>
              </w:rPr>
            </w:pPr>
          </w:p>
        </w:tc>
        <w:tc>
          <w:tcPr>
            <w:tcW w:w="1318" w:type="dxa"/>
            <w:tcBorders>
              <w:left w:val="nil"/>
              <w:bottom w:val="single" w:sz="4" w:space="0" w:color="auto"/>
              <w:right w:val="nil"/>
            </w:tcBorders>
            <w:noWrap/>
          </w:tcPr>
          <w:p w14:paraId="0264D02C" w14:textId="77777777" w:rsidR="00DA209E" w:rsidRDefault="00DA209E" w:rsidP="00DC0137">
            <w:pPr>
              <w:jc w:val="right"/>
              <w:rPr>
                <w:rFonts w:ascii="Arial" w:hAnsi="Arial" w:cs="Arial"/>
                <w:b/>
                <w:sz w:val="22"/>
                <w:szCs w:val="22"/>
              </w:rPr>
            </w:pPr>
          </w:p>
        </w:tc>
        <w:tc>
          <w:tcPr>
            <w:tcW w:w="1195" w:type="dxa"/>
            <w:tcBorders>
              <w:left w:val="nil"/>
              <w:bottom w:val="single" w:sz="4" w:space="0" w:color="auto"/>
              <w:right w:val="nil"/>
            </w:tcBorders>
            <w:noWrap/>
          </w:tcPr>
          <w:p w14:paraId="7092D816" w14:textId="77777777" w:rsidR="00DA209E" w:rsidRDefault="00DA209E" w:rsidP="00DC0137">
            <w:pPr>
              <w:jc w:val="right"/>
              <w:rPr>
                <w:rFonts w:ascii="Arial" w:hAnsi="Arial" w:cs="Arial"/>
                <w:b/>
                <w:sz w:val="22"/>
                <w:szCs w:val="22"/>
              </w:rPr>
            </w:pPr>
          </w:p>
        </w:tc>
        <w:tc>
          <w:tcPr>
            <w:tcW w:w="1195" w:type="dxa"/>
            <w:tcBorders>
              <w:left w:val="nil"/>
              <w:bottom w:val="single" w:sz="4" w:space="0" w:color="auto"/>
              <w:right w:val="nil"/>
            </w:tcBorders>
            <w:noWrap/>
          </w:tcPr>
          <w:p w14:paraId="4C78B55C" w14:textId="77777777" w:rsidR="00DA209E" w:rsidRDefault="00DA209E" w:rsidP="00DC0137">
            <w:pPr>
              <w:jc w:val="right"/>
              <w:rPr>
                <w:rFonts w:ascii="Arial" w:hAnsi="Arial" w:cs="Arial"/>
                <w:b/>
                <w:sz w:val="22"/>
                <w:szCs w:val="22"/>
              </w:rPr>
            </w:pPr>
          </w:p>
        </w:tc>
        <w:tc>
          <w:tcPr>
            <w:tcW w:w="1195" w:type="dxa"/>
            <w:tcBorders>
              <w:left w:val="nil"/>
              <w:bottom w:val="single" w:sz="4" w:space="0" w:color="auto"/>
              <w:right w:val="nil"/>
            </w:tcBorders>
            <w:noWrap/>
          </w:tcPr>
          <w:p w14:paraId="4DD27472" w14:textId="77777777" w:rsidR="00DA209E" w:rsidRDefault="00DA209E" w:rsidP="00DC0137">
            <w:pPr>
              <w:jc w:val="right"/>
              <w:rPr>
                <w:rFonts w:ascii="Arial" w:hAnsi="Arial" w:cs="Arial"/>
                <w:b/>
                <w:sz w:val="22"/>
                <w:szCs w:val="22"/>
              </w:rPr>
            </w:pPr>
          </w:p>
        </w:tc>
        <w:tc>
          <w:tcPr>
            <w:tcW w:w="1195" w:type="dxa"/>
            <w:tcBorders>
              <w:left w:val="nil"/>
              <w:bottom w:val="single" w:sz="4" w:space="0" w:color="auto"/>
              <w:right w:val="nil"/>
            </w:tcBorders>
            <w:noWrap/>
          </w:tcPr>
          <w:p w14:paraId="1DCA1414" w14:textId="77777777" w:rsidR="00DA209E" w:rsidRDefault="00DA209E" w:rsidP="00DC0137">
            <w:pPr>
              <w:jc w:val="right"/>
              <w:rPr>
                <w:rFonts w:ascii="Arial" w:hAnsi="Arial" w:cs="Arial"/>
                <w:b/>
                <w:sz w:val="22"/>
                <w:szCs w:val="22"/>
              </w:rPr>
            </w:pPr>
          </w:p>
        </w:tc>
        <w:tc>
          <w:tcPr>
            <w:tcW w:w="1195" w:type="dxa"/>
            <w:tcBorders>
              <w:left w:val="nil"/>
              <w:bottom w:val="single" w:sz="4" w:space="0" w:color="auto"/>
              <w:right w:val="nil"/>
            </w:tcBorders>
            <w:noWrap/>
          </w:tcPr>
          <w:p w14:paraId="6C7114DC" w14:textId="77777777" w:rsidR="00DA209E" w:rsidRDefault="00DA209E" w:rsidP="00DC0137">
            <w:pPr>
              <w:jc w:val="right"/>
              <w:rPr>
                <w:rFonts w:ascii="Arial" w:hAnsi="Arial" w:cs="Arial"/>
                <w:b/>
                <w:sz w:val="22"/>
                <w:szCs w:val="22"/>
              </w:rPr>
            </w:pPr>
          </w:p>
        </w:tc>
      </w:tr>
      <w:tr w:rsidR="00940C93" w:rsidRPr="006D70F0" w14:paraId="49C46FD3" w14:textId="77777777" w:rsidTr="0001311E">
        <w:trPr>
          <w:trHeight w:val="471"/>
        </w:trPr>
        <w:tc>
          <w:tcPr>
            <w:tcW w:w="3550" w:type="dxa"/>
            <w:tcBorders>
              <w:top w:val="nil"/>
              <w:left w:val="nil"/>
              <w:bottom w:val="nil"/>
              <w:right w:val="nil"/>
            </w:tcBorders>
            <w:noWrap/>
            <w:hideMark/>
          </w:tcPr>
          <w:p w14:paraId="5D92BCF8" w14:textId="77777777" w:rsidR="008851C8" w:rsidRPr="00F9473E" w:rsidRDefault="008851C8" w:rsidP="008851C8">
            <w:pPr>
              <w:rPr>
                <w:rFonts w:ascii="Arial" w:hAnsi="Arial" w:cs="Arial"/>
                <w:b/>
                <w:color w:val="000000"/>
                <w:sz w:val="22"/>
                <w:szCs w:val="22"/>
              </w:rPr>
            </w:pPr>
            <w:r w:rsidRPr="00F9473E">
              <w:rPr>
                <w:rFonts w:ascii="Arial" w:hAnsi="Arial" w:cs="Arial"/>
                <w:b/>
                <w:color w:val="000000"/>
                <w:sz w:val="22"/>
                <w:szCs w:val="22"/>
              </w:rPr>
              <w:t xml:space="preserve">TOTAL GENERAL FUND </w:t>
            </w:r>
          </w:p>
        </w:tc>
        <w:tc>
          <w:tcPr>
            <w:tcW w:w="1318" w:type="dxa"/>
            <w:tcBorders>
              <w:top w:val="single" w:sz="4" w:space="0" w:color="auto"/>
              <w:left w:val="nil"/>
              <w:bottom w:val="single" w:sz="4" w:space="0" w:color="auto"/>
              <w:right w:val="nil"/>
            </w:tcBorders>
            <w:noWrap/>
          </w:tcPr>
          <w:p w14:paraId="616863F0" w14:textId="6A72E65B" w:rsidR="008851C8" w:rsidRPr="00F9473E" w:rsidRDefault="001D6442" w:rsidP="008851C8">
            <w:pPr>
              <w:jc w:val="right"/>
              <w:rPr>
                <w:rFonts w:ascii="Arial" w:hAnsi="Arial" w:cs="Arial"/>
                <w:b/>
                <w:sz w:val="22"/>
                <w:szCs w:val="22"/>
                <w:lang w:eastAsia="en-GB"/>
              </w:rPr>
            </w:pPr>
            <w:r>
              <w:rPr>
                <w:rFonts w:ascii="Arial" w:hAnsi="Arial" w:cs="Arial"/>
                <w:b/>
                <w:sz w:val="22"/>
                <w:szCs w:val="22"/>
              </w:rPr>
              <w:t>7,732,079</w:t>
            </w:r>
          </w:p>
        </w:tc>
        <w:tc>
          <w:tcPr>
            <w:tcW w:w="1195" w:type="dxa"/>
            <w:tcBorders>
              <w:top w:val="single" w:sz="4" w:space="0" w:color="auto"/>
              <w:left w:val="nil"/>
              <w:bottom w:val="single" w:sz="4" w:space="0" w:color="auto"/>
              <w:right w:val="nil"/>
            </w:tcBorders>
            <w:noWrap/>
          </w:tcPr>
          <w:p w14:paraId="7CCED2F6" w14:textId="2F8E5CB4" w:rsidR="008851C8" w:rsidRPr="00F9473E" w:rsidRDefault="001D6442" w:rsidP="008851C8">
            <w:pPr>
              <w:jc w:val="right"/>
              <w:rPr>
                <w:rFonts w:ascii="Arial" w:hAnsi="Arial" w:cs="Arial"/>
                <w:b/>
                <w:sz w:val="22"/>
                <w:szCs w:val="22"/>
              </w:rPr>
            </w:pPr>
            <w:r>
              <w:rPr>
                <w:rFonts w:ascii="Arial" w:hAnsi="Arial" w:cs="Arial"/>
                <w:b/>
                <w:sz w:val="22"/>
                <w:szCs w:val="22"/>
              </w:rPr>
              <w:t>7,471,009</w:t>
            </w:r>
          </w:p>
        </w:tc>
        <w:tc>
          <w:tcPr>
            <w:tcW w:w="1195" w:type="dxa"/>
            <w:tcBorders>
              <w:top w:val="single" w:sz="4" w:space="0" w:color="auto"/>
              <w:left w:val="nil"/>
              <w:bottom w:val="single" w:sz="4" w:space="0" w:color="auto"/>
              <w:right w:val="nil"/>
            </w:tcBorders>
            <w:noWrap/>
          </w:tcPr>
          <w:p w14:paraId="25803356" w14:textId="2BFD6BB4" w:rsidR="008851C8" w:rsidRPr="00F9473E" w:rsidRDefault="001D6442" w:rsidP="008851C8">
            <w:pPr>
              <w:jc w:val="right"/>
              <w:rPr>
                <w:rFonts w:ascii="Arial" w:hAnsi="Arial" w:cs="Arial"/>
                <w:b/>
                <w:sz w:val="22"/>
                <w:szCs w:val="22"/>
              </w:rPr>
            </w:pPr>
            <w:r>
              <w:rPr>
                <w:rFonts w:ascii="Arial" w:hAnsi="Arial" w:cs="Arial"/>
                <w:b/>
                <w:sz w:val="22"/>
                <w:szCs w:val="22"/>
              </w:rPr>
              <w:t>7,933,812</w:t>
            </w:r>
          </w:p>
        </w:tc>
        <w:tc>
          <w:tcPr>
            <w:tcW w:w="1195" w:type="dxa"/>
            <w:tcBorders>
              <w:top w:val="single" w:sz="4" w:space="0" w:color="auto"/>
              <w:left w:val="nil"/>
              <w:bottom w:val="single" w:sz="4" w:space="0" w:color="auto"/>
              <w:right w:val="nil"/>
            </w:tcBorders>
            <w:noWrap/>
          </w:tcPr>
          <w:p w14:paraId="423E2968" w14:textId="0333F3EE" w:rsidR="008851C8" w:rsidRPr="00F9473E" w:rsidRDefault="001D6442" w:rsidP="008851C8">
            <w:pPr>
              <w:jc w:val="right"/>
              <w:rPr>
                <w:rFonts w:ascii="Arial" w:hAnsi="Arial" w:cs="Arial"/>
                <w:b/>
                <w:sz w:val="22"/>
                <w:szCs w:val="22"/>
              </w:rPr>
            </w:pPr>
            <w:r>
              <w:rPr>
                <w:rFonts w:ascii="Arial" w:hAnsi="Arial" w:cs="Arial"/>
                <w:b/>
                <w:sz w:val="22"/>
                <w:szCs w:val="22"/>
              </w:rPr>
              <w:t>8,121,790</w:t>
            </w:r>
          </w:p>
        </w:tc>
        <w:tc>
          <w:tcPr>
            <w:tcW w:w="1195" w:type="dxa"/>
            <w:tcBorders>
              <w:top w:val="single" w:sz="4" w:space="0" w:color="auto"/>
              <w:left w:val="nil"/>
              <w:bottom w:val="single" w:sz="4" w:space="0" w:color="auto"/>
              <w:right w:val="nil"/>
            </w:tcBorders>
            <w:noWrap/>
          </w:tcPr>
          <w:p w14:paraId="65C75957" w14:textId="4E96D7AB" w:rsidR="008851C8" w:rsidRPr="00F9473E" w:rsidRDefault="001D6442" w:rsidP="008851C8">
            <w:pPr>
              <w:jc w:val="right"/>
              <w:rPr>
                <w:rFonts w:ascii="Arial" w:hAnsi="Arial" w:cs="Arial"/>
                <w:b/>
                <w:sz w:val="22"/>
                <w:szCs w:val="22"/>
              </w:rPr>
            </w:pPr>
            <w:r>
              <w:rPr>
                <w:rFonts w:ascii="Arial" w:hAnsi="Arial" w:cs="Arial"/>
                <w:b/>
                <w:sz w:val="22"/>
                <w:szCs w:val="22"/>
              </w:rPr>
              <w:t>8,247,836</w:t>
            </w:r>
          </w:p>
        </w:tc>
        <w:tc>
          <w:tcPr>
            <w:tcW w:w="1195" w:type="dxa"/>
            <w:tcBorders>
              <w:top w:val="single" w:sz="4" w:space="0" w:color="auto"/>
              <w:left w:val="nil"/>
              <w:bottom w:val="single" w:sz="4" w:space="0" w:color="auto"/>
              <w:right w:val="nil"/>
            </w:tcBorders>
            <w:noWrap/>
          </w:tcPr>
          <w:p w14:paraId="2BBB414A" w14:textId="70AF13CF" w:rsidR="008851C8" w:rsidRPr="00F9473E" w:rsidRDefault="001D6442" w:rsidP="008851C8">
            <w:pPr>
              <w:jc w:val="right"/>
              <w:rPr>
                <w:rFonts w:ascii="Arial" w:hAnsi="Arial" w:cs="Arial"/>
                <w:b/>
                <w:sz w:val="22"/>
                <w:szCs w:val="22"/>
              </w:rPr>
            </w:pPr>
            <w:r>
              <w:rPr>
                <w:rFonts w:ascii="Arial" w:hAnsi="Arial" w:cs="Arial"/>
                <w:b/>
                <w:sz w:val="22"/>
                <w:szCs w:val="22"/>
              </w:rPr>
              <w:t>8,417,961</w:t>
            </w:r>
          </w:p>
        </w:tc>
      </w:tr>
    </w:tbl>
    <w:p w14:paraId="1002D77C" w14:textId="77777777" w:rsidR="002954CC" w:rsidRPr="006D70F0" w:rsidRDefault="002954CC" w:rsidP="00302697">
      <w:pPr>
        <w:pStyle w:val="Heading3"/>
        <w:tabs>
          <w:tab w:val="left" w:pos="9000"/>
        </w:tabs>
        <w:jc w:val="center"/>
        <w:rPr>
          <w:rFonts w:ascii="Arial" w:hAnsi="Arial" w:cs="Arial"/>
          <w:sz w:val="52"/>
          <w:szCs w:val="52"/>
          <w:highlight w:val="magenta"/>
          <w:u w:val="none"/>
        </w:rPr>
        <w:sectPr w:rsidR="002954CC" w:rsidRPr="006D70F0" w:rsidSect="00963B6A">
          <w:headerReference w:type="default" r:id="rId34"/>
          <w:pgSz w:w="11906" w:h="16838" w:code="9"/>
          <w:pgMar w:top="1134" w:right="1106" w:bottom="1134" w:left="1797" w:header="709" w:footer="709" w:gutter="0"/>
          <w:pgBorders w:offsetFrom="page">
            <w:bottom w:val="single" w:sz="4" w:space="24" w:color="auto"/>
          </w:pgBorders>
          <w:cols w:space="708"/>
          <w:docGrid w:linePitch="360"/>
        </w:sectPr>
      </w:pPr>
    </w:p>
    <w:tbl>
      <w:tblPr>
        <w:tblW w:w="10399" w:type="dxa"/>
        <w:tblInd w:w="-745" w:type="dxa"/>
        <w:tblLook w:val="0000" w:firstRow="0" w:lastRow="0" w:firstColumn="0" w:lastColumn="0" w:noHBand="0" w:noVBand="0"/>
      </w:tblPr>
      <w:tblGrid>
        <w:gridCol w:w="3011"/>
        <w:gridCol w:w="1195"/>
        <w:gridCol w:w="1195"/>
        <w:gridCol w:w="1195"/>
        <w:gridCol w:w="1195"/>
        <w:gridCol w:w="1195"/>
        <w:gridCol w:w="1413"/>
      </w:tblGrid>
      <w:tr w:rsidR="002E2A51" w:rsidRPr="006D70F0" w14:paraId="05C1C582" w14:textId="77777777" w:rsidTr="006A61E4">
        <w:trPr>
          <w:trHeight w:val="255"/>
        </w:trPr>
        <w:tc>
          <w:tcPr>
            <w:tcW w:w="10399" w:type="dxa"/>
            <w:gridSpan w:val="7"/>
          </w:tcPr>
          <w:p w14:paraId="58115DC1" w14:textId="1CD49AA3" w:rsidR="00646B88" w:rsidRPr="00304C1E" w:rsidRDefault="00646B88" w:rsidP="001A212B">
            <w:pPr>
              <w:jc w:val="center"/>
              <w:rPr>
                <w:rFonts w:ascii="Arial" w:hAnsi="Arial" w:cs="Arial"/>
                <w:b/>
                <w:sz w:val="22"/>
                <w:szCs w:val="22"/>
              </w:rPr>
            </w:pPr>
            <w:r w:rsidRPr="00304C1E">
              <w:rPr>
                <w:rFonts w:ascii="Arial" w:hAnsi="Arial" w:cs="Arial"/>
                <w:b/>
                <w:sz w:val="22"/>
                <w:szCs w:val="22"/>
              </w:rPr>
              <w:t xml:space="preserve">HOUSING REVENUE ACCOUNT EARMARKED RESERVES FORECAST </w:t>
            </w:r>
            <w:r w:rsidR="004526C7" w:rsidRPr="00304C1E">
              <w:rPr>
                <w:rFonts w:ascii="Arial" w:hAnsi="Arial" w:cs="Arial"/>
                <w:b/>
                <w:bCs/>
                <w:sz w:val="22"/>
                <w:szCs w:val="22"/>
              </w:rPr>
              <w:t>202</w:t>
            </w:r>
            <w:r w:rsidR="00304C1E" w:rsidRPr="00304C1E">
              <w:rPr>
                <w:rFonts w:ascii="Arial" w:hAnsi="Arial" w:cs="Arial"/>
                <w:b/>
                <w:bCs/>
                <w:sz w:val="22"/>
                <w:szCs w:val="22"/>
              </w:rPr>
              <w:t>5</w:t>
            </w:r>
            <w:r w:rsidR="001F5672" w:rsidRPr="00304C1E">
              <w:rPr>
                <w:rFonts w:ascii="Arial" w:hAnsi="Arial" w:cs="Arial"/>
                <w:b/>
                <w:bCs/>
                <w:sz w:val="22"/>
                <w:szCs w:val="22"/>
              </w:rPr>
              <w:t>/2</w:t>
            </w:r>
            <w:r w:rsidR="00304C1E" w:rsidRPr="00304C1E">
              <w:rPr>
                <w:rFonts w:ascii="Arial" w:hAnsi="Arial" w:cs="Arial"/>
                <w:b/>
                <w:bCs/>
                <w:sz w:val="22"/>
                <w:szCs w:val="22"/>
              </w:rPr>
              <w:t>6</w:t>
            </w:r>
            <w:r w:rsidR="00B275A6" w:rsidRPr="00304C1E">
              <w:rPr>
                <w:rFonts w:ascii="Arial" w:hAnsi="Arial" w:cs="Arial"/>
                <w:b/>
                <w:sz w:val="22"/>
                <w:szCs w:val="22"/>
              </w:rPr>
              <w:t xml:space="preserve"> to </w:t>
            </w:r>
            <w:r w:rsidR="00B275A6" w:rsidRPr="00304C1E">
              <w:rPr>
                <w:rFonts w:ascii="Arial" w:hAnsi="Arial" w:cs="Arial"/>
                <w:b/>
                <w:bCs/>
                <w:sz w:val="22"/>
                <w:szCs w:val="22"/>
              </w:rPr>
              <w:t>20</w:t>
            </w:r>
            <w:r w:rsidR="00304C1E" w:rsidRPr="00304C1E">
              <w:rPr>
                <w:rFonts w:ascii="Arial" w:hAnsi="Arial" w:cs="Arial"/>
                <w:b/>
                <w:bCs/>
                <w:sz w:val="22"/>
                <w:szCs w:val="22"/>
              </w:rPr>
              <w:t>30</w:t>
            </w:r>
            <w:r w:rsidR="001F5672" w:rsidRPr="00304C1E">
              <w:rPr>
                <w:rFonts w:ascii="Arial" w:hAnsi="Arial" w:cs="Arial"/>
                <w:b/>
                <w:bCs/>
                <w:sz w:val="22"/>
                <w:szCs w:val="22"/>
              </w:rPr>
              <w:t>/</w:t>
            </w:r>
            <w:r w:rsidR="00983A3C" w:rsidRPr="00304C1E">
              <w:rPr>
                <w:rFonts w:ascii="Arial" w:hAnsi="Arial" w:cs="Arial"/>
                <w:b/>
                <w:bCs/>
                <w:sz w:val="22"/>
                <w:szCs w:val="22"/>
              </w:rPr>
              <w:t>3</w:t>
            </w:r>
            <w:r w:rsidR="00304C1E" w:rsidRPr="00304C1E">
              <w:rPr>
                <w:rFonts w:ascii="Arial" w:hAnsi="Arial" w:cs="Arial"/>
                <w:b/>
                <w:bCs/>
                <w:sz w:val="22"/>
                <w:szCs w:val="22"/>
              </w:rPr>
              <w:t>1</w:t>
            </w:r>
          </w:p>
          <w:p w14:paraId="2D468750" w14:textId="77777777" w:rsidR="00646B88" w:rsidRPr="006D70F0" w:rsidRDefault="00646B88" w:rsidP="001A212B">
            <w:pPr>
              <w:jc w:val="center"/>
              <w:rPr>
                <w:rFonts w:ascii="Arial" w:hAnsi="Arial" w:cs="Arial"/>
                <w:b/>
                <w:bCs/>
                <w:sz w:val="22"/>
                <w:szCs w:val="22"/>
                <w:highlight w:val="magenta"/>
              </w:rPr>
            </w:pPr>
          </w:p>
        </w:tc>
      </w:tr>
      <w:tr w:rsidR="00F13EF1" w:rsidRPr="006D70F0" w14:paraId="25280F24" w14:textId="77777777" w:rsidTr="006A61E4">
        <w:trPr>
          <w:trHeight w:val="255"/>
        </w:trPr>
        <w:tc>
          <w:tcPr>
            <w:tcW w:w="3011" w:type="dxa"/>
          </w:tcPr>
          <w:p w14:paraId="75C2BD9A" w14:textId="77777777" w:rsidR="00646B88" w:rsidRPr="00304C1E" w:rsidRDefault="00646B88" w:rsidP="001A212B">
            <w:pPr>
              <w:rPr>
                <w:rFonts w:ascii="Arial" w:hAnsi="Arial" w:cs="Arial"/>
                <w:b/>
                <w:sz w:val="22"/>
                <w:szCs w:val="22"/>
              </w:rPr>
            </w:pPr>
            <w:r w:rsidRPr="00304C1E">
              <w:rPr>
                <w:rFonts w:ascii="Arial" w:hAnsi="Arial" w:cs="Arial"/>
                <w:b/>
                <w:sz w:val="22"/>
                <w:szCs w:val="22"/>
              </w:rPr>
              <w:t> </w:t>
            </w:r>
          </w:p>
        </w:tc>
        <w:tc>
          <w:tcPr>
            <w:tcW w:w="1195" w:type="dxa"/>
          </w:tcPr>
          <w:p w14:paraId="4AF0B1AF" w14:textId="77777777" w:rsidR="00646B88" w:rsidRPr="00304C1E" w:rsidRDefault="00646B88" w:rsidP="001A212B">
            <w:pPr>
              <w:jc w:val="center"/>
              <w:rPr>
                <w:rFonts w:ascii="Arial" w:hAnsi="Arial" w:cs="Arial"/>
                <w:b/>
                <w:sz w:val="22"/>
                <w:szCs w:val="22"/>
              </w:rPr>
            </w:pPr>
            <w:r w:rsidRPr="00304C1E">
              <w:rPr>
                <w:rFonts w:ascii="Arial" w:hAnsi="Arial" w:cs="Arial"/>
                <w:b/>
                <w:sz w:val="22"/>
                <w:szCs w:val="22"/>
              </w:rPr>
              <w:t> </w:t>
            </w:r>
          </w:p>
        </w:tc>
        <w:tc>
          <w:tcPr>
            <w:tcW w:w="1195" w:type="dxa"/>
          </w:tcPr>
          <w:p w14:paraId="0EDD606B" w14:textId="77777777" w:rsidR="00646B88" w:rsidRPr="00304C1E" w:rsidRDefault="00646B88" w:rsidP="001A212B">
            <w:pPr>
              <w:jc w:val="center"/>
              <w:rPr>
                <w:rFonts w:ascii="Arial" w:hAnsi="Arial" w:cs="Arial"/>
                <w:b/>
                <w:sz w:val="22"/>
                <w:szCs w:val="22"/>
              </w:rPr>
            </w:pPr>
            <w:r w:rsidRPr="00304C1E">
              <w:rPr>
                <w:rFonts w:ascii="Arial" w:hAnsi="Arial" w:cs="Arial"/>
                <w:b/>
                <w:sz w:val="22"/>
                <w:szCs w:val="22"/>
              </w:rPr>
              <w:t> </w:t>
            </w:r>
          </w:p>
        </w:tc>
        <w:tc>
          <w:tcPr>
            <w:tcW w:w="1195" w:type="dxa"/>
          </w:tcPr>
          <w:p w14:paraId="5DC8942E" w14:textId="77777777" w:rsidR="00646B88" w:rsidRPr="00304C1E" w:rsidRDefault="00646B88" w:rsidP="001A212B">
            <w:pPr>
              <w:jc w:val="center"/>
              <w:rPr>
                <w:rFonts w:ascii="Arial" w:hAnsi="Arial" w:cs="Arial"/>
                <w:b/>
                <w:sz w:val="22"/>
                <w:szCs w:val="22"/>
              </w:rPr>
            </w:pPr>
            <w:r w:rsidRPr="00304C1E">
              <w:rPr>
                <w:rFonts w:ascii="Arial" w:hAnsi="Arial" w:cs="Arial"/>
                <w:b/>
                <w:sz w:val="22"/>
                <w:szCs w:val="22"/>
              </w:rPr>
              <w:t> </w:t>
            </w:r>
          </w:p>
        </w:tc>
        <w:tc>
          <w:tcPr>
            <w:tcW w:w="1195" w:type="dxa"/>
          </w:tcPr>
          <w:p w14:paraId="72E98219" w14:textId="77777777" w:rsidR="00646B88" w:rsidRPr="00304C1E" w:rsidRDefault="00646B88" w:rsidP="001A212B">
            <w:pPr>
              <w:jc w:val="center"/>
              <w:rPr>
                <w:rFonts w:ascii="Arial" w:hAnsi="Arial" w:cs="Arial"/>
                <w:b/>
                <w:sz w:val="22"/>
                <w:szCs w:val="22"/>
              </w:rPr>
            </w:pPr>
            <w:r w:rsidRPr="00304C1E">
              <w:rPr>
                <w:rFonts w:ascii="Arial" w:hAnsi="Arial" w:cs="Arial"/>
                <w:b/>
                <w:sz w:val="22"/>
                <w:szCs w:val="22"/>
              </w:rPr>
              <w:t> </w:t>
            </w:r>
          </w:p>
        </w:tc>
        <w:tc>
          <w:tcPr>
            <w:tcW w:w="1195" w:type="dxa"/>
          </w:tcPr>
          <w:p w14:paraId="0330EDAD" w14:textId="77777777" w:rsidR="00646B88" w:rsidRPr="00304C1E" w:rsidRDefault="00646B88" w:rsidP="001A212B">
            <w:pPr>
              <w:jc w:val="center"/>
              <w:rPr>
                <w:rFonts w:ascii="Arial" w:hAnsi="Arial" w:cs="Arial"/>
                <w:b/>
                <w:sz w:val="22"/>
                <w:szCs w:val="22"/>
              </w:rPr>
            </w:pPr>
            <w:r w:rsidRPr="00304C1E">
              <w:rPr>
                <w:rFonts w:ascii="Arial" w:hAnsi="Arial" w:cs="Arial"/>
                <w:b/>
                <w:sz w:val="22"/>
                <w:szCs w:val="22"/>
              </w:rPr>
              <w:t> </w:t>
            </w:r>
          </w:p>
        </w:tc>
        <w:tc>
          <w:tcPr>
            <w:tcW w:w="1413" w:type="dxa"/>
          </w:tcPr>
          <w:p w14:paraId="071AAB3E" w14:textId="77777777" w:rsidR="00646B88" w:rsidRPr="00304C1E" w:rsidRDefault="00646B88" w:rsidP="001A212B">
            <w:pPr>
              <w:jc w:val="center"/>
              <w:rPr>
                <w:rFonts w:ascii="Arial" w:hAnsi="Arial" w:cs="Arial"/>
                <w:b/>
                <w:sz w:val="22"/>
                <w:szCs w:val="22"/>
              </w:rPr>
            </w:pPr>
            <w:r w:rsidRPr="00304C1E">
              <w:rPr>
                <w:rFonts w:ascii="Arial" w:hAnsi="Arial" w:cs="Arial"/>
                <w:b/>
                <w:sz w:val="22"/>
                <w:szCs w:val="22"/>
              </w:rPr>
              <w:t> </w:t>
            </w:r>
          </w:p>
        </w:tc>
      </w:tr>
      <w:tr w:rsidR="00BF002B" w:rsidRPr="006D70F0" w14:paraId="7869628E" w14:textId="77777777" w:rsidTr="006A61E4">
        <w:trPr>
          <w:trHeight w:val="675"/>
        </w:trPr>
        <w:tc>
          <w:tcPr>
            <w:tcW w:w="3011" w:type="dxa"/>
            <w:vAlign w:val="center"/>
          </w:tcPr>
          <w:p w14:paraId="0CD9A998" w14:textId="77777777" w:rsidR="00983A3C" w:rsidRPr="00304C1E" w:rsidRDefault="00983A3C" w:rsidP="00983A3C">
            <w:pPr>
              <w:rPr>
                <w:rFonts w:ascii="Arial" w:hAnsi="Arial" w:cs="Arial"/>
                <w:b/>
                <w:sz w:val="22"/>
                <w:szCs w:val="22"/>
              </w:rPr>
            </w:pPr>
            <w:r w:rsidRPr="00304C1E">
              <w:rPr>
                <w:rFonts w:ascii="Arial" w:hAnsi="Arial" w:cs="Arial"/>
                <w:b/>
                <w:sz w:val="22"/>
                <w:szCs w:val="22"/>
              </w:rPr>
              <w:t>Description</w:t>
            </w:r>
          </w:p>
        </w:tc>
        <w:tc>
          <w:tcPr>
            <w:tcW w:w="1195" w:type="dxa"/>
            <w:vAlign w:val="center"/>
          </w:tcPr>
          <w:p w14:paraId="154BE86D" w14:textId="31667CB6" w:rsidR="00983A3C" w:rsidRPr="00304C1E" w:rsidRDefault="00983A3C" w:rsidP="00983A3C">
            <w:pPr>
              <w:jc w:val="center"/>
              <w:rPr>
                <w:rFonts w:ascii="Arial" w:hAnsi="Arial" w:cs="Arial"/>
                <w:b/>
                <w:sz w:val="22"/>
                <w:szCs w:val="22"/>
              </w:rPr>
            </w:pPr>
            <w:r w:rsidRPr="00304C1E">
              <w:rPr>
                <w:rFonts w:ascii="Arial" w:hAnsi="Arial" w:cs="Arial"/>
                <w:b/>
                <w:sz w:val="22"/>
                <w:szCs w:val="22"/>
              </w:rPr>
              <w:t>Forecast Balance 31.03.</w:t>
            </w:r>
            <w:r w:rsidR="00304C1E" w:rsidRPr="00304C1E">
              <w:rPr>
                <w:rFonts w:ascii="Arial" w:hAnsi="Arial" w:cs="Arial"/>
                <w:b/>
                <w:bCs/>
                <w:sz w:val="22"/>
                <w:szCs w:val="22"/>
              </w:rPr>
              <w:t>26</w:t>
            </w:r>
          </w:p>
        </w:tc>
        <w:tc>
          <w:tcPr>
            <w:tcW w:w="1195" w:type="dxa"/>
            <w:vAlign w:val="center"/>
          </w:tcPr>
          <w:p w14:paraId="1C206246" w14:textId="2F2C09D6" w:rsidR="00983A3C" w:rsidRPr="00304C1E" w:rsidRDefault="00983A3C" w:rsidP="00983A3C">
            <w:pPr>
              <w:jc w:val="center"/>
              <w:rPr>
                <w:rFonts w:ascii="Arial" w:hAnsi="Arial" w:cs="Arial"/>
                <w:b/>
                <w:sz w:val="22"/>
                <w:szCs w:val="22"/>
              </w:rPr>
            </w:pPr>
            <w:r w:rsidRPr="00304C1E">
              <w:rPr>
                <w:rFonts w:ascii="Arial" w:hAnsi="Arial" w:cs="Arial"/>
                <w:b/>
                <w:sz w:val="22"/>
                <w:szCs w:val="22"/>
              </w:rPr>
              <w:t>Forecast Balance 31.03.</w:t>
            </w:r>
            <w:r w:rsidR="00304C1E" w:rsidRPr="00304C1E">
              <w:rPr>
                <w:rFonts w:ascii="Arial" w:hAnsi="Arial" w:cs="Arial"/>
                <w:b/>
                <w:bCs/>
                <w:sz w:val="22"/>
                <w:szCs w:val="22"/>
              </w:rPr>
              <w:t>27</w:t>
            </w:r>
          </w:p>
        </w:tc>
        <w:tc>
          <w:tcPr>
            <w:tcW w:w="1195" w:type="dxa"/>
            <w:vAlign w:val="center"/>
          </w:tcPr>
          <w:p w14:paraId="2166C9E5" w14:textId="41AAB2E1" w:rsidR="00983A3C" w:rsidRPr="00304C1E" w:rsidRDefault="00983A3C" w:rsidP="00983A3C">
            <w:pPr>
              <w:jc w:val="center"/>
              <w:rPr>
                <w:rFonts w:ascii="Arial" w:hAnsi="Arial" w:cs="Arial"/>
                <w:b/>
                <w:sz w:val="22"/>
                <w:szCs w:val="22"/>
              </w:rPr>
            </w:pPr>
            <w:r w:rsidRPr="00304C1E">
              <w:rPr>
                <w:rFonts w:ascii="Arial" w:hAnsi="Arial" w:cs="Arial"/>
                <w:b/>
                <w:sz w:val="22"/>
                <w:szCs w:val="22"/>
              </w:rPr>
              <w:t>Forecast Balance 31.03.</w:t>
            </w:r>
            <w:r w:rsidR="00304C1E" w:rsidRPr="00304C1E">
              <w:rPr>
                <w:rFonts w:ascii="Arial" w:hAnsi="Arial" w:cs="Arial"/>
                <w:b/>
                <w:bCs/>
                <w:sz w:val="22"/>
                <w:szCs w:val="22"/>
              </w:rPr>
              <w:t>28</w:t>
            </w:r>
          </w:p>
        </w:tc>
        <w:tc>
          <w:tcPr>
            <w:tcW w:w="1195" w:type="dxa"/>
            <w:vAlign w:val="center"/>
          </w:tcPr>
          <w:p w14:paraId="7F5C29B2" w14:textId="6ED858EF" w:rsidR="00983A3C" w:rsidRPr="00304C1E" w:rsidRDefault="00983A3C" w:rsidP="00983A3C">
            <w:pPr>
              <w:jc w:val="center"/>
              <w:rPr>
                <w:rFonts w:ascii="Arial" w:hAnsi="Arial" w:cs="Arial"/>
                <w:b/>
                <w:sz w:val="22"/>
                <w:szCs w:val="22"/>
              </w:rPr>
            </w:pPr>
            <w:r w:rsidRPr="00304C1E">
              <w:rPr>
                <w:rFonts w:ascii="Arial" w:hAnsi="Arial" w:cs="Arial"/>
                <w:b/>
                <w:sz w:val="22"/>
                <w:szCs w:val="22"/>
              </w:rPr>
              <w:t>Forecast Balance 31.03.</w:t>
            </w:r>
            <w:r w:rsidR="00304C1E" w:rsidRPr="00304C1E">
              <w:rPr>
                <w:rFonts w:ascii="Arial" w:hAnsi="Arial" w:cs="Arial"/>
                <w:b/>
                <w:bCs/>
                <w:sz w:val="22"/>
                <w:szCs w:val="22"/>
              </w:rPr>
              <w:t>29</w:t>
            </w:r>
          </w:p>
        </w:tc>
        <w:tc>
          <w:tcPr>
            <w:tcW w:w="1195" w:type="dxa"/>
            <w:vAlign w:val="center"/>
          </w:tcPr>
          <w:p w14:paraId="0DB88F82" w14:textId="2246181D" w:rsidR="00983A3C" w:rsidRPr="00304C1E" w:rsidRDefault="00983A3C" w:rsidP="00983A3C">
            <w:pPr>
              <w:jc w:val="center"/>
              <w:rPr>
                <w:rFonts w:ascii="Arial" w:hAnsi="Arial" w:cs="Arial"/>
                <w:b/>
                <w:sz w:val="22"/>
                <w:szCs w:val="22"/>
              </w:rPr>
            </w:pPr>
            <w:r w:rsidRPr="00304C1E">
              <w:rPr>
                <w:rFonts w:ascii="Arial" w:hAnsi="Arial" w:cs="Arial"/>
                <w:b/>
                <w:sz w:val="22"/>
                <w:szCs w:val="22"/>
              </w:rPr>
              <w:t>Forecast Balance 31.03.</w:t>
            </w:r>
            <w:r w:rsidR="00304C1E" w:rsidRPr="00304C1E">
              <w:rPr>
                <w:rFonts w:ascii="Arial" w:hAnsi="Arial" w:cs="Arial"/>
                <w:b/>
                <w:bCs/>
                <w:sz w:val="22"/>
                <w:szCs w:val="22"/>
              </w:rPr>
              <w:t>30</w:t>
            </w:r>
          </w:p>
        </w:tc>
        <w:tc>
          <w:tcPr>
            <w:tcW w:w="1413" w:type="dxa"/>
            <w:vAlign w:val="center"/>
          </w:tcPr>
          <w:p w14:paraId="7C66376E" w14:textId="098AEFF9" w:rsidR="00983A3C" w:rsidRPr="00304C1E" w:rsidRDefault="00983A3C" w:rsidP="00983A3C">
            <w:pPr>
              <w:jc w:val="center"/>
              <w:rPr>
                <w:rFonts w:ascii="Arial" w:hAnsi="Arial" w:cs="Arial"/>
                <w:b/>
                <w:sz w:val="22"/>
                <w:szCs w:val="22"/>
              </w:rPr>
            </w:pPr>
            <w:r w:rsidRPr="00304C1E">
              <w:rPr>
                <w:rFonts w:ascii="Arial" w:hAnsi="Arial" w:cs="Arial"/>
                <w:b/>
                <w:sz w:val="22"/>
                <w:szCs w:val="22"/>
              </w:rPr>
              <w:t>Forecast Balance 31.03.</w:t>
            </w:r>
            <w:r w:rsidRPr="00304C1E">
              <w:rPr>
                <w:rFonts w:ascii="Arial" w:hAnsi="Arial" w:cs="Arial"/>
                <w:b/>
                <w:bCs/>
                <w:sz w:val="22"/>
                <w:szCs w:val="22"/>
              </w:rPr>
              <w:t>3</w:t>
            </w:r>
            <w:r w:rsidR="00304C1E" w:rsidRPr="00304C1E">
              <w:rPr>
                <w:rFonts w:ascii="Arial" w:hAnsi="Arial" w:cs="Arial"/>
                <w:b/>
                <w:bCs/>
                <w:sz w:val="22"/>
                <w:szCs w:val="22"/>
              </w:rPr>
              <w:t>1</w:t>
            </w:r>
          </w:p>
        </w:tc>
      </w:tr>
      <w:tr w:rsidR="00BF002B" w:rsidRPr="006D70F0" w14:paraId="34B87CBF" w14:textId="77777777" w:rsidTr="006A61E4">
        <w:trPr>
          <w:trHeight w:val="255"/>
        </w:trPr>
        <w:tc>
          <w:tcPr>
            <w:tcW w:w="3011" w:type="dxa"/>
            <w:vAlign w:val="center"/>
          </w:tcPr>
          <w:p w14:paraId="7DF6DB7E" w14:textId="77777777" w:rsidR="00983A3C" w:rsidRPr="00304C1E" w:rsidRDefault="00983A3C" w:rsidP="00983A3C">
            <w:pPr>
              <w:rPr>
                <w:rFonts w:ascii="Arial" w:hAnsi="Arial" w:cs="Arial"/>
                <w:sz w:val="22"/>
                <w:szCs w:val="22"/>
              </w:rPr>
            </w:pPr>
            <w:r w:rsidRPr="00304C1E">
              <w:rPr>
                <w:rFonts w:ascii="Arial" w:hAnsi="Arial" w:cs="Arial"/>
                <w:sz w:val="22"/>
                <w:szCs w:val="22"/>
              </w:rPr>
              <w:t> </w:t>
            </w:r>
          </w:p>
        </w:tc>
        <w:tc>
          <w:tcPr>
            <w:tcW w:w="1195" w:type="dxa"/>
            <w:noWrap/>
            <w:vAlign w:val="center"/>
          </w:tcPr>
          <w:p w14:paraId="024F5EFF" w14:textId="3B63A7F5" w:rsidR="00983A3C" w:rsidRPr="00304C1E" w:rsidRDefault="00983A3C" w:rsidP="00983A3C">
            <w:pPr>
              <w:jc w:val="center"/>
              <w:rPr>
                <w:rFonts w:ascii="Arial" w:hAnsi="Arial" w:cs="Arial"/>
                <w:b/>
                <w:sz w:val="22"/>
                <w:szCs w:val="22"/>
              </w:rPr>
            </w:pPr>
            <w:r w:rsidRPr="00304C1E">
              <w:rPr>
                <w:rFonts w:ascii="Arial" w:hAnsi="Arial" w:cs="Arial"/>
                <w:b/>
                <w:sz w:val="22"/>
                <w:szCs w:val="22"/>
              </w:rPr>
              <w:t>£</w:t>
            </w:r>
          </w:p>
        </w:tc>
        <w:tc>
          <w:tcPr>
            <w:tcW w:w="1195" w:type="dxa"/>
            <w:noWrap/>
            <w:vAlign w:val="center"/>
          </w:tcPr>
          <w:p w14:paraId="39FC179B" w14:textId="25F7A98C" w:rsidR="00983A3C" w:rsidRPr="00304C1E" w:rsidRDefault="00983A3C" w:rsidP="00983A3C">
            <w:pPr>
              <w:jc w:val="center"/>
              <w:rPr>
                <w:rFonts w:ascii="Arial" w:hAnsi="Arial" w:cs="Arial"/>
                <w:b/>
                <w:sz w:val="22"/>
                <w:szCs w:val="22"/>
              </w:rPr>
            </w:pPr>
            <w:r w:rsidRPr="00304C1E">
              <w:rPr>
                <w:rFonts w:ascii="Arial" w:hAnsi="Arial" w:cs="Arial"/>
                <w:b/>
                <w:sz w:val="22"/>
                <w:szCs w:val="22"/>
              </w:rPr>
              <w:t>£</w:t>
            </w:r>
          </w:p>
        </w:tc>
        <w:tc>
          <w:tcPr>
            <w:tcW w:w="1195" w:type="dxa"/>
            <w:noWrap/>
            <w:vAlign w:val="center"/>
          </w:tcPr>
          <w:p w14:paraId="17226D48" w14:textId="34AD588D" w:rsidR="00983A3C" w:rsidRPr="00304C1E" w:rsidRDefault="00983A3C" w:rsidP="00983A3C">
            <w:pPr>
              <w:jc w:val="center"/>
              <w:rPr>
                <w:rFonts w:ascii="Arial" w:hAnsi="Arial" w:cs="Arial"/>
                <w:b/>
                <w:sz w:val="22"/>
                <w:szCs w:val="22"/>
              </w:rPr>
            </w:pPr>
            <w:r w:rsidRPr="00304C1E">
              <w:rPr>
                <w:rFonts w:ascii="Arial" w:hAnsi="Arial" w:cs="Arial"/>
                <w:b/>
                <w:sz w:val="22"/>
                <w:szCs w:val="22"/>
              </w:rPr>
              <w:t>£</w:t>
            </w:r>
          </w:p>
        </w:tc>
        <w:tc>
          <w:tcPr>
            <w:tcW w:w="1195" w:type="dxa"/>
            <w:noWrap/>
            <w:vAlign w:val="center"/>
          </w:tcPr>
          <w:p w14:paraId="1EC710B7" w14:textId="00DAF18E" w:rsidR="00983A3C" w:rsidRPr="00304C1E" w:rsidRDefault="00983A3C" w:rsidP="00983A3C">
            <w:pPr>
              <w:jc w:val="center"/>
              <w:rPr>
                <w:rFonts w:ascii="Arial" w:hAnsi="Arial" w:cs="Arial"/>
                <w:b/>
                <w:sz w:val="22"/>
                <w:szCs w:val="22"/>
              </w:rPr>
            </w:pPr>
            <w:r w:rsidRPr="00304C1E">
              <w:rPr>
                <w:rFonts w:ascii="Arial" w:hAnsi="Arial" w:cs="Arial"/>
                <w:b/>
                <w:sz w:val="22"/>
                <w:szCs w:val="22"/>
              </w:rPr>
              <w:t>£</w:t>
            </w:r>
          </w:p>
        </w:tc>
        <w:tc>
          <w:tcPr>
            <w:tcW w:w="1195" w:type="dxa"/>
            <w:noWrap/>
            <w:vAlign w:val="center"/>
          </w:tcPr>
          <w:p w14:paraId="55D900BD" w14:textId="21ED8EEF" w:rsidR="00983A3C" w:rsidRPr="00304C1E" w:rsidRDefault="00983A3C" w:rsidP="00983A3C">
            <w:pPr>
              <w:jc w:val="center"/>
              <w:rPr>
                <w:rFonts w:ascii="Arial" w:hAnsi="Arial" w:cs="Arial"/>
                <w:b/>
                <w:sz w:val="22"/>
                <w:szCs w:val="22"/>
              </w:rPr>
            </w:pPr>
            <w:r w:rsidRPr="00304C1E">
              <w:rPr>
                <w:rFonts w:ascii="Arial" w:hAnsi="Arial" w:cs="Arial"/>
                <w:b/>
                <w:sz w:val="22"/>
                <w:szCs w:val="22"/>
              </w:rPr>
              <w:t>£</w:t>
            </w:r>
          </w:p>
        </w:tc>
        <w:tc>
          <w:tcPr>
            <w:tcW w:w="1413" w:type="dxa"/>
            <w:noWrap/>
            <w:vAlign w:val="center"/>
          </w:tcPr>
          <w:p w14:paraId="00FE3EB6" w14:textId="77777777" w:rsidR="00983A3C" w:rsidRPr="00304C1E" w:rsidRDefault="00983A3C" w:rsidP="00983A3C">
            <w:pPr>
              <w:jc w:val="center"/>
              <w:rPr>
                <w:rFonts w:ascii="Arial" w:hAnsi="Arial" w:cs="Arial"/>
                <w:b/>
                <w:sz w:val="22"/>
                <w:szCs w:val="22"/>
              </w:rPr>
            </w:pPr>
            <w:r w:rsidRPr="00304C1E">
              <w:rPr>
                <w:rFonts w:ascii="Arial" w:hAnsi="Arial" w:cs="Arial"/>
                <w:b/>
                <w:sz w:val="22"/>
                <w:szCs w:val="22"/>
              </w:rPr>
              <w:t>£</w:t>
            </w:r>
          </w:p>
        </w:tc>
      </w:tr>
      <w:tr w:rsidR="00BF002B" w:rsidRPr="006D70F0" w14:paraId="3169F2BA" w14:textId="77777777" w:rsidTr="006A61E4">
        <w:trPr>
          <w:trHeight w:val="255"/>
        </w:trPr>
        <w:tc>
          <w:tcPr>
            <w:tcW w:w="3011" w:type="dxa"/>
            <w:vAlign w:val="center"/>
          </w:tcPr>
          <w:p w14:paraId="249680CF" w14:textId="77777777" w:rsidR="00983A3C" w:rsidRPr="002C5270" w:rsidRDefault="00983A3C" w:rsidP="00983A3C">
            <w:pPr>
              <w:rPr>
                <w:rFonts w:ascii="Arial" w:hAnsi="Arial" w:cs="Arial"/>
                <w:sz w:val="22"/>
                <w:szCs w:val="22"/>
              </w:rPr>
            </w:pPr>
            <w:r w:rsidRPr="002C5270">
              <w:rPr>
                <w:rFonts w:ascii="Arial" w:hAnsi="Arial" w:cs="Arial"/>
                <w:sz w:val="22"/>
                <w:szCs w:val="22"/>
              </w:rPr>
              <w:t xml:space="preserve">Capital Fees Equalisation </w:t>
            </w:r>
          </w:p>
        </w:tc>
        <w:tc>
          <w:tcPr>
            <w:tcW w:w="1195" w:type="dxa"/>
            <w:vAlign w:val="center"/>
          </w:tcPr>
          <w:p w14:paraId="3CD846E0" w14:textId="52E4249B" w:rsidR="00983A3C" w:rsidRPr="002C5270" w:rsidRDefault="00983A3C" w:rsidP="00983A3C">
            <w:pPr>
              <w:jc w:val="right"/>
              <w:rPr>
                <w:rFonts w:ascii="Arial" w:hAnsi="Arial" w:cs="Arial"/>
                <w:sz w:val="22"/>
                <w:szCs w:val="22"/>
                <w:lang w:eastAsia="en-GB"/>
              </w:rPr>
            </w:pPr>
            <w:r w:rsidRPr="002C5270">
              <w:rPr>
                <w:rFonts w:ascii="Arial" w:hAnsi="Arial" w:cs="Arial"/>
                <w:sz w:val="22"/>
                <w:szCs w:val="22"/>
              </w:rPr>
              <w:t>110,030</w:t>
            </w:r>
          </w:p>
        </w:tc>
        <w:tc>
          <w:tcPr>
            <w:tcW w:w="1195" w:type="dxa"/>
            <w:vAlign w:val="center"/>
          </w:tcPr>
          <w:p w14:paraId="5023CE03" w14:textId="0AB9FDC1" w:rsidR="00983A3C" w:rsidRPr="002C5270" w:rsidRDefault="00983A3C" w:rsidP="00983A3C">
            <w:pPr>
              <w:jc w:val="right"/>
              <w:rPr>
                <w:rFonts w:ascii="Arial" w:hAnsi="Arial" w:cs="Arial"/>
                <w:sz w:val="22"/>
                <w:szCs w:val="22"/>
              </w:rPr>
            </w:pPr>
            <w:r w:rsidRPr="002C5270">
              <w:rPr>
                <w:rFonts w:ascii="Arial" w:hAnsi="Arial" w:cs="Arial"/>
                <w:sz w:val="22"/>
                <w:szCs w:val="22"/>
              </w:rPr>
              <w:t>110,030</w:t>
            </w:r>
          </w:p>
        </w:tc>
        <w:tc>
          <w:tcPr>
            <w:tcW w:w="1195" w:type="dxa"/>
            <w:vAlign w:val="center"/>
          </w:tcPr>
          <w:p w14:paraId="08A327F4" w14:textId="243A0B36" w:rsidR="00983A3C" w:rsidRPr="002C5270" w:rsidRDefault="00983A3C" w:rsidP="00983A3C">
            <w:pPr>
              <w:jc w:val="right"/>
              <w:rPr>
                <w:rFonts w:ascii="Arial" w:hAnsi="Arial" w:cs="Arial"/>
                <w:sz w:val="22"/>
                <w:szCs w:val="22"/>
              </w:rPr>
            </w:pPr>
            <w:r w:rsidRPr="002C5270">
              <w:rPr>
                <w:rFonts w:ascii="Arial" w:hAnsi="Arial" w:cs="Arial"/>
                <w:sz w:val="22"/>
                <w:szCs w:val="22"/>
              </w:rPr>
              <w:t>110,030</w:t>
            </w:r>
          </w:p>
        </w:tc>
        <w:tc>
          <w:tcPr>
            <w:tcW w:w="1195" w:type="dxa"/>
            <w:vAlign w:val="center"/>
          </w:tcPr>
          <w:p w14:paraId="76406D77" w14:textId="0D4E7465" w:rsidR="00983A3C" w:rsidRPr="002C5270" w:rsidRDefault="00983A3C" w:rsidP="00983A3C">
            <w:pPr>
              <w:jc w:val="right"/>
              <w:rPr>
                <w:rFonts w:ascii="Arial" w:hAnsi="Arial" w:cs="Arial"/>
                <w:sz w:val="22"/>
                <w:szCs w:val="22"/>
              </w:rPr>
            </w:pPr>
            <w:r w:rsidRPr="002C5270">
              <w:rPr>
                <w:rFonts w:ascii="Arial" w:hAnsi="Arial" w:cs="Arial"/>
                <w:sz w:val="22"/>
                <w:szCs w:val="22"/>
              </w:rPr>
              <w:t>110,030</w:t>
            </w:r>
          </w:p>
        </w:tc>
        <w:tc>
          <w:tcPr>
            <w:tcW w:w="1195" w:type="dxa"/>
            <w:vAlign w:val="center"/>
          </w:tcPr>
          <w:p w14:paraId="20B4666B" w14:textId="02EB95DF" w:rsidR="00983A3C" w:rsidRPr="002C5270" w:rsidRDefault="00983A3C" w:rsidP="00983A3C">
            <w:pPr>
              <w:jc w:val="right"/>
              <w:rPr>
                <w:rFonts w:ascii="Arial" w:hAnsi="Arial" w:cs="Arial"/>
                <w:sz w:val="22"/>
                <w:szCs w:val="22"/>
              </w:rPr>
            </w:pPr>
            <w:r w:rsidRPr="002C5270">
              <w:rPr>
                <w:rFonts w:ascii="Arial" w:hAnsi="Arial" w:cs="Arial"/>
                <w:sz w:val="22"/>
                <w:szCs w:val="22"/>
              </w:rPr>
              <w:t>110,030</w:t>
            </w:r>
          </w:p>
        </w:tc>
        <w:tc>
          <w:tcPr>
            <w:tcW w:w="1413" w:type="dxa"/>
            <w:vAlign w:val="center"/>
          </w:tcPr>
          <w:p w14:paraId="43C9D7D6" w14:textId="35A3D7B7" w:rsidR="00983A3C" w:rsidRPr="002C5270" w:rsidRDefault="00983A3C" w:rsidP="00983A3C">
            <w:pPr>
              <w:jc w:val="right"/>
              <w:rPr>
                <w:rFonts w:ascii="Arial" w:hAnsi="Arial" w:cs="Arial"/>
                <w:sz w:val="22"/>
                <w:szCs w:val="22"/>
              </w:rPr>
            </w:pPr>
            <w:r w:rsidRPr="002C5270">
              <w:rPr>
                <w:rFonts w:ascii="Arial" w:hAnsi="Arial" w:cs="Arial"/>
                <w:sz w:val="22"/>
                <w:szCs w:val="22"/>
              </w:rPr>
              <w:t>110,030</w:t>
            </w:r>
          </w:p>
        </w:tc>
      </w:tr>
      <w:tr w:rsidR="00BF002B" w:rsidRPr="006D70F0" w14:paraId="17E4517C" w14:textId="77777777" w:rsidTr="006A61E4">
        <w:trPr>
          <w:trHeight w:val="255"/>
        </w:trPr>
        <w:tc>
          <w:tcPr>
            <w:tcW w:w="3011" w:type="dxa"/>
            <w:vAlign w:val="center"/>
          </w:tcPr>
          <w:p w14:paraId="6E986578" w14:textId="7E530721" w:rsidR="007812C0" w:rsidRPr="00210198" w:rsidRDefault="007812C0" w:rsidP="00983A3C">
            <w:pPr>
              <w:rPr>
                <w:rFonts w:ascii="Arial" w:hAnsi="Arial" w:cs="Arial"/>
                <w:sz w:val="22"/>
                <w:szCs w:val="22"/>
              </w:rPr>
            </w:pPr>
            <w:r w:rsidRPr="00210198">
              <w:rPr>
                <w:rFonts w:ascii="Arial" w:hAnsi="Arial" w:cs="Arial"/>
                <w:sz w:val="22"/>
                <w:szCs w:val="22"/>
              </w:rPr>
              <w:t>Cyclical Smok</w:t>
            </w:r>
            <w:r w:rsidR="006F64FC">
              <w:rPr>
                <w:rFonts w:ascii="Arial" w:hAnsi="Arial" w:cs="Arial"/>
                <w:sz w:val="22"/>
                <w:szCs w:val="22"/>
              </w:rPr>
              <w:t>e</w:t>
            </w:r>
            <w:r w:rsidRPr="00210198">
              <w:rPr>
                <w:rFonts w:ascii="Arial" w:hAnsi="Arial" w:cs="Arial"/>
                <w:sz w:val="22"/>
                <w:szCs w:val="22"/>
              </w:rPr>
              <w:t xml:space="preserve"> Alarm/CO2 </w:t>
            </w:r>
            <w:r w:rsidR="002F6038" w:rsidRPr="00210198">
              <w:rPr>
                <w:rFonts w:ascii="Arial" w:hAnsi="Arial" w:cs="Arial"/>
                <w:sz w:val="22"/>
                <w:szCs w:val="22"/>
              </w:rPr>
              <w:t>Detector Testing</w:t>
            </w:r>
          </w:p>
        </w:tc>
        <w:tc>
          <w:tcPr>
            <w:tcW w:w="1195" w:type="dxa"/>
            <w:vAlign w:val="center"/>
          </w:tcPr>
          <w:p w14:paraId="67799EEF" w14:textId="15112A54" w:rsidR="007812C0" w:rsidRPr="00210198" w:rsidRDefault="002C2F98" w:rsidP="00983A3C">
            <w:pPr>
              <w:jc w:val="right"/>
              <w:rPr>
                <w:rFonts w:ascii="Arial" w:hAnsi="Arial" w:cs="Arial"/>
                <w:sz w:val="22"/>
                <w:szCs w:val="22"/>
              </w:rPr>
            </w:pPr>
            <w:r w:rsidRPr="00210198">
              <w:rPr>
                <w:rFonts w:ascii="Arial" w:hAnsi="Arial" w:cs="Arial"/>
                <w:sz w:val="22"/>
                <w:szCs w:val="22"/>
              </w:rPr>
              <w:t>170,450</w:t>
            </w:r>
          </w:p>
        </w:tc>
        <w:tc>
          <w:tcPr>
            <w:tcW w:w="1195" w:type="dxa"/>
            <w:vAlign w:val="center"/>
          </w:tcPr>
          <w:p w14:paraId="3FD317DB" w14:textId="0F1AD599" w:rsidR="007812C0" w:rsidRPr="00210198" w:rsidRDefault="00210198" w:rsidP="00983A3C">
            <w:pPr>
              <w:jc w:val="right"/>
              <w:rPr>
                <w:rFonts w:ascii="Arial" w:hAnsi="Arial" w:cs="Arial"/>
                <w:sz w:val="22"/>
                <w:szCs w:val="22"/>
              </w:rPr>
            </w:pPr>
            <w:r w:rsidRPr="00210198">
              <w:rPr>
                <w:rFonts w:ascii="Arial" w:hAnsi="Arial" w:cs="Arial"/>
                <w:sz w:val="22"/>
                <w:szCs w:val="22"/>
              </w:rPr>
              <w:t>170,450</w:t>
            </w:r>
          </w:p>
        </w:tc>
        <w:tc>
          <w:tcPr>
            <w:tcW w:w="1195" w:type="dxa"/>
            <w:vAlign w:val="center"/>
          </w:tcPr>
          <w:p w14:paraId="20470F04" w14:textId="567553EA" w:rsidR="007812C0" w:rsidRPr="00210198" w:rsidRDefault="00210198" w:rsidP="00983A3C">
            <w:pPr>
              <w:jc w:val="right"/>
              <w:rPr>
                <w:rFonts w:ascii="Arial" w:hAnsi="Arial" w:cs="Arial"/>
                <w:sz w:val="22"/>
                <w:szCs w:val="22"/>
              </w:rPr>
            </w:pPr>
            <w:r w:rsidRPr="00210198">
              <w:rPr>
                <w:rFonts w:ascii="Arial" w:hAnsi="Arial" w:cs="Arial"/>
                <w:sz w:val="22"/>
                <w:szCs w:val="22"/>
              </w:rPr>
              <w:t>170,450</w:t>
            </w:r>
          </w:p>
        </w:tc>
        <w:tc>
          <w:tcPr>
            <w:tcW w:w="1195" w:type="dxa"/>
            <w:vAlign w:val="center"/>
          </w:tcPr>
          <w:p w14:paraId="6117D9DA" w14:textId="0765B01C" w:rsidR="007812C0" w:rsidRPr="00210198" w:rsidRDefault="00210198" w:rsidP="00983A3C">
            <w:pPr>
              <w:jc w:val="right"/>
              <w:rPr>
                <w:rFonts w:ascii="Arial" w:hAnsi="Arial" w:cs="Arial"/>
                <w:sz w:val="22"/>
                <w:szCs w:val="22"/>
              </w:rPr>
            </w:pPr>
            <w:r w:rsidRPr="00210198">
              <w:rPr>
                <w:rFonts w:ascii="Arial" w:hAnsi="Arial" w:cs="Arial"/>
                <w:sz w:val="22"/>
                <w:szCs w:val="22"/>
              </w:rPr>
              <w:t>170,450</w:t>
            </w:r>
          </w:p>
        </w:tc>
        <w:tc>
          <w:tcPr>
            <w:tcW w:w="1195" w:type="dxa"/>
            <w:vAlign w:val="center"/>
          </w:tcPr>
          <w:p w14:paraId="6B0D7262" w14:textId="23561B41" w:rsidR="007812C0" w:rsidRPr="00210198" w:rsidRDefault="00210198" w:rsidP="00983A3C">
            <w:pPr>
              <w:jc w:val="right"/>
              <w:rPr>
                <w:rFonts w:ascii="Arial" w:hAnsi="Arial" w:cs="Arial"/>
                <w:sz w:val="22"/>
                <w:szCs w:val="22"/>
              </w:rPr>
            </w:pPr>
            <w:r w:rsidRPr="00210198">
              <w:rPr>
                <w:rFonts w:ascii="Arial" w:hAnsi="Arial" w:cs="Arial"/>
                <w:sz w:val="22"/>
                <w:szCs w:val="22"/>
              </w:rPr>
              <w:t>170,450</w:t>
            </w:r>
          </w:p>
        </w:tc>
        <w:tc>
          <w:tcPr>
            <w:tcW w:w="1413" w:type="dxa"/>
            <w:vAlign w:val="center"/>
          </w:tcPr>
          <w:p w14:paraId="7DEA12E8" w14:textId="417E0ADE" w:rsidR="007812C0" w:rsidRPr="00210198" w:rsidRDefault="00210198" w:rsidP="00983A3C">
            <w:pPr>
              <w:jc w:val="right"/>
              <w:rPr>
                <w:rFonts w:ascii="Arial" w:hAnsi="Arial" w:cs="Arial"/>
                <w:sz w:val="22"/>
                <w:szCs w:val="22"/>
              </w:rPr>
            </w:pPr>
            <w:r w:rsidRPr="00210198">
              <w:rPr>
                <w:rFonts w:ascii="Arial" w:hAnsi="Arial" w:cs="Arial"/>
                <w:sz w:val="22"/>
                <w:szCs w:val="22"/>
              </w:rPr>
              <w:t>170,450</w:t>
            </w:r>
          </w:p>
        </w:tc>
      </w:tr>
      <w:tr w:rsidR="00BF002B" w:rsidRPr="006D70F0" w14:paraId="13E9BFB6" w14:textId="77777777" w:rsidTr="006A61E4">
        <w:trPr>
          <w:trHeight w:val="255"/>
        </w:trPr>
        <w:tc>
          <w:tcPr>
            <w:tcW w:w="3011" w:type="dxa"/>
            <w:vAlign w:val="center"/>
          </w:tcPr>
          <w:p w14:paraId="48919612" w14:textId="77777777" w:rsidR="00983A3C" w:rsidRPr="00733FD7" w:rsidRDefault="00983A3C" w:rsidP="00983A3C">
            <w:pPr>
              <w:rPr>
                <w:rFonts w:ascii="Arial" w:hAnsi="Arial" w:cs="Arial"/>
                <w:sz w:val="22"/>
                <w:szCs w:val="22"/>
              </w:rPr>
            </w:pPr>
            <w:r w:rsidRPr="00733FD7">
              <w:rPr>
                <w:rFonts w:ascii="Arial" w:hAnsi="Arial" w:cs="Arial"/>
                <w:sz w:val="22"/>
                <w:szCs w:val="22"/>
              </w:rPr>
              <w:t>De Wint Court Reserve</w:t>
            </w:r>
          </w:p>
        </w:tc>
        <w:tc>
          <w:tcPr>
            <w:tcW w:w="1195" w:type="dxa"/>
            <w:vAlign w:val="center"/>
          </w:tcPr>
          <w:p w14:paraId="14371BD7" w14:textId="77777777" w:rsidR="00983A3C" w:rsidRPr="00733FD7" w:rsidRDefault="00983A3C" w:rsidP="00983A3C">
            <w:pPr>
              <w:jc w:val="right"/>
              <w:rPr>
                <w:rFonts w:ascii="Arial" w:hAnsi="Arial" w:cs="Arial"/>
                <w:sz w:val="22"/>
                <w:szCs w:val="22"/>
              </w:rPr>
            </w:pPr>
            <w:r w:rsidRPr="00733FD7">
              <w:rPr>
                <w:rFonts w:ascii="Arial" w:hAnsi="Arial" w:cs="Arial"/>
                <w:sz w:val="22"/>
                <w:szCs w:val="22"/>
              </w:rPr>
              <w:t>73,480</w:t>
            </w:r>
          </w:p>
        </w:tc>
        <w:tc>
          <w:tcPr>
            <w:tcW w:w="1195" w:type="dxa"/>
            <w:vAlign w:val="center"/>
          </w:tcPr>
          <w:p w14:paraId="2133BEC8" w14:textId="77777777" w:rsidR="00983A3C" w:rsidRPr="00733FD7" w:rsidRDefault="00983A3C" w:rsidP="00983A3C">
            <w:pPr>
              <w:jc w:val="right"/>
              <w:rPr>
                <w:rFonts w:ascii="Arial" w:hAnsi="Arial" w:cs="Arial"/>
                <w:sz w:val="22"/>
                <w:szCs w:val="22"/>
              </w:rPr>
            </w:pPr>
            <w:r w:rsidRPr="00733FD7">
              <w:rPr>
                <w:rFonts w:ascii="Arial" w:hAnsi="Arial" w:cs="Arial"/>
                <w:sz w:val="22"/>
                <w:szCs w:val="22"/>
              </w:rPr>
              <w:t>73,480</w:t>
            </w:r>
          </w:p>
        </w:tc>
        <w:tc>
          <w:tcPr>
            <w:tcW w:w="1195" w:type="dxa"/>
            <w:vAlign w:val="center"/>
          </w:tcPr>
          <w:p w14:paraId="592AB08F" w14:textId="77777777" w:rsidR="00983A3C" w:rsidRPr="00733FD7" w:rsidRDefault="00983A3C" w:rsidP="00983A3C">
            <w:pPr>
              <w:jc w:val="right"/>
              <w:rPr>
                <w:rFonts w:ascii="Arial" w:hAnsi="Arial" w:cs="Arial"/>
                <w:sz w:val="22"/>
                <w:szCs w:val="22"/>
              </w:rPr>
            </w:pPr>
            <w:r w:rsidRPr="00733FD7">
              <w:rPr>
                <w:rFonts w:ascii="Arial" w:hAnsi="Arial" w:cs="Arial"/>
                <w:sz w:val="22"/>
                <w:szCs w:val="22"/>
              </w:rPr>
              <w:t>73,480</w:t>
            </w:r>
          </w:p>
        </w:tc>
        <w:tc>
          <w:tcPr>
            <w:tcW w:w="1195" w:type="dxa"/>
            <w:vAlign w:val="center"/>
          </w:tcPr>
          <w:p w14:paraId="55C436BD" w14:textId="77777777" w:rsidR="00983A3C" w:rsidRPr="00733FD7" w:rsidRDefault="00983A3C" w:rsidP="00983A3C">
            <w:pPr>
              <w:jc w:val="right"/>
              <w:rPr>
                <w:rFonts w:ascii="Arial" w:hAnsi="Arial" w:cs="Arial"/>
                <w:sz w:val="22"/>
                <w:szCs w:val="22"/>
              </w:rPr>
            </w:pPr>
            <w:r w:rsidRPr="00733FD7">
              <w:rPr>
                <w:rFonts w:ascii="Arial" w:hAnsi="Arial" w:cs="Arial"/>
                <w:sz w:val="22"/>
                <w:szCs w:val="22"/>
              </w:rPr>
              <w:t>73,480</w:t>
            </w:r>
          </w:p>
        </w:tc>
        <w:tc>
          <w:tcPr>
            <w:tcW w:w="1195" w:type="dxa"/>
            <w:vAlign w:val="center"/>
          </w:tcPr>
          <w:p w14:paraId="6374D3DD" w14:textId="77777777" w:rsidR="00983A3C" w:rsidRPr="00733FD7" w:rsidRDefault="00983A3C" w:rsidP="00983A3C">
            <w:pPr>
              <w:jc w:val="right"/>
              <w:rPr>
                <w:rFonts w:ascii="Arial" w:hAnsi="Arial" w:cs="Arial"/>
                <w:sz w:val="22"/>
                <w:szCs w:val="22"/>
              </w:rPr>
            </w:pPr>
            <w:r w:rsidRPr="00733FD7">
              <w:rPr>
                <w:rFonts w:ascii="Arial" w:hAnsi="Arial" w:cs="Arial"/>
                <w:sz w:val="22"/>
                <w:szCs w:val="22"/>
              </w:rPr>
              <w:t>73,480</w:t>
            </w:r>
          </w:p>
        </w:tc>
        <w:tc>
          <w:tcPr>
            <w:tcW w:w="1413" w:type="dxa"/>
            <w:vAlign w:val="center"/>
          </w:tcPr>
          <w:p w14:paraId="13F0B202" w14:textId="77777777" w:rsidR="00983A3C" w:rsidRPr="00733FD7" w:rsidRDefault="00983A3C" w:rsidP="00983A3C">
            <w:pPr>
              <w:jc w:val="right"/>
              <w:rPr>
                <w:rFonts w:ascii="Arial" w:hAnsi="Arial" w:cs="Arial"/>
                <w:sz w:val="22"/>
                <w:szCs w:val="22"/>
              </w:rPr>
            </w:pPr>
            <w:r w:rsidRPr="00733FD7">
              <w:rPr>
                <w:rFonts w:ascii="Arial" w:hAnsi="Arial" w:cs="Arial"/>
                <w:sz w:val="22"/>
                <w:szCs w:val="22"/>
              </w:rPr>
              <w:t>73,480</w:t>
            </w:r>
          </w:p>
        </w:tc>
      </w:tr>
      <w:tr w:rsidR="00BF002B" w:rsidRPr="006D70F0" w14:paraId="62F7E4C9" w14:textId="77777777" w:rsidTr="006A61E4">
        <w:trPr>
          <w:trHeight w:val="255"/>
        </w:trPr>
        <w:tc>
          <w:tcPr>
            <w:tcW w:w="3011" w:type="dxa"/>
            <w:vAlign w:val="center"/>
          </w:tcPr>
          <w:p w14:paraId="15243021" w14:textId="118CEDCD" w:rsidR="00983A3C" w:rsidRPr="00BD07F3" w:rsidRDefault="00983A3C" w:rsidP="00983A3C">
            <w:pPr>
              <w:rPr>
                <w:rFonts w:ascii="Arial" w:hAnsi="Arial" w:cs="Arial"/>
                <w:sz w:val="22"/>
                <w:szCs w:val="22"/>
              </w:rPr>
            </w:pPr>
            <w:r w:rsidRPr="00BD07F3">
              <w:rPr>
                <w:rFonts w:ascii="Arial" w:hAnsi="Arial" w:cs="Arial"/>
                <w:sz w:val="22"/>
                <w:szCs w:val="22"/>
              </w:rPr>
              <w:t>De Wint Court Sinking Fund</w:t>
            </w:r>
          </w:p>
        </w:tc>
        <w:tc>
          <w:tcPr>
            <w:tcW w:w="1195" w:type="dxa"/>
            <w:vAlign w:val="center"/>
          </w:tcPr>
          <w:p w14:paraId="28571F0E" w14:textId="3236B23F" w:rsidR="00983A3C" w:rsidRPr="00BD07F3" w:rsidRDefault="007B6963" w:rsidP="00983A3C">
            <w:pPr>
              <w:jc w:val="right"/>
              <w:rPr>
                <w:rFonts w:ascii="Arial" w:hAnsi="Arial" w:cs="Arial"/>
                <w:sz w:val="22"/>
                <w:szCs w:val="22"/>
              </w:rPr>
            </w:pPr>
            <w:r w:rsidRPr="00BD07F3">
              <w:rPr>
                <w:rFonts w:ascii="Arial" w:hAnsi="Arial" w:cs="Arial"/>
                <w:sz w:val="22"/>
                <w:szCs w:val="22"/>
              </w:rPr>
              <w:t>198,780</w:t>
            </w:r>
          </w:p>
        </w:tc>
        <w:tc>
          <w:tcPr>
            <w:tcW w:w="1195" w:type="dxa"/>
            <w:vAlign w:val="center"/>
          </w:tcPr>
          <w:p w14:paraId="314F375A" w14:textId="04DBCE18" w:rsidR="00983A3C" w:rsidRPr="00BD07F3" w:rsidRDefault="004E02D4" w:rsidP="00983A3C">
            <w:pPr>
              <w:jc w:val="right"/>
              <w:rPr>
                <w:rFonts w:ascii="Arial" w:hAnsi="Arial" w:cs="Arial"/>
                <w:sz w:val="22"/>
                <w:szCs w:val="22"/>
              </w:rPr>
            </w:pPr>
            <w:r w:rsidRPr="00BD07F3">
              <w:rPr>
                <w:rFonts w:ascii="Arial" w:hAnsi="Arial" w:cs="Arial"/>
                <w:sz w:val="22"/>
                <w:szCs w:val="22"/>
              </w:rPr>
              <w:t>210,380</w:t>
            </w:r>
          </w:p>
        </w:tc>
        <w:tc>
          <w:tcPr>
            <w:tcW w:w="1195" w:type="dxa"/>
            <w:vAlign w:val="center"/>
          </w:tcPr>
          <w:p w14:paraId="470B3450" w14:textId="18B3EA16" w:rsidR="00983A3C" w:rsidRPr="00BD07F3" w:rsidRDefault="007D23F2" w:rsidP="00983A3C">
            <w:pPr>
              <w:jc w:val="right"/>
              <w:rPr>
                <w:rFonts w:ascii="Arial" w:hAnsi="Arial" w:cs="Arial"/>
                <w:sz w:val="22"/>
                <w:szCs w:val="22"/>
              </w:rPr>
            </w:pPr>
            <w:r w:rsidRPr="00BD07F3">
              <w:rPr>
                <w:rFonts w:ascii="Arial" w:hAnsi="Arial" w:cs="Arial"/>
                <w:sz w:val="22"/>
                <w:szCs w:val="22"/>
              </w:rPr>
              <w:t>222</w:t>
            </w:r>
            <w:r w:rsidR="001824BB" w:rsidRPr="00BD07F3">
              <w:rPr>
                <w:rFonts w:ascii="Arial" w:hAnsi="Arial" w:cs="Arial"/>
                <w:sz w:val="22"/>
                <w:szCs w:val="22"/>
              </w:rPr>
              <w:t>,330</w:t>
            </w:r>
          </w:p>
        </w:tc>
        <w:tc>
          <w:tcPr>
            <w:tcW w:w="1195" w:type="dxa"/>
            <w:vAlign w:val="center"/>
          </w:tcPr>
          <w:p w14:paraId="13E2B8E2" w14:textId="5B607000" w:rsidR="00983A3C" w:rsidRPr="00BD07F3" w:rsidRDefault="00E67A6D" w:rsidP="00983A3C">
            <w:pPr>
              <w:jc w:val="right"/>
              <w:rPr>
                <w:rFonts w:ascii="Arial" w:hAnsi="Arial" w:cs="Arial"/>
                <w:sz w:val="22"/>
                <w:szCs w:val="22"/>
              </w:rPr>
            </w:pPr>
            <w:r w:rsidRPr="00BD07F3">
              <w:rPr>
                <w:rFonts w:ascii="Arial" w:hAnsi="Arial" w:cs="Arial"/>
                <w:sz w:val="22"/>
                <w:szCs w:val="22"/>
              </w:rPr>
              <w:t>234,640</w:t>
            </w:r>
          </w:p>
        </w:tc>
        <w:tc>
          <w:tcPr>
            <w:tcW w:w="1195" w:type="dxa"/>
            <w:vAlign w:val="center"/>
          </w:tcPr>
          <w:p w14:paraId="7BDB6514" w14:textId="669DE193" w:rsidR="00983A3C" w:rsidRPr="00BD07F3" w:rsidRDefault="00B55A52" w:rsidP="00983A3C">
            <w:pPr>
              <w:jc w:val="right"/>
              <w:rPr>
                <w:rFonts w:ascii="Arial" w:hAnsi="Arial" w:cs="Arial"/>
                <w:sz w:val="22"/>
                <w:szCs w:val="22"/>
              </w:rPr>
            </w:pPr>
            <w:r w:rsidRPr="00BD07F3">
              <w:rPr>
                <w:rFonts w:ascii="Arial" w:hAnsi="Arial" w:cs="Arial"/>
                <w:sz w:val="22"/>
                <w:szCs w:val="22"/>
              </w:rPr>
              <w:t>247,320</w:t>
            </w:r>
          </w:p>
        </w:tc>
        <w:tc>
          <w:tcPr>
            <w:tcW w:w="1413" w:type="dxa"/>
            <w:vAlign w:val="center"/>
          </w:tcPr>
          <w:p w14:paraId="2AC1AC33" w14:textId="5DFD193D" w:rsidR="00983A3C" w:rsidRPr="00BD07F3" w:rsidRDefault="00FD78CE" w:rsidP="00983A3C">
            <w:pPr>
              <w:jc w:val="right"/>
              <w:rPr>
                <w:rFonts w:ascii="Arial" w:hAnsi="Arial" w:cs="Arial"/>
                <w:sz w:val="22"/>
                <w:szCs w:val="22"/>
              </w:rPr>
            </w:pPr>
            <w:r w:rsidRPr="00BD07F3">
              <w:rPr>
                <w:rFonts w:ascii="Arial" w:hAnsi="Arial" w:cs="Arial"/>
                <w:sz w:val="22"/>
                <w:szCs w:val="22"/>
              </w:rPr>
              <w:t>260,380</w:t>
            </w:r>
          </w:p>
        </w:tc>
      </w:tr>
      <w:tr w:rsidR="00BF002B" w:rsidRPr="006D70F0" w14:paraId="4B2FACE6" w14:textId="77777777" w:rsidTr="006A61E4">
        <w:trPr>
          <w:trHeight w:val="255"/>
        </w:trPr>
        <w:tc>
          <w:tcPr>
            <w:tcW w:w="3011" w:type="dxa"/>
            <w:vAlign w:val="center"/>
          </w:tcPr>
          <w:p w14:paraId="761F139F" w14:textId="45D8F212" w:rsidR="00983A3C" w:rsidRPr="0057066D" w:rsidRDefault="00983A3C" w:rsidP="00983A3C">
            <w:pPr>
              <w:rPr>
                <w:rFonts w:ascii="Arial" w:hAnsi="Arial" w:cs="Arial"/>
                <w:sz w:val="22"/>
                <w:szCs w:val="22"/>
              </w:rPr>
            </w:pPr>
            <w:r w:rsidRPr="0057066D">
              <w:rPr>
                <w:rFonts w:ascii="Arial" w:hAnsi="Arial" w:cs="Arial"/>
                <w:sz w:val="22"/>
                <w:szCs w:val="22"/>
              </w:rPr>
              <w:t>Disrepairs Management</w:t>
            </w:r>
          </w:p>
        </w:tc>
        <w:tc>
          <w:tcPr>
            <w:tcW w:w="1195" w:type="dxa"/>
            <w:vAlign w:val="center"/>
          </w:tcPr>
          <w:p w14:paraId="2140B306" w14:textId="4A66AEDD" w:rsidR="00983A3C" w:rsidRPr="0057066D" w:rsidRDefault="007857FB" w:rsidP="00983A3C">
            <w:pPr>
              <w:jc w:val="right"/>
              <w:rPr>
                <w:rFonts w:ascii="Arial" w:hAnsi="Arial" w:cs="Arial"/>
                <w:sz w:val="22"/>
                <w:szCs w:val="22"/>
              </w:rPr>
            </w:pPr>
            <w:r w:rsidRPr="0057066D">
              <w:rPr>
                <w:rFonts w:ascii="Arial" w:hAnsi="Arial" w:cs="Arial"/>
                <w:sz w:val="22"/>
                <w:szCs w:val="22"/>
              </w:rPr>
              <w:t>236,100</w:t>
            </w:r>
          </w:p>
        </w:tc>
        <w:tc>
          <w:tcPr>
            <w:tcW w:w="1195" w:type="dxa"/>
            <w:vAlign w:val="center"/>
          </w:tcPr>
          <w:p w14:paraId="4A20B52F" w14:textId="63234B71" w:rsidR="00983A3C" w:rsidRPr="0057066D" w:rsidRDefault="00954CC1" w:rsidP="00983A3C">
            <w:pPr>
              <w:jc w:val="right"/>
              <w:rPr>
                <w:rFonts w:ascii="Arial" w:hAnsi="Arial" w:cs="Arial"/>
                <w:sz w:val="22"/>
                <w:szCs w:val="22"/>
              </w:rPr>
            </w:pPr>
            <w:r w:rsidRPr="0057066D">
              <w:rPr>
                <w:rFonts w:ascii="Arial" w:hAnsi="Arial" w:cs="Arial"/>
                <w:sz w:val="22"/>
                <w:szCs w:val="22"/>
              </w:rPr>
              <w:t>163,570</w:t>
            </w:r>
          </w:p>
        </w:tc>
        <w:tc>
          <w:tcPr>
            <w:tcW w:w="1195" w:type="dxa"/>
            <w:vAlign w:val="center"/>
          </w:tcPr>
          <w:p w14:paraId="63D3BB44" w14:textId="560B39F0" w:rsidR="00983A3C" w:rsidRPr="0057066D" w:rsidRDefault="0057066D" w:rsidP="00983A3C">
            <w:pPr>
              <w:jc w:val="right"/>
              <w:rPr>
                <w:rFonts w:ascii="Arial" w:hAnsi="Arial" w:cs="Arial"/>
                <w:sz w:val="22"/>
                <w:szCs w:val="22"/>
              </w:rPr>
            </w:pPr>
            <w:r w:rsidRPr="0057066D">
              <w:rPr>
                <w:rFonts w:ascii="Arial" w:hAnsi="Arial" w:cs="Arial"/>
                <w:sz w:val="22"/>
                <w:szCs w:val="22"/>
              </w:rPr>
              <w:t>163,570</w:t>
            </w:r>
          </w:p>
        </w:tc>
        <w:tc>
          <w:tcPr>
            <w:tcW w:w="1195" w:type="dxa"/>
            <w:vAlign w:val="center"/>
          </w:tcPr>
          <w:p w14:paraId="4CC40ED2" w14:textId="1BFEF1D6" w:rsidR="00983A3C" w:rsidRPr="0057066D" w:rsidRDefault="0057066D" w:rsidP="00983A3C">
            <w:pPr>
              <w:jc w:val="right"/>
              <w:rPr>
                <w:rFonts w:ascii="Arial" w:hAnsi="Arial" w:cs="Arial"/>
                <w:sz w:val="22"/>
                <w:szCs w:val="22"/>
              </w:rPr>
            </w:pPr>
            <w:r w:rsidRPr="0057066D">
              <w:rPr>
                <w:rFonts w:ascii="Arial" w:hAnsi="Arial" w:cs="Arial"/>
                <w:sz w:val="22"/>
                <w:szCs w:val="22"/>
              </w:rPr>
              <w:t>163,570</w:t>
            </w:r>
          </w:p>
        </w:tc>
        <w:tc>
          <w:tcPr>
            <w:tcW w:w="1195" w:type="dxa"/>
            <w:vAlign w:val="center"/>
          </w:tcPr>
          <w:p w14:paraId="18797671" w14:textId="221C3B1A" w:rsidR="00983A3C" w:rsidRPr="0057066D" w:rsidRDefault="0057066D" w:rsidP="00983A3C">
            <w:pPr>
              <w:jc w:val="right"/>
              <w:rPr>
                <w:rFonts w:ascii="Arial" w:hAnsi="Arial" w:cs="Arial"/>
                <w:sz w:val="22"/>
                <w:szCs w:val="22"/>
              </w:rPr>
            </w:pPr>
            <w:r w:rsidRPr="0057066D">
              <w:rPr>
                <w:rFonts w:ascii="Arial" w:hAnsi="Arial" w:cs="Arial"/>
                <w:sz w:val="22"/>
                <w:szCs w:val="22"/>
              </w:rPr>
              <w:t>163,570</w:t>
            </w:r>
          </w:p>
        </w:tc>
        <w:tc>
          <w:tcPr>
            <w:tcW w:w="1413" w:type="dxa"/>
            <w:vAlign w:val="center"/>
          </w:tcPr>
          <w:p w14:paraId="06C192F6" w14:textId="10B67E67" w:rsidR="00983A3C" w:rsidRPr="0057066D" w:rsidRDefault="0057066D" w:rsidP="00983A3C">
            <w:pPr>
              <w:jc w:val="right"/>
              <w:rPr>
                <w:rFonts w:ascii="Arial" w:hAnsi="Arial" w:cs="Arial"/>
                <w:sz w:val="22"/>
                <w:szCs w:val="22"/>
              </w:rPr>
            </w:pPr>
            <w:r w:rsidRPr="0057066D">
              <w:rPr>
                <w:rFonts w:ascii="Arial" w:hAnsi="Arial" w:cs="Arial"/>
                <w:sz w:val="22"/>
                <w:szCs w:val="22"/>
              </w:rPr>
              <w:t>163,570</w:t>
            </w:r>
          </w:p>
        </w:tc>
      </w:tr>
      <w:tr w:rsidR="00BF002B" w:rsidRPr="006D70F0" w14:paraId="63D44F1A" w14:textId="77777777" w:rsidTr="006A61E4">
        <w:trPr>
          <w:trHeight w:val="255"/>
        </w:trPr>
        <w:tc>
          <w:tcPr>
            <w:tcW w:w="3011" w:type="dxa"/>
            <w:vAlign w:val="center"/>
          </w:tcPr>
          <w:p w14:paraId="096C5973" w14:textId="77777777" w:rsidR="00983A3C" w:rsidRPr="003A0BED" w:rsidRDefault="00983A3C" w:rsidP="00983A3C">
            <w:pPr>
              <w:rPr>
                <w:rFonts w:ascii="Arial" w:hAnsi="Arial" w:cs="Arial"/>
                <w:sz w:val="22"/>
                <w:szCs w:val="22"/>
              </w:rPr>
            </w:pPr>
            <w:r w:rsidRPr="003A0BED">
              <w:rPr>
                <w:rFonts w:ascii="Arial" w:hAnsi="Arial" w:cs="Arial"/>
                <w:sz w:val="22"/>
                <w:szCs w:val="22"/>
              </w:rPr>
              <w:t>Housing Business Plan</w:t>
            </w:r>
          </w:p>
        </w:tc>
        <w:tc>
          <w:tcPr>
            <w:tcW w:w="1195" w:type="dxa"/>
            <w:vAlign w:val="center"/>
          </w:tcPr>
          <w:p w14:paraId="1CB04A53" w14:textId="7BC359E1" w:rsidR="00983A3C" w:rsidRPr="003A0BED" w:rsidRDefault="000A6E7A" w:rsidP="00983A3C">
            <w:pPr>
              <w:jc w:val="right"/>
              <w:rPr>
                <w:rFonts w:ascii="Arial" w:hAnsi="Arial" w:cs="Arial"/>
                <w:sz w:val="22"/>
                <w:szCs w:val="22"/>
              </w:rPr>
            </w:pPr>
            <w:r w:rsidRPr="003A0BED">
              <w:rPr>
                <w:rFonts w:ascii="Arial" w:hAnsi="Arial" w:cs="Arial"/>
                <w:sz w:val="22"/>
                <w:szCs w:val="22"/>
              </w:rPr>
              <w:t>1,027</w:t>
            </w:r>
            <w:r w:rsidR="00281378" w:rsidRPr="003A0BED">
              <w:rPr>
                <w:rFonts w:ascii="Arial" w:hAnsi="Arial" w:cs="Arial"/>
                <w:sz w:val="22"/>
                <w:szCs w:val="22"/>
              </w:rPr>
              <w:t>,450</w:t>
            </w:r>
          </w:p>
        </w:tc>
        <w:tc>
          <w:tcPr>
            <w:tcW w:w="1195" w:type="dxa"/>
            <w:vAlign w:val="center"/>
          </w:tcPr>
          <w:p w14:paraId="322018D0" w14:textId="36C3B42B" w:rsidR="00983A3C" w:rsidRPr="003A0BED" w:rsidRDefault="003A0BED" w:rsidP="00983A3C">
            <w:pPr>
              <w:jc w:val="right"/>
              <w:rPr>
                <w:rFonts w:ascii="Arial" w:hAnsi="Arial" w:cs="Arial"/>
                <w:sz w:val="22"/>
                <w:szCs w:val="22"/>
              </w:rPr>
            </w:pPr>
            <w:r w:rsidRPr="003A0BED">
              <w:rPr>
                <w:rFonts w:ascii="Arial" w:hAnsi="Arial" w:cs="Arial"/>
                <w:sz w:val="22"/>
                <w:szCs w:val="22"/>
              </w:rPr>
              <w:t>1,027,450</w:t>
            </w:r>
          </w:p>
        </w:tc>
        <w:tc>
          <w:tcPr>
            <w:tcW w:w="1195" w:type="dxa"/>
            <w:vAlign w:val="center"/>
          </w:tcPr>
          <w:p w14:paraId="1464A20E" w14:textId="15A3F57B" w:rsidR="00983A3C" w:rsidRPr="003A0BED" w:rsidRDefault="003A0BED" w:rsidP="00983A3C">
            <w:pPr>
              <w:jc w:val="right"/>
              <w:rPr>
                <w:rFonts w:ascii="Arial" w:hAnsi="Arial" w:cs="Arial"/>
                <w:sz w:val="22"/>
                <w:szCs w:val="22"/>
              </w:rPr>
            </w:pPr>
            <w:r w:rsidRPr="003A0BED">
              <w:rPr>
                <w:rFonts w:ascii="Arial" w:hAnsi="Arial" w:cs="Arial"/>
                <w:sz w:val="22"/>
                <w:szCs w:val="22"/>
              </w:rPr>
              <w:t>1,027,450</w:t>
            </w:r>
          </w:p>
        </w:tc>
        <w:tc>
          <w:tcPr>
            <w:tcW w:w="1195" w:type="dxa"/>
            <w:vAlign w:val="center"/>
          </w:tcPr>
          <w:p w14:paraId="73A9B94A" w14:textId="2FDF4D71" w:rsidR="00983A3C" w:rsidRPr="003A0BED" w:rsidRDefault="003A0BED" w:rsidP="00983A3C">
            <w:pPr>
              <w:jc w:val="right"/>
              <w:rPr>
                <w:rFonts w:ascii="Arial" w:hAnsi="Arial" w:cs="Arial"/>
                <w:sz w:val="22"/>
                <w:szCs w:val="22"/>
              </w:rPr>
            </w:pPr>
            <w:r w:rsidRPr="003A0BED">
              <w:rPr>
                <w:rFonts w:ascii="Arial" w:hAnsi="Arial" w:cs="Arial"/>
                <w:sz w:val="22"/>
                <w:szCs w:val="22"/>
              </w:rPr>
              <w:t>1,027,450</w:t>
            </w:r>
          </w:p>
        </w:tc>
        <w:tc>
          <w:tcPr>
            <w:tcW w:w="1195" w:type="dxa"/>
            <w:vAlign w:val="center"/>
          </w:tcPr>
          <w:p w14:paraId="513653A7" w14:textId="42D4FC6B" w:rsidR="00983A3C" w:rsidRPr="003A0BED" w:rsidRDefault="003A0BED" w:rsidP="00983A3C">
            <w:pPr>
              <w:jc w:val="right"/>
              <w:rPr>
                <w:rFonts w:ascii="Arial" w:hAnsi="Arial" w:cs="Arial"/>
                <w:sz w:val="22"/>
                <w:szCs w:val="22"/>
              </w:rPr>
            </w:pPr>
            <w:r w:rsidRPr="003A0BED">
              <w:rPr>
                <w:rFonts w:ascii="Arial" w:hAnsi="Arial" w:cs="Arial"/>
                <w:sz w:val="22"/>
                <w:szCs w:val="22"/>
              </w:rPr>
              <w:t>1,027,450</w:t>
            </w:r>
          </w:p>
        </w:tc>
        <w:tc>
          <w:tcPr>
            <w:tcW w:w="1413" w:type="dxa"/>
            <w:vAlign w:val="center"/>
          </w:tcPr>
          <w:p w14:paraId="2C340C9B" w14:textId="796C8E4E" w:rsidR="00983A3C" w:rsidRPr="003A0BED" w:rsidRDefault="003A0BED" w:rsidP="00983A3C">
            <w:pPr>
              <w:jc w:val="right"/>
              <w:rPr>
                <w:rFonts w:ascii="Arial" w:hAnsi="Arial" w:cs="Arial"/>
                <w:sz w:val="22"/>
                <w:szCs w:val="22"/>
              </w:rPr>
            </w:pPr>
            <w:r w:rsidRPr="003A0BED">
              <w:rPr>
                <w:rFonts w:ascii="Arial" w:hAnsi="Arial" w:cs="Arial"/>
                <w:sz w:val="22"/>
                <w:szCs w:val="22"/>
              </w:rPr>
              <w:t>1,027,450</w:t>
            </w:r>
          </w:p>
        </w:tc>
      </w:tr>
      <w:tr w:rsidR="00BF002B" w:rsidRPr="006D70F0" w14:paraId="0D124E61" w14:textId="77777777" w:rsidTr="006A61E4">
        <w:trPr>
          <w:trHeight w:val="255"/>
        </w:trPr>
        <w:tc>
          <w:tcPr>
            <w:tcW w:w="3011" w:type="dxa"/>
            <w:vAlign w:val="center"/>
          </w:tcPr>
          <w:p w14:paraId="62EB8C82" w14:textId="77777777" w:rsidR="00983A3C" w:rsidRPr="0007501C" w:rsidRDefault="00983A3C" w:rsidP="00983A3C">
            <w:pPr>
              <w:rPr>
                <w:rFonts w:ascii="Arial" w:hAnsi="Arial" w:cs="Arial"/>
                <w:sz w:val="22"/>
                <w:szCs w:val="22"/>
              </w:rPr>
            </w:pPr>
            <w:r w:rsidRPr="0007501C">
              <w:rPr>
                <w:rFonts w:ascii="Arial" w:hAnsi="Arial" w:cs="Arial"/>
                <w:sz w:val="22"/>
                <w:szCs w:val="22"/>
              </w:rPr>
              <w:t>Housing Repairs Service</w:t>
            </w:r>
          </w:p>
        </w:tc>
        <w:tc>
          <w:tcPr>
            <w:tcW w:w="1195" w:type="dxa"/>
            <w:vAlign w:val="center"/>
          </w:tcPr>
          <w:p w14:paraId="017A3EEE" w14:textId="16B600BF" w:rsidR="00983A3C" w:rsidRPr="0007501C" w:rsidRDefault="00E453C1" w:rsidP="00983A3C">
            <w:pPr>
              <w:jc w:val="right"/>
              <w:rPr>
                <w:rFonts w:ascii="Arial" w:hAnsi="Arial" w:cs="Arial"/>
                <w:sz w:val="22"/>
                <w:szCs w:val="22"/>
              </w:rPr>
            </w:pPr>
            <w:r w:rsidRPr="0007501C">
              <w:rPr>
                <w:rFonts w:ascii="Arial" w:hAnsi="Arial" w:cs="Arial"/>
                <w:sz w:val="22"/>
                <w:szCs w:val="22"/>
              </w:rPr>
              <w:t>7</w:t>
            </w:r>
            <w:r w:rsidR="0007501C" w:rsidRPr="0007501C">
              <w:rPr>
                <w:rFonts w:ascii="Arial" w:hAnsi="Arial" w:cs="Arial"/>
                <w:sz w:val="22"/>
                <w:szCs w:val="22"/>
              </w:rPr>
              <w:t>,210</w:t>
            </w:r>
          </w:p>
        </w:tc>
        <w:tc>
          <w:tcPr>
            <w:tcW w:w="1195" w:type="dxa"/>
            <w:vAlign w:val="center"/>
          </w:tcPr>
          <w:p w14:paraId="49CCF2EC" w14:textId="629D06C8" w:rsidR="00983A3C" w:rsidRPr="0007501C" w:rsidRDefault="0007501C" w:rsidP="00983A3C">
            <w:pPr>
              <w:jc w:val="right"/>
              <w:rPr>
                <w:rFonts w:ascii="Arial" w:hAnsi="Arial" w:cs="Arial"/>
                <w:sz w:val="22"/>
                <w:szCs w:val="22"/>
              </w:rPr>
            </w:pPr>
            <w:r w:rsidRPr="0007501C">
              <w:rPr>
                <w:rFonts w:ascii="Arial" w:hAnsi="Arial" w:cs="Arial"/>
                <w:sz w:val="22"/>
                <w:szCs w:val="22"/>
              </w:rPr>
              <w:t>7,210</w:t>
            </w:r>
          </w:p>
        </w:tc>
        <w:tc>
          <w:tcPr>
            <w:tcW w:w="1195" w:type="dxa"/>
            <w:vAlign w:val="center"/>
          </w:tcPr>
          <w:p w14:paraId="569025FF" w14:textId="2C0A3D5C" w:rsidR="00983A3C" w:rsidRPr="0007501C" w:rsidRDefault="0007501C" w:rsidP="00983A3C">
            <w:pPr>
              <w:jc w:val="right"/>
              <w:rPr>
                <w:rFonts w:ascii="Arial" w:hAnsi="Arial" w:cs="Arial"/>
                <w:sz w:val="22"/>
                <w:szCs w:val="22"/>
              </w:rPr>
            </w:pPr>
            <w:r w:rsidRPr="0007501C">
              <w:rPr>
                <w:rFonts w:ascii="Arial" w:hAnsi="Arial" w:cs="Arial"/>
                <w:sz w:val="22"/>
                <w:szCs w:val="22"/>
              </w:rPr>
              <w:t>7,210</w:t>
            </w:r>
          </w:p>
        </w:tc>
        <w:tc>
          <w:tcPr>
            <w:tcW w:w="1195" w:type="dxa"/>
            <w:vAlign w:val="center"/>
          </w:tcPr>
          <w:p w14:paraId="730E79E8" w14:textId="0A5462B1" w:rsidR="00983A3C" w:rsidRPr="0007501C" w:rsidRDefault="0007501C" w:rsidP="00983A3C">
            <w:pPr>
              <w:jc w:val="right"/>
              <w:rPr>
                <w:rFonts w:ascii="Arial" w:hAnsi="Arial" w:cs="Arial"/>
                <w:sz w:val="22"/>
                <w:szCs w:val="22"/>
              </w:rPr>
            </w:pPr>
            <w:r w:rsidRPr="0007501C">
              <w:rPr>
                <w:rFonts w:ascii="Arial" w:hAnsi="Arial" w:cs="Arial"/>
                <w:sz w:val="22"/>
                <w:szCs w:val="22"/>
              </w:rPr>
              <w:t>7,210</w:t>
            </w:r>
          </w:p>
        </w:tc>
        <w:tc>
          <w:tcPr>
            <w:tcW w:w="1195" w:type="dxa"/>
            <w:vAlign w:val="center"/>
          </w:tcPr>
          <w:p w14:paraId="0D67A40F" w14:textId="53FF2DFF" w:rsidR="00983A3C" w:rsidRPr="0007501C" w:rsidRDefault="0007501C" w:rsidP="00983A3C">
            <w:pPr>
              <w:jc w:val="right"/>
              <w:rPr>
                <w:rFonts w:ascii="Arial" w:hAnsi="Arial" w:cs="Arial"/>
                <w:sz w:val="22"/>
                <w:szCs w:val="22"/>
              </w:rPr>
            </w:pPr>
            <w:r w:rsidRPr="0007501C">
              <w:rPr>
                <w:rFonts w:ascii="Arial" w:hAnsi="Arial" w:cs="Arial"/>
                <w:sz w:val="22"/>
                <w:szCs w:val="22"/>
              </w:rPr>
              <w:t>7,210</w:t>
            </w:r>
          </w:p>
        </w:tc>
        <w:tc>
          <w:tcPr>
            <w:tcW w:w="1413" w:type="dxa"/>
            <w:vAlign w:val="center"/>
          </w:tcPr>
          <w:p w14:paraId="5C0D80C8" w14:textId="7B3203E7" w:rsidR="00983A3C" w:rsidRPr="0007501C" w:rsidRDefault="0007501C" w:rsidP="00983A3C">
            <w:pPr>
              <w:jc w:val="right"/>
              <w:rPr>
                <w:rFonts w:ascii="Arial" w:hAnsi="Arial" w:cs="Arial"/>
                <w:sz w:val="22"/>
                <w:szCs w:val="22"/>
              </w:rPr>
            </w:pPr>
            <w:r w:rsidRPr="0007501C">
              <w:rPr>
                <w:rFonts w:ascii="Arial" w:hAnsi="Arial" w:cs="Arial"/>
                <w:sz w:val="22"/>
                <w:szCs w:val="22"/>
              </w:rPr>
              <w:t>7,210</w:t>
            </w:r>
          </w:p>
        </w:tc>
      </w:tr>
      <w:tr w:rsidR="00BF002B" w:rsidRPr="006D70F0" w14:paraId="7663C3C1" w14:textId="77777777" w:rsidTr="006A61E4">
        <w:trPr>
          <w:trHeight w:val="255"/>
        </w:trPr>
        <w:tc>
          <w:tcPr>
            <w:tcW w:w="3011" w:type="dxa"/>
            <w:vAlign w:val="center"/>
          </w:tcPr>
          <w:p w14:paraId="5445F0E6" w14:textId="28E54349" w:rsidR="00BC7690" w:rsidRPr="0007501C" w:rsidRDefault="00BC7690" w:rsidP="00983A3C">
            <w:pPr>
              <w:rPr>
                <w:rFonts w:ascii="Arial" w:hAnsi="Arial" w:cs="Arial"/>
                <w:sz w:val="22"/>
                <w:szCs w:val="22"/>
              </w:rPr>
            </w:pPr>
            <w:r>
              <w:rPr>
                <w:rFonts w:ascii="Arial" w:hAnsi="Arial" w:cs="Arial"/>
                <w:sz w:val="22"/>
                <w:szCs w:val="22"/>
              </w:rPr>
              <w:t>HRA</w:t>
            </w:r>
            <w:r w:rsidR="006F64FC">
              <w:rPr>
                <w:rFonts w:ascii="Arial" w:hAnsi="Arial" w:cs="Arial"/>
                <w:sz w:val="22"/>
                <w:szCs w:val="22"/>
              </w:rPr>
              <w:t xml:space="preserve"> Electrical Testing</w:t>
            </w:r>
          </w:p>
        </w:tc>
        <w:tc>
          <w:tcPr>
            <w:tcW w:w="1195" w:type="dxa"/>
            <w:vAlign w:val="center"/>
          </w:tcPr>
          <w:p w14:paraId="1A378598" w14:textId="5C9E7832" w:rsidR="00BC7690" w:rsidRPr="0007501C" w:rsidRDefault="00485078" w:rsidP="00983A3C">
            <w:pPr>
              <w:jc w:val="right"/>
              <w:rPr>
                <w:rFonts w:ascii="Arial" w:hAnsi="Arial" w:cs="Arial"/>
                <w:sz w:val="22"/>
                <w:szCs w:val="22"/>
              </w:rPr>
            </w:pPr>
            <w:r>
              <w:rPr>
                <w:rFonts w:ascii="Arial" w:hAnsi="Arial" w:cs="Arial"/>
                <w:sz w:val="22"/>
                <w:szCs w:val="22"/>
              </w:rPr>
              <w:t>202,230</w:t>
            </w:r>
          </w:p>
        </w:tc>
        <w:tc>
          <w:tcPr>
            <w:tcW w:w="1195" w:type="dxa"/>
            <w:vAlign w:val="center"/>
          </w:tcPr>
          <w:p w14:paraId="5F0CCA1F" w14:textId="4E329ACB" w:rsidR="00BC7690" w:rsidRPr="0007501C" w:rsidRDefault="007536DD" w:rsidP="00983A3C">
            <w:pPr>
              <w:jc w:val="right"/>
              <w:rPr>
                <w:rFonts w:ascii="Arial" w:hAnsi="Arial" w:cs="Arial"/>
                <w:sz w:val="22"/>
                <w:szCs w:val="22"/>
              </w:rPr>
            </w:pPr>
            <w:r>
              <w:rPr>
                <w:rFonts w:ascii="Arial" w:hAnsi="Arial" w:cs="Arial"/>
                <w:sz w:val="22"/>
                <w:szCs w:val="22"/>
              </w:rPr>
              <w:t>202,230</w:t>
            </w:r>
          </w:p>
        </w:tc>
        <w:tc>
          <w:tcPr>
            <w:tcW w:w="1195" w:type="dxa"/>
            <w:vAlign w:val="center"/>
          </w:tcPr>
          <w:p w14:paraId="08B2E00E" w14:textId="06694A2C" w:rsidR="00BC7690" w:rsidRPr="0007501C" w:rsidRDefault="007536DD" w:rsidP="00983A3C">
            <w:pPr>
              <w:jc w:val="right"/>
              <w:rPr>
                <w:rFonts w:ascii="Arial" w:hAnsi="Arial" w:cs="Arial"/>
                <w:sz w:val="22"/>
                <w:szCs w:val="22"/>
              </w:rPr>
            </w:pPr>
            <w:r>
              <w:rPr>
                <w:rFonts w:ascii="Arial" w:hAnsi="Arial" w:cs="Arial"/>
                <w:sz w:val="22"/>
                <w:szCs w:val="22"/>
              </w:rPr>
              <w:t>202,230</w:t>
            </w:r>
          </w:p>
        </w:tc>
        <w:tc>
          <w:tcPr>
            <w:tcW w:w="1195" w:type="dxa"/>
            <w:vAlign w:val="center"/>
          </w:tcPr>
          <w:p w14:paraId="514A35ED" w14:textId="104F2718" w:rsidR="00BC7690" w:rsidRPr="0007501C" w:rsidRDefault="007536DD" w:rsidP="00983A3C">
            <w:pPr>
              <w:jc w:val="right"/>
              <w:rPr>
                <w:rFonts w:ascii="Arial" w:hAnsi="Arial" w:cs="Arial"/>
                <w:sz w:val="22"/>
                <w:szCs w:val="22"/>
              </w:rPr>
            </w:pPr>
            <w:r>
              <w:rPr>
                <w:rFonts w:ascii="Arial" w:hAnsi="Arial" w:cs="Arial"/>
                <w:sz w:val="22"/>
                <w:szCs w:val="22"/>
              </w:rPr>
              <w:t>202,230</w:t>
            </w:r>
          </w:p>
        </w:tc>
        <w:tc>
          <w:tcPr>
            <w:tcW w:w="1195" w:type="dxa"/>
            <w:vAlign w:val="center"/>
          </w:tcPr>
          <w:p w14:paraId="2703B1D2" w14:textId="479B8488" w:rsidR="00BC7690" w:rsidRPr="0007501C" w:rsidRDefault="007536DD" w:rsidP="00983A3C">
            <w:pPr>
              <w:jc w:val="right"/>
              <w:rPr>
                <w:rFonts w:ascii="Arial" w:hAnsi="Arial" w:cs="Arial"/>
                <w:sz w:val="22"/>
                <w:szCs w:val="22"/>
              </w:rPr>
            </w:pPr>
            <w:r>
              <w:rPr>
                <w:rFonts w:ascii="Arial" w:hAnsi="Arial" w:cs="Arial"/>
                <w:sz w:val="22"/>
                <w:szCs w:val="22"/>
              </w:rPr>
              <w:t>202,230</w:t>
            </w:r>
          </w:p>
        </w:tc>
        <w:tc>
          <w:tcPr>
            <w:tcW w:w="1413" w:type="dxa"/>
            <w:vAlign w:val="center"/>
          </w:tcPr>
          <w:p w14:paraId="53C98E45" w14:textId="343833D1" w:rsidR="00BC7690" w:rsidRPr="0007501C" w:rsidRDefault="007536DD" w:rsidP="00983A3C">
            <w:pPr>
              <w:jc w:val="right"/>
              <w:rPr>
                <w:rFonts w:ascii="Arial" w:hAnsi="Arial" w:cs="Arial"/>
                <w:sz w:val="22"/>
                <w:szCs w:val="22"/>
              </w:rPr>
            </w:pPr>
            <w:r>
              <w:rPr>
                <w:rFonts w:ascii="Arial" w:hAnsi="Arial" w:cs="Arial"/>
                <w:sz w:val="22"/>
                <w:szCs w:val="22"/>
              </w:rPr>
              <w:t>202,230</w:t>
            </w:r>
          </w:p>
        </w:tc>
      </w:tr>
      <w:tr w:rsidR="00BF002B" w:rsidRPr="006D70F0" w14:paraId="0785FCE4" w14:textId="77777777" w:rsidTr="006A61E4">
        <w:trPr>
          <w:trHeight w:val="255"/>
        </w:trPr>
        <w:tc>
          <w:tcPr>
            <w:tcW w:w="3011" w:type="dxa"/>
            <w:vAlign w:val="center"/>
          </w:tcPr>
          <w:p w14:paraId="04A333D4" w14:textId="04BF9E20" w:rsidR="00983A3C" w:rsidRPr="00384BCF" w:rsidRDefault="00983A3C" w:rsidP="00983A3C">
            <w:pPr>
              <w:rPr>
                <w:rFonts w:ascii="Arial" w:hAnsi="Arial" w:cs="Arial"/>
                <w:sz w:val="22"/>
                <w:szCs w:val="22"/>
              </w:rPr>
            </w:pPr>
            <w:r w:rsidRPr="00384BCF">
              <w:rPr>
                <w:rFonts w:ascii="Arial" w:hAnsi="Arial" w:cs="Arial"/>
                <w:sz w:val="22"/>
                <w:szCs w:val="22"/>
              </w:rPr>
              <w:t>HRA IT</w:t>
            </w:r>
          </w:p>
        </w:tc>
        <w:tc>
          <w:tcPr>
            <w:tcW w:w="1195" w:type="dxa"/>
            <w:vAlign w:val="center"/>
          </w:tcPr>
          <w:p w14:paraId="0407F096" w14:textId="1B5919C2" w:rsidR="00983A3C" w:rsidRPr="00384BCF" w:rsidRDefault="002960AA" w:rsidP="00983A3C">
            <w:pPr>
              <w:jc w:val="right"/>
              <w:rPr>
                <w:rFonts w:ascii="Arial" w:hAnsi="Arial" w:cs="Arial"/>
                <w:sz w:val="22"/>
                <w:szCs w:val="22"/>
              </w:rPr>
            </w:pPr>
            <w:r>
              <w:rPr>
                <w:rFonts w:ascii="Arial" w:hAnsi="Arial" w:cs="Arial"/>
                <w:sz w:val="22"/>
                <w:szCs w:val="22"/>
              </w:rPr>
              <w:t>313</w:t>
            </w:r>
            <w:r w:rsidR="007110BB" w:rsidRPr="00384BCF">
              <w:rPr>
                <w:rFonts w:ascii="Arial" w:hAnsi="Arial" w:cs="Arial"/>
                <w:sz w:val="22"/>
                <w:szCs w:val="22"/>
              </w:rPr>
              <w:t>,780</w:t>
            </w:r>
          </w:p>
        </w:tc>
        <w:tc>
          <w:tcPr>
            <w:tcW w:w="1195" w:type="dxa"/>
            <w:vAlign w:val="center"/>
          </w:tcPr>
          <w:p w14:paraId="3FA5502E" w14:textId="1C508A80" w:rsidR="00983A3C" w:rsidRPr="00384BCF" w:rsidRDefault="002960AA" w:rsidP="00983A3C">
            <w:pPr>
              <w:jc w:val="right"/>
              <w:rPr>
                <w:rFonts w:ascii="Arial" w:hAnsi="Arial" w:cs="Arial"/>
                <w:sz w:val="22"/>
                <w:szCs w:val="22"/>
              </w:rPr>
            </w:pPr>
            <w:r>
              <w:rPr>
                <w:rFonts w:ascii="Arial" w:hAnsi="Arial" w:cs="Arial"/>
                <w:sz w:val="22"/>
                <w:szCs w:val="22"/>
              </w:rPr>
              <w:t>312</w:t>
            </w:r>
            <w:r w:rsidR="002746ED" w:rsidRPr="00384BCF">
              <w:rPr>
                <w:rFonts w:ascii="Arial" w:hAnsi="Arial" w:cs="Arial"/>
                <w:sz w:val="22"/>
                <w:szCs w:val="22"/>
              </w:rPr>
              <w:t>,590</w:t>
            </w:r>
          </w:p>
        </w:tc>
        <w:tc>
          <w:tcPr>
            <w:tcW w:w="1195" w:type="dxa"/>
            <w:vAlign w:val="center"/>
          </w:tcPr>
          <w:p w14:paraId="4401DC90" w14:textId="5F3250C4" w:rsidR="00983A3C" w:rsidRPr="00384BCF" w:rsidRDefault="002960AA" w:rsidP="00983A3C">
            <w:pPr>
              <w:jc w:val="right"/>
              <w:rPr>
                <w:rFonts w:ascii="Arial" w:hAnsi="Arial" w:cs="Arial"/>
                <w:sz w:val="22"/>
                <w:szCs w:val="22"/>
              </w:rPr>
            </w:pPr>
            <w:r>
              <w:rPr>
                <w:rFonts w:ascii="Arial" w:hAnsi="Arial" w:cs="Arial"/>
                <w:sz w:val="22"/>
                <w:szCs w:val="22"/>
              </w:rPr>
              <w:t>327</w:t>
            </w:r>
            <w:r w:rsidR="00826874" w:rsidRPr="00384BCF">
              <w:rPr>
                <w:rFonts w:ascii="Arial" w:hAnsi="Arial" w:cs="Arial"/>
                <w:sz w:val="22"/>
                <w:szCs w:val="22"/>
              </w:rPr>
              <w:t>,700</w:t>
            </w:r>
          </w:p>
        </w:tc>
        <w:tc>
          <w:tcPr>
            <w:tcW w:w="1195" w:type="dxa"/>
            <w:vAlign w:val="center"/>
          </w:tcPr>
          <w:p w14:paraId="167750B7" w14:textId="53DFDCA0" w:rsidR="00983A3C" w:rsidRPr="00384BCF" w:rsidRDefault="002960AA" w:rsidP="00983A3C">
            <w:pPr>
              <w:jc w:val="right"/>
              <w:rPr>
                <w:rFonts w:ascii="Arial" w:hAnsi="Arial" w:cs="Arial"/>
                <w:sz w:val="22"/>
                <w:szCs w:val="22"/>
              </w:rPr>
            </w:pPr>
            <w:r>
              <w:rPr>
                <w:rFonts w:ascii="Arial" w:hAnsi="Arial" w:cs="Arial"/>
                <w:sz w:val="22"/>
                <w:szCs w:val="22"/>
              </w:rPr>
              <w:t>362</w:t>
            </w:r>
            <w:r w:rsidR="004357AE" w:rsidRPr="00384BCF">
              <w:rPr>
                <w:rFonts w:ascii="Arial" w:hAnsi="Arial" w:cs="Arial"/>
                <w:sz w:val="22"/>
                <w:szCs w:val="22"/>
              </w:rPr>
              <w:t>,700</w:t>
            </w:r>
          </w:p>
        </w:tc>
        <w:tc>
          <w:tcPr>
            <w:tcW w:w="1195" w:type="dxa"/>
            <w:vAlign w:val="center"/>
          </w:tcPr>
          <w:p w14:paraId="7A602C22" w14:textId="6CB832E5" w:rsidR="00983A3C" w:rsidRPr="00384BCF" w:rsidRDefault="00355130" w:rsidP="00983A3C">
            <w:pPr>
              <w:jc w:val="right"/>
              <w:rPr>
                <w:rFonts w:ascii="Arial" w:hAnsi="Arial" w:cs="Arial"/>
                <w:sz w:val="22"/>
                <w:szCs w:val="22"/>
              </w:rPr>
            </w:pPr>
            <w:r>
              <w:rPr>
                <w:rFonts w:ascii="Arial" w:hAnsi="Arial" w:cs="Arial"/>
                <w:sz w:val="22"/>
                <w:szCs w:val="22"/>
              </w:rPr>
              <w:t>397</w:t>
            </w:r>
            <w:r w:rsidR="002A4F8A" w:rsidRPr="00384BCF">
              <w:rPr>
                <w:rFonts w:ascii="Arial" w:hAnsi="Arial" w:cs="Arial"/>
                <w:sz w:val="22"/>
                <w:szCs w:val="22"/>
              </w:rPr>
              <w:t>,700</w:t>
            </w:r>
          </w:p>
        </w:tc>
        <w:tc>
          <w:tcPr>
            <w:tcW w:w="1413" w:type="dxa"/>
            <w:vAlign w:val="center"/>
          </w:tcPr>
          <w:p w14:paraId="568A0245" w14:textId="32BE7B22" w:rsidR="00983A3C" w:rsidRPr="00384BCF" w:rsidRDefault="00355130" w:rsidP="00983A3C">
            <w:pPr>
              <w:jc w:val="right"/>
              <w:rPr>
                <w:rFonts w:ascii="Arial" w:hAnsi="Arial" w:cs="Arial"/>
                <w:sz w:val="22"/>
                <w:szCs w:val="22"/>
              </w:rPr>
            </w:pPr>
            <w:r>
              <w:rPr>
                <w:rFonts w:ascii="Arial" w:hAnsi="Arial" w:cs="Arial"/>
                <w:sz w:val="22"/>
                <w:szCs w:val="22"/>
              </w:rPr>
              <w:t>432</w:t>
            </w:r>
            <w:r w:rsidR="00384BCF" w:rsidRPr="00384BCF">
              <w:rPr>
                <w:rFonts w:ascii="Arial" w:hAnsi="Arial" w:cs="Arial"/>
                <w:sz w:val="22"/>
                <w:szCs w:val="22"/>
              </w:rPr>
              <w:t>,700</w:t>
            </w:r>
          </w:p>
        </w:tc>
      </w:tr>
      <w:tr w:rsidR="00BF002B" w:rsidRPr="006D70F0" w14:paraId="75FE46C8" w14:textId="77777777" w:rsidTr="006A61E4">
        <w:trPr>
          <w:trHeight w:val="255"/>
        </w:trPr>
        <w:tc>
          <w:tcPr>
            <w:tcW w:w="3011" w:type="dxa"/>
            <w:vAlign w:val="center"/>
          </w:tcPr>
          <w:p w14:paraId="12558AED" w14:textId="77777777" w:rsidR="00186CB5" w:rsidRPr="00D91E47" w:rsidRDefault="00186CB5" w:rsidP="00186CB5">
            <w:pPr>
              <w:rPr>
                <w:rFonts w:ascii="Arial" w:hAnsi="Arial" w:cs="Arial"/>
                <w:sz w:val="22"/>
                <w:szCs w:val="22"/>
              </w:rPr>
            </w:pPr>
            <w:r w:rsidRPr="00D91E47">
              <w:rPr>
                <w:rFonts w:ascii="Arial" w:hAnsi="Arial" w:cs="Arial"/>
                <w:sz w:val="22"/>
                <w:szCs w:val="22"/>
              </w:rPr>
              <w:t>HRA Repairs Account</w:t>
            </w:r>
          </w:p>
        </w:tc>
        <w:tc>
          <w:tcPr>
            <w:tcW w:w="1195" w:type="dxa"/>
            <w:vAlign w:val="center"/>
          </w:tcPr>
          <w:p w14:paraId="76BF5599" w14:textId="0BB825A6" w:rsidR="00186CB5" w:rsidRPr="00D91E47" w:rsidRDefault="00186CB5" w:rsidP="00186CB5">
            <w:pPr>
              <w:jc w:val="right"/>
              <w:rPr>
                <w:rFonts w:ascii="Arial" w:hAnsi="Arial" w:cs="Arial"/>
                <w:sz w:val="22"/>
                <w:szCs w:val="22"/>
              </w:rPr>
            </w:pPr>
            <w:r w:rsidRPr="00D91E47">
              <w:rPr>
                <w:rFonts w:ascii="Arial" w:hAnsi="Arial" w:cs="Arial"/>
                <w:sz w:val="22"/>
                <w:szCs w:val="22"/>
              </w:rPr>
              <w:t>1,</w:t>
            </w:r>
            <w:r w:rsidR="00FA33B2" w:rsidRPr="00D91E47">
              <w:rPr>
                <w:rFonts w:ascii="Arial" w:hAnsi="Arial" w:cs="Arial"/>
                <w:sz w:val="22"/>
                <w:szCs w:val="22"/>
              </w:rPr>
              <w:t>295</w:t>
            </w:r>
            <w:r w:rsidR="00D91E47" w:rsidRPr="00D91E47">
              <w:rPr>
                <w:rFonts w:ascii="Arial" w:hAnsi="Arial" w:cs="Arial"/>
                <w:sz w:val="22"/>
                <w:szCs w:val="22"/>
              </w:rPr>
              <w:t>,590</w:t>
            </w:r>
          </w:p>
        </w:tc>
        <w:tc>
          <w:tcPr>
            <w:tcW w:w="1195" w:type="dxa"/>
            <w:vAlign w:val="center"/>
          </w:tcPr>
          <w:p w14:paraId="2543D4EE" w14:textId="6A2BFF3F" w:rsidR="00186CB5" w:rsidRPr="00D91E47" w:rsidRDefault="00D91E47" w:rsidP="00186CB5">
            <w:pPr>
              <w:jc w:val="right"/>
              <w:rPr>
                <w:rFonts w:ascii="Arial" w:hAnsi="Arial" w:cs="Arial"/>
                <w:sz w:val="22"/>
                <w:szCs w:val="22"/>
              </w:rPr>
            </w:pPr>
            <w:r w:rsidRPr="00D91E47">
              <w:rPr>
                <w:rFonts w:ascii="Arial" w:hAnsi="Arial" w:cs="Arial"/>
                <w:sz w:val="22"/>
                <w:szCs w:val="22"/>
              </w:rPr>
              <w:t>1,295,590</w:t>
            </w:r>
          </w:p>
        </w:tc>
        <w:tc>
          <w:tcPr>
            <w:tcW w:w="1195" w:type="dxa"/>
            <w:vAlign w:val="center"/>
          </w:tcPr>
          <w:p w14:paraId="364C7C2A" w14:textId="5D44C520" w:rsidR="00186CB5" w:rsidRPr="00D91E47" w:rsidRDefault="00D91E47" w:rsidP="00186CB5">
            <w:pPr>
              <w:jc w:val="right"/>
              <w:rPr>
                <w:rFonts w:ascii="Arial" w:hAnsi="Arial" w:cs="Arial"/>
                <w:sz w:val="22"/>
                <w:szCs w:val="22"/>
              </w:rPr>
            </w:pPr>
            <w:r w:rsidRPr="00D91E47">
              <w:rPr>
                <w:rFonts w:ascii="Arial" w:hAnsi="Arial" w:cs="Arial"/>
                <w:sz w:val="22"/>
                <w:szCs w:val="22"/>
              </w:rPr>
              <w:t>1,295,590</w:t>
            </w:r>
          </w:p>
        </w:tc>
        <w:tc>
          <w:tcPr>
            <w:tcW w:w="1195" w:type="dxa"/>
            <w:vAlign w:val="center"/>
          </w:tcPr>
          <w:p w14:paraId="2F441899" w14:textId="0B5E1A6E" w:rsidR="00186CB5" w:rsidRPr="00D91E47" w:rsidRDefault="00D91E47" w:rsidP="00186CB5">
            <w:pPr>
              <w:jc w:val="right"/>
              <w:rPr>
                <w:rFonts w:ascii="Arial" w:hAnsi="Arial" w:cs="Arial"/>
                <w:sz w:val="22"/>
                <w:szCs w:val="22"/>
              </w:rPr>
            </w:pPr>
            <w:r w:rsidRPr="00D91E47">
              <w:rPr>
                <w:rFonts w:ascii="Arial" w:hAnsi="Arial" w:cs="Arial"/>
                <w:sz w:val="22"/>
                <w:szCs w:val="22"/>
              </w:rPr>
              <w:t>1,295,590</w:t>
            </w:r>
          </w:p>
        </w:tc>
        <w:tc>
          <w:tcPr>
            <w:tcW w:w="1195" w:type="dxa"/>
            <w:vAlign w:val="center"/>
          </w:tcPr>
          <w:p w14:paraId="6270680B" w14:textId="176CA45A" w:rsidR="00186CB5" w:rsidRPr="00D91E47" w:rsidRDefault="00D91E47" w:rsidP="00186CB5">
            <w:pPr>
              <w:jc w:val="right"/>
              <w:rPr>
                <w:rFonts w:ascii="Arial" w:hAnsi="Arial" w:cs="Arial"/>
                <w:sz w:val="22"/>
                <w:szCs w:val="22"/>
              </w:rPr>
            </w:pPr>
            <w:r w:rsidRPr="00D91E47">
              <w:rPr>
                <w:rFonts w:ascii="Arial" w:hAnsi="Arial" w:cs="Arial"/>
                <w:sz w:val="22"/>
                <w:szCs w:val="22"/>
              </w:rPr>
              <w:t>1,295,590</w:t>
            </w:r>
          </w:p>
        </w:tc>
        <w:tc>
          <w:tcPr>
            <w:tcW w:w="1413" w:type="dxa"/>
            <w:vAlign w:val="center"/>
          </w:tcPr>
          <w:p w14:paraId="0D544C42" w14:textId="4D39F098" w:rsidR="00186CB5" w:rsidRPr="00D91E47" w:rsidRDefault="00D91E47" w:rsidP="00186CB5">
            <w:pPr>
              <w:jc w:val="right"/>
              <w:rPr>
                <w:rFonts w:ascii="Arial" w:hAnsi="Arial" w:cs="Arial"/>
                <w:sz w:val="22"/>
                <w:szCs w:val="22"/>
              </w:rPr>
            </w:pPr>
            <w:r w:rsidRPr="00D91E47">
              <w:rPr>
                <w:rFonts w:ascii="Arial" w:hAnsi="Arial" w:cs="Arial"/>
                <w:sz w:val="22"/>
                <w:szCs w:val="22"/>
              </w:rPr>
              <w:t>1,295,590</w:t>
            </w:r>
          </w:p>
        </w:tc>
      </w:tr>
      <w:tr w:rsidR="00BF002B" w:rsidRPr="006D70F0" w14:paraId="05151ABE" w14:textId="77777777" w:rsidTr="006A61E4">
        <w:trPr>
          <w:trHeight w:val="255"/>
        </w:trPr>
        <w:tc>
          <w:tcPr>
            <w:tcW w:w="3011" w:type="dxa"/>
            <w:vAlign w:val="center"/>
          </w:tcPr>
          <w:p w14:paraId="36EE5973" w14:textId="77777777" w:rsidR="00186CB5" w:rsidRPr="004D64E4" w:rsidRDefault="00186CB5" w:rsidP="00186CB5">
            <w:pPr>
              <w:rPr>
                <w:rFonts w:ascii="Arial" w:hAnsi="Arial" w:cs="Arial"/>
                <w:sz w:val="22"/>
                <w:szCs w:val="22"/>
              </w:rPr>
            </w:pPr>
            <w:r w:rsidRPr="004D64E4">
              <w:rPr>
                <w:rFonts w:ascii="Arial" w:hAnsi="Arial" w:cs="Arial"/>
                <w:sz w:val="22"/>
                <w:szCs w:val="22"/>
              </w:rPr>
              <w:t>HRA Strategic Priority Reserve</w:t>
            </w:r>
          </w:p>
        </w:tc>
        <w:tc>
          <w:tcPr>
            <w:tcW w:w="1195" w:type="dxa"/>
            <w:vAlign w:val="center"/>
          </w:tcPr>
          <w:p w14:paraId="70EA4EBE" w14:textId="522F4787" w:rsidR="00186CB5" w:rsidRPr="004D64E4" w:rsidRDefault="0020555E" w:rsidP="00186CB5">
            <w:pPr>
              <w:jc w:val="right"/>
              <w:rPr>
                <w:rFonts w:ascii="Arial" w:hAnsi="Arial" w:cs="Arial"/>
                <w:sz w:val="22"/>
                <w:szCs w:val="22"/>
                <w:lang w:eastAsia="en-GB"/>
              </w:rPr>
            </w:pPr>
            <w:r>
              <w:rPr>
                <w:rFonts w:ascii="Arial" w:hAnsi="Arial" w:cs="Arial"/>
                <w:sz w:val="22"/>
                <w:szCs w:val="22"/>
                <w:lang w:eastAsia="en-GB"/>
              </w:rPr>
              <w:t>899,530</w:t>
            </w:r>
          </w:p>
        </w:tc>
        <w:tc>
          <w:tcPr>
            <w:tcW w:w="1195" w:type="dxa"/>
            <w:vAlign w:val="center"/>
          </w:tcPr>
          <w:p w14:paraId="67DBB12D" w14:textId="60E851B4" w:rsidR="00186CB5" w:rsidRPr="004D64E4" w:rsidRDefault="0020555E" w:rsidP="00186CB5">
            <w:pPr>
              <w:jc w:val="right"/>
              <w:rPr>
                <w:rFonts w:ascii="Arial" w:hAnsi="Arial" w:cs="Arial"/>
                <w:sz w:val="22"/>
                <w:szCs w:val="22"/>
              </w:rPr>
            </w:pPr>
            <w:r>
              <w:rPr>
                <w:rFonts w:ascii="Arial" w:hAnsi="Arial" w:cs="Arial"/>
                <w:sz w:val="22"/>
                <w:szCs w:val="22"/>
                <w:lang w:eastAsia="en-GB"/>
              </w:rPr>
              <w:t>875,370</w:t>
            </w:r>
          </w:p>
        </w:tc>
        <w:tc>
          <w:tcPr>
            <w:tcW w:w="1195" w:type="dxa"/>
            <w:vAlign w:val="center"/>
          </w:tcPr>
          <w:p w14:paraId="722909C0" w14:textId="1810781F" w:rsidR="00186CB5" w:rsidRPr="004D64E4" w:rsidRDefault="0020555E" w:rsidP="00186CB5">
            <w:pPr>
              <w:jc w:val="right"/>
              <w:rPr>
                <w:rFonts w:ascii="Arial" w:hAnsi="Arial" w:cs="Arial"/>
                <w:sz w:val="22"/>
                <w:szCs w:val="22"/>
              </w:rPr>
            </w:pPr>
            <w:r>
              <w:rPr>
                <w:rFonts w:ascii="Arial" w:hAnsi="Arial" w:cs="Arial"/>
                <w:sz w:val="22"/>
                <w:szCs w:val="22"/>
                <w:lang w:eastAsia="en-GB"/>
              </w:rPr>
              <w:t>875,370</w:t>
            </w:r>
          </w:p>
        </w:tc>
        <w:tc>
          <w:tcPr>
            <w:tcW w:w="1195" w:type="dxa"/>
            <w:vAlign w:val="center"/>
          </w:tcPr>
          <w:p w14:paraId="2B67F500" w14:textId="1D286500" w:rsidR="00186CB5" w:rsidRPr="004D64E4" w:rsidRDefault="0020555E" w:rsidP="00186CB5">
            <w:pPr>
              <w:jc w:val="right"/>
              <w:rPr>
                <w:rFonts w:ascii="Arial" w:hAnsi="Arial" w:cs="Arial"/>
                <w:sz w:val="22"/>
                <w:szCs w:val="22"/>
              </w:rPr>
            </w:pPr>
            <w:r>
              <w:rPr>
                <w:rFonts w:ascii="Arial" w:hAnsi="Arial" w:cs="Arial"/>
                <w:sz w:val="22"/>
                <w:szCs w:val="22"/>
                <w:lang w:eastAsia="en-GB"/>
              </w:rPr>
              <w:t>875,370</w:t>
            </w:r>
          </w:p>
        </w:tc>
        <w:tc>
          <w:tcPr>
            <w:tcW w:w="1195" w:type="dxa"/>
            <w:vAlign w:val="center"/>
          </w:tcPr>
          <w:p w14:paraId="4E2ECA5B" w14:textId="67734181" w:rsidR="00186CB5" w:rsidRPr="004D64E4" w:rsidRDefault="0020555E" w:rsidP="00186CB5">
            <w:pPr>
              <w:jc w:val="right"/>
              <w:rPr>
                <w:rFonts w:ascii="Arial" w:hAnsi="Arial" w:cs="Arial"/>
                <w:sz w:val="22"/>
                <w:szCs w:val="22"/>
              </w:rPr>
            </w:pPr>
            <w:r>
              <w:rPr>
                <w:rFonts w:ascii="Arial" w:hAnsi="Arial" w:cs="Arial"/>
                <w:sz w:val="22"/>
                <w:szCs w:val="22"/>
                <w:lang w:eastAsia="en-GB"/>
              </w:rPr>
              <w:t>875,370</w:t>
            </w:r>
          </w:p>
        </w:tc>
        <w:tc>
          <w:tcPr>
            <w:tcW w:w="1413" w:type="dxa"/>
            <w:vAlign w:val="center"/>
          </w:tcPr>
          <w:p w14:paraId="7415D83A" w14:textId="0C5B47BD" w:rsidR="00186CB5" w:rsidRPr="004D64E4" w:rsidRDefault="0020555E" w:rsidP="00186CB5">
            <w:pPr>
              <w:jc w:val="right"/>
              <w:rPr>
                <w:rFonts w:ascii="Arial" w:hAnsi="Arial" w:cs="Arial"/>
                <w:sz w:val="22"/>
                <w:szCs w:val="22"/>
              </w:rPr>
            </w:pPr>
            <w:r>
              <w:rPr>
                <w:rFonts w:ascii="Arial" w:hAnsi="Arial" w:cs="Arial"/>
                <w:sz w:val="22"/>
                <w:szCs w:val="22"/>
                <w:lang w:eastAsia="en-GB"/>
              </w:rPr>
              <w:t>875,370</w:t>
            </w:r>
          </w:p>
        </w:tc>
      </w:tr>
      <w:tr w:rsidR="00BF002B" w:rsidRPr="006D70F0" w14:paraId="232C5198" w14:textId="77777777" w:rsidTr="006A61E4">
        <w:trPr>
          <w:trHeight w:val="255"/>
        </w:trPr>
        <w:tc>
          <w:tcPr>
            <w:tcW w:w="3011" w:type="dxa"/>
            <w:vAlign w:val="center"/>
          </w:tcPr>
          <w:p w14:paraId="15AF8D45" w14:textId="77777777" w:rsidR="00186CB5" w:rsidRPr="001A23A9" w:rsidRDefault="00186CB5" w:rsidP="00186CB5">
            <w:pPr>
              <w:rPr>
                <w:rFonts w:ascii="Arial" w:hAnsi="Arial" w:cs="Arial"/>
                <w:sz w:val="22"/>
                <w:szCs w:val="22"/>
              </w:rPr>
            </w:pPr>
            <w:r w:rsidRPr="001A23A9">
              <w:rPr>
                <w:rFonts w:ascii="Arial" w:hAnsi="Arial" w:cs="Arial"/>
                <w:sz w:val="22"/>
                <w:szCs w:val="22"/>
              </w:rPr>
              <w:t>HRA Invest to Save</w:t>
            </w:r>
          </w:p>
        </w:tc>
        <w:tc>
          <w:tcPr>
            <w:tcW w:w="1195" w:type="dxa"/>
            <w:vAlign w:val="center"/>
          </w:tcPr>
          <w:p w14:paraId="0ACB43EC" w14:textId="17B90C20" w:rsidR="00186CB5" w:rsidRPr="001A23A9" w:rsidRDefault="0020555E" w:rsidP="00186CB5">
            <w:pPr>
              <w:jc w:val="right"/>
              <w:rPr>
                <w:rFonts w:ascii="Arial" w:hAnsi="Arial" w:cs="Arial"/>
                <w:sz w:val="22"/>
                <w:szCs w:val="22"/>
              </w:rPr>
            </w:pPr>
            <w:r>
              <w:rPr>
                <w:rFonts w:ascii="Arial" w:hAnsi="Arial" w:cs="Arial"/>
                <w:sz w:val="22"/>
                <w:szCs w:val="22"/>
              </w:rPr>
              <w:t>446,570</w:t>
            </w:r>
          </w:p>
        </w:tc>
        <w:tc>
          <w:tcPr>
            <w:tcW w:w="1195" w:type="dxa"/>
            <w:vAlign w:val="center"/>
          </w:tcPr>
          <w:p w14:paraId="32F95C86" w14:textId="392C0F0E" w:rsidR="00186CB5" w:rsidRPr="001A23A9" w:rsidRDefault="0020555E" w:rsidP="00186CB5">
            <w:pPr>
              <w:jc w:val="right"/>
              <w:rPr>
                <w:rFonts w:ascii="Arial" w:hAnsi="Arial" w:cs="Arial"/>
                <w:sz w:val="22"/>
                <w:szCs w:val="22"/>
              </w:rPr>
            </w:pPr>
            <w:r>
              <w:rPr>
                <w:rFonts w:ascii="Arial" w:hAnsi="Arial" w:cs="Arial"/>
                <w:sz w:val="22"/>
                <w:szCs w:val="22"/>
              </w:rPr>
              <w:t>716,570</w:t>
            </w:r>
          </w:p>
        </w:tc>
        <w:tc>
          <w:tcPr>
            <w:tcW w:w="1195" w:type="dxa"/>
            <w:vAlign w:val="center"/>
          </w:tcPr>
          <w:p w14:paraId="235F4577" w14:textId="1437FCD9" w:rsidR="00186CB5" w:rsidRPr="001A23A9" w:rsidRDefault="0020555E" w:rsidP="00186CB5">
            <w:pPr>
              <w:jc w:val="right"/>
              <w:rPr>
                <w:rFonts w:ascii="Arial" w:hAnsi="Arial" w:cs="Arial"/>
                <w:sz w:val="22"/>
                <w:szCs w:val="22"/>
              </w:rPr>
            </w:pPr>
            <w:r>
              <w:rPr>
                <w:rFonts w:ascii="Arial" w:hAnsi="Arial" w:cs="Arial"/>
                <w:sz w:val="22"/>
                <w:szCs w:val="22"/>
              </w:rPr>
              <w:t>766,570</w:t>
            </w:r>
          </w:p>
        </w:tc>
        <w:tc>
          <w:tcPr>
            <w:tcW w:w="1195" w:type="dxa"/>
            <w:vAlign w:val="center"/>
          </w:tcPr>
          <w:p w14:paraId="18F8B655" w14:textId="223867FC" w:rsidR="00186CB5" w:rsidRPr="001A23A9" w:rsidRDefault="0020555E" w:rsidP="00186CB5">
            <w:pPr>
              <w:jc w:val="right"/>
              <w:rPr>
                <w:rFonts w:ascii="Arial" w:hAnsi="Arial" w:cs="Arial"/>
                <w:sz w:val="22"/>
                <w:szCs w:val="22"/>
              </w:rPr>
            </w:pPr>
            <w:r>
              <w:rPr>
                <w:rFonts w:ascii="Arial" w:hAnsi="Arial" w:cs="Arial"/>
                <w:sz w:val="22"/>
                <w:szCs w:val="22"/>
              </w:rPr>
              <w:t>1,446,570</w:t>
            </w:r>
          </w:p>
        </w:tc>
        <w:tc>
          <w:tcPr>
            <w:tcW w:w="1195" w:type="dxa"/>
            <w:vAlign w:val="center"/>
          </w:tcPr>
          <w:p w14:paraId="18779507" w14:textId="2745D298" w:rsidR="00186CB5" w:rsidRPr="001A23A9" w:rsidRDefault="0020555E" w:rsidP="00186CB5">
            <w:pPr>
              <w:jc w:val="right"/>
              <w:rPr>
                <w:rFonts w:ascii="Arial" w:hAnsi="Arial" w:cs="Arial"/>
                <w:sz w:val="22"/>
                <w:szCs w:val="22"/>
              </w:rPr>
            </w:pPr>
            <w:r>
              <w:rPr>
                <w:rFonts w:ascii="Arial" w:hAnsi="Arial" w:cs="Arial"/>
                <w:sz w:val="22"/>
                <w:szCs w:val="22"/>
              </w:rPr>
              <w:t>2,626,570</w:t>
            </w:r>
          </w:p>
        </w:tc>
        <w:tc>
          <w:tcPr>
            <w:tcW w:w="1413" w:type="dxa"/>
            <w:vAlign w:val="center"/>
          </w:tcPr>
          <w:p w14:paraId="3E9CDF39" w14:textId="5CBD84AC" w:rsidR="00186CB5" w:rsidRPr="001A23A9" w:rsidRDefault="0020555E" w:rsidP="00186CB5">
            <w:pPr>
              <w:jc w:val="right"/>
              <w:rPr>
                <w:rFonts w:ascii="Arial" w:hAnsi="Arial" w:cs="Arial"/>
                <w:sz w:val="22"/>
                <w:szCs w:val="22"/>
              </w:rPr>
            </w:pPr>
            <w:r>
              <w:rPr>
                <w:rFonts w:ascii="Arial" w:hAnsi="Arial" w:cs="Arial"/>
                <w:sz w:val="22"/>
                <w:szCs w:val="22"/>
              </w:rPr>
              <w:t>4,376,570</w:t>
            </w:r>
          </w:p>
        </w:tc>
      </w:tr>
      <w:tr w:rsidR="00BF002B" w:rsidRPr="006D70F0" w14:paraId="652CCAE9" w14:textId="77777777" w:rsidTr="006A61E4">
        <w:trPr>
          <w:trHeight w:val="255"/>
        </w:trPr>
        <w:tc>
          <w:tcPr>
            <w:tcW w:w="3011" w:type="dxa"/>
            <w:vAlign w:val="center"/>
          </w:tcPr>
          <w:p w14:paraId="70B07C4F" w14:textId="712406E5" w:rsidR="00186CB5" w:rsidRPr="00D72A3A" w:rsidRDefault="00186CB5" w:rsidP="00186CB5">
            <w:pPr>
              <w:rPr>
                <w:rFonts w:ascii="Arial" w:hAnsi="Arial" w:cs="Arial"/>
                <w:sz w:val="22"/>
                <w:szCs w:val="22"/>
              </w:rPr>
            </w:pPr>
            <w:r w:rsidRPr="00D72A3A">
              <w:rPr>
                <w:rFonts w:ascii="Arial" w:hAnsi="Arial" w:cs="Arial"/>
                <w:sz w:val="22"/>
                <w:szCs w:val="22"/>
              </w:rPr>
              <w:t xml:space="preserve">HRS Social Value </w:t>
            </w:r>
          </w:p>
        </w:tc>
        <w:tc>
          <w:tcPr>
            <w:tcW w:w="1195" w:type="dxa"/>
            <w:vAlign w:val="center"/>
          </w:tcPr>
          <w:p w14:paraId="3D9DE633" w14:textId="7E091B27" w:rsidR="00186CB5" w:rsidRPr="00D72A3A" w:rsidRDefault="00D72A3A" w:rsidP="00186CB5">
            <w:pPr>
              <w:jc w:val="right"/>
              <w:rPr>
                <w:rFonts w:ascii="Arial" w:hAnsi="Arial" w:cs="Arial"/>
                <w:sz w:val="22"/>
                <w:szCs w:val="22"/>
              </w:rPr>
            </w:pPr>
            <w:r w:rsidRPr="00D72A3A">
              <w:rPr>
                <w:rFonts w:ascii="Arial" w:hAnsi="Arial" w:cs="Arial"/>
                <w:sz w:val="22"/>
                <w:szCs w:val="22"/>
              </w:rPr>
              <w:t>173,360</w:t>
            </w:r>
          </w:p>
        </w:tc>
        <w:tc>
          <w:tcPr>
            <w:tcW w:w="1195" w:type="dxa"/>
            <w:vAlign w:val="center"/>
          </w:tcPr>
          <w:p w14:paraId="6D9503F9" w14:textId="3E70B7A0" w:rsidR="00186CB5" w:rsidRPr="00D72A3A" w:rsidRDefault="00D72A3A" w:rsidP="00186CB5">
            <w:pPr>
              <w:jc w:val="right"/>
              <w:rPr>
                <w:rFonts w:ascii="Arial" w:hAnsi="Arial" w:cs="Arial"/>
                <w:sz w:val="22"/>
                <w:szCs w:val="22"/>
              </w:rPr>
            </w:pPr>
            <w:r w:rsidRPr="00D72A3A">
              <w:rPr>
                <w:rFonts w:ascii="Arial" w:hAnsi="Arial" w:cs="Arial"/>
                <w:sz w:val="22"/>
                <w:szCs w:val="22"/>
              </w:rPr>
              <w:t>173,360</w:t>
            </w:r>
          </w:p>
        </w:tc>
        <w:tc>
          <w:tcPr>
            <w:tcW w:w="1195" w:type="dxa"/>
            <w:vAlign w:val="center"/>
          </w:tcPr>
          <w:p w14:paraId="08C6524F" w14:textId="36F1FAB8" w:rsidR="00186CB5" w:rsidRPr="00D72A3A" w:rsidRDefault="00D72A3A" w:rsidP="00186CB5">
            <w:pPr>
              <w:jc w:val="right"/>
              <w:rPr>
                <w:rFonts w:ascii="Arial" w:hAnsi="Arial" w:cs="Arial"/>
                <w:sz w:val="22"/>
                <w:szCs w:val="22"/>
              </w:rPr>
            </w:pPr>
            <w:r w:rsidRPr="00D72A3A">
              <w:rPr>
                <w:rFonts w:ascii="Arial" w:hAnsi="Arial" w:cs="Arial"/>
                <w:sz w:val="22"/>
                <w:szCs w:val="22"/>
              </w:rPr>
              <w:t>173,360</w:t>
            </w:r>
          </w:p>
        </w:tc>
        <w:tc>
          <w:tcPr>
            <w:tcW w:w="1195" w:type="dxa"/>
            <w:vAlign w:val="center"/>
          </w:tcPr>
          <w:p w14:paraId="3B505513" w14:textId="492E2895" w:rsidR="00186CB5" w:rsidRPr="00D72A3A" w:rsidRDefault="00D72A3A" w:rsidP="00186CB5">
            <w:pPr>
              <w:jc w:val="right"/>
              <w:rPr>
                <w:rFonts w:ascii="Arial" w:hAnsi="Arial" w:cs="Arial"/>
                <w:sz w:val="22"/>
                <w:szCs w:val="22"/>
              </w:rPr>
            </w:pPr>
            <w:r w:rsidRPr="00D72A3A">
              <w:rPr>
                <w:rFonts w:ascii="Arial" w:hAnsi="Arial" w:cs="Arial"/>
                <w:sz w:val="22"/>
                <w:szCs w:val="22"/>
              </w:rPr>
              <w:t>173,360</w:t>
            </w:r>
          </w:p>
        </w:tc>
        <w:tc>
          <w:tcPr>
            <w:tcW w:w="1195" w:type="dxa"/>
            <w:vAlign w:val="center"/>
          </w:tcPr>
          <w:p w14:paraId="13DC9278" w14:textId="0F3C0A7A" w:rsidR="00186CB5" w:rsidRPr="00D72A3A" w:rsidRDefault="00D72A3A" w:rsidP="00186CB5">
            <w:pPr>
              <w:jc w:val="right"/>
              <w:rPr>
                <w:rFonts w:ascii="Arial" w:hAnsi="Arial" w:cs="Arial"/>
                <w:sz w:val="22"/>
                <w:szCs w:val="22"/>
              </w:rPr>
            </w:pPr>
            <w:r w:rsidRPr="00D72A3A">
              <w:rPr>
                <w:rFonts w:ascii="Arial" w:hAnsi="Arial" w:cs="Arial"/>
                <w:sz w:val="22"/>
                <w:szCs w:val="22"/>
              </w:rPr>
              <w:t>173,360</w:t>
            </w:r>
          </w:p>
        </w:tc>
        <w:tc>
          <w:tcPr>
            <w:tcW w:w="1413" w:type="dxa"/>
            <w:vAlign w:val="center"/>
          </w:tcPr>
          <w:p w14:paraId="0FEBD3E6" w14:textId="505C53F3" w:rsidR="00186CB5" w:rsidRPr="00D72A3A" w:rsidRDefault="00D72A3A" w:rsidP="00186CB5">
            <w:pPr>
              <w:jc w:val="right"/>
              <w:rPr>
                <w:rFonts w:ascii="Arial" w:hAnsi="Arial" w:cs="Arial"/>
                <w:sz w:val="22"/>
                <w:szCs w:val="22"/>
              </w:rPr>
            </w:pPr>
            <w:r w:rsidRPr="00D72A3A">
              <w:rPr>
                <w:rFonts w:ascii="Arial" w:hAnsi="Arial" w:cs="Arial"/>
                <w:sz w:val="22"/>
                <w:szCs w:val="22"/>
              </w:rPr>
              <w:t>173,360</w:t>
            </w:r>
          </w:p>
        </w:tc>
      </w:tr>
      <w:tr w:rsidR="00BF002B" w:rsidRPr="006D70F0" w14:paraId="0475ADF6" w14:textId="77777777" w:rsidTr="006A61E4">
        <w:trPr>
          <w:trHeight w:val="255"/>
        </w:trPr>
        <w:tc>
          <w:tcPr>
            <w:tcW w:w="3011" w:type="dxa"/>
            <w:vAlign w:val="center"/>
          </w:tcPr>
          <w:p w14:paraId="6766585E" w14:textId="7159ECFF" w:rsidR="006A61E4" w:rsidRPr="00D72A3A" w:rsidRDefault="006A61E4" w:rsidP="00186CB5">
            <w:pPr>
              <w:rPr>
                <w:rFonts w:ascii="Arial" w:hAnsi="Arial" w:cs="Arial"/>
                <w:sz w:val="22"/>
                <w:szCs w:val="22"/>
              </w:rPr>
            </w:pPr>
            <w:r>
              <w:rPr>
                <w:rFonts w:ascii="Arial" w:hAnsi="Arial" w:cs="Arial"/>
                <w:sz w:val="22"/>
                <w:szCs w:val="22"/>
              </w:rPr>
              <w:t>HRA Training</w:t>
            </w:r>
          </w:p>
        </w:tc>
        <w:tc>
          <w:tcPr>
            <w:tcW w:w="1195" w:type="dxa"/>
            <w:vAlign w:val="center"/>
          </w:tcPr>
          <w:p w14:paraId="5C590908" w14:textId="7A693374" w:rsidR="006A61E4" w:rsidRPr="00D72A3A" w:rsidRDefault="00A42736" w:rsidP="00186CB5">
            <w:pPr>
              <w:jc w:val="right"/>
              <w:rPr>
                <w:rFonts w:ascii="Arial" w:hAnsi="Arial" w:cs="Arial"/>
                <w:sz w:val="22"/>
                <w:szCs w:val="22"/>
              </w:rPr>
            </w:pPr>
            <w:r>
              <w:rPr>
                <w:rFonts w:ascii="Arial" w:hAnsi="Arial" w:cs="Arial"/>
                <w:sz w:val="22"/>
                <w:szCs w:val="22"/>
              </w:rPr>
              <w:t>117,960</w:t>
            </w:r>
          </w:p>
        </w:tc>
        <w:tc>
          <w:tcPr>
            <w:tcW w:w="1195" w:type="dxa"/>
            <w:vAlign w:val="center"/>
          </w:tcPr>
          <w:p w14:paraId="5EBC4D8C" w14:textId="4DB8B23A" w:rsidR="006A61E4" w:rsidRPr="00D72A3A" w:rsidRDefault="00A42736" w:rsidP="00186CB5">
            <w:pPr>
              <w:jc w:val="right"/>
              <w:rPr>
                <w:rFonts w:ascii="Arial" w:hAnsi="Arial" w:cs="Arial"/>
                <w:sz w:val="22"/>
                <w:szCs w:val="22"/>
              </w:rPr>
            </w:pPr>
            <w:r>
              <w:rPr>
                <w:rFonts w:ascii="Arial" w:hAnsi="Arial" w:cs="Arial"/>
                <w:sz w:val="22"/>
                <w:szCs w:val="22"/>
              </w:rPr>
              <w:t>117,960</w:t>
            </w:r>
          </w:p>
        </w:tc>
        <w:tc>
          <w:tcPr>
            <w:tcW w:w="1195" w:type="dxa"/>
            <w:vAlign w:val="center"/>
          </w:tcPr>
          <w:p w14:paraId="78F7E54C" w14:textId="419A3F53" w:rsidR="006A61E4" w:rsidRPr="00D72A3A" w:rsidRDefault="00A42736" w:rsidP="00186CB5">
            <w:pPr>
              <w:jc w:val="right"/>
              <w:rPr>
                <w:rFonts w:ascii="Arial" w:hAnsi="Arial" w:cs="Arial"/>
                <w:sz w:val="22"/>
                <w:szCs w:val="22"/>
              </w:rPr>
            </w:pPr>
            <w:r>
              <w:rPr>
                <w:rFonts w:ascii="Arial" w:hAnsi="Arial" w:cs="Arial"/>
                <w:sz w:val="22"/>
                <w:szCs w:val="22"/>
              </w:rPr>
              <w:t>117,960</w:t>
            </w:r>
          </w:p>
        </w:tc>
        <w:tc>
          <w:tcPr>
            <w:tcW w:w="1195" w:type="dxa"/>
            <w:vAlign w:val="center"/>
          </w:tcPr>
          <w:p w14:paraId="592494F6" w14:textId="557C2E57" w:rsidR="006A61E4" w:rsidRPr="00D72A3A" w:rsidRDefault="00A42736" w:rsidP="00186CB5">
            <w:pPr>
              <w:jc w:val="right"/>
              <w:rPr>
                <w:rFonts w:ascii="Arial" w:hAnsi="Arial" w:cs="Arial"/>
                <w:sz w:val="22"/>
                <w:szCs w:val="22"/>
              </w:rPr>
            </w:pPr>
            <w:r>
              <w:rPr>
                <w:rFonts w:ascii="Arial" w:hAnsi="Arial" w:cs="Arial"/>
                <w:sz w:val="22"/>
                <w:szCs w:val="22"/>
              </w:rPr>
              <w:t>117,960</w:t>
            </w:r>
          </w:p>
        </w:tc>
        <w:tc>
          <w:tcPr>
            <w:tcW w:w="1195" w:type="dxa"/>
            <w:vAlign w:val="center"/>
          </w:tcPr>
          <w:p w14:paraId="6B73810C" w14:textId="180A9B9F" w:rsidR="006A61E4" w:rsidRPr="00D72A3A" w:rsidRDefault="00A42736" w:rsidP="00186CB5">
            <w:pPr>
              <w:jc w:val="right"/>
              <w:rPr>
                <w:rFonts w:ascii="Arial" w:hAnsi="Arial" w:cs="Arial"/>
                <w:sz w:val="22"/>
                <w:szCs w:val="22"/>
              </w:rPr>
            </w:pPr>
            <w:r>
              <w:rPr>
                <w:rFonts w:ascii="Arial" w:hAnsi="Arial" w:cs="Arial"/>
                <w:sz w:val="22"/>
                <w:szCs w:val="22"/>
              </w:rPr>
              <w:t>117,960</w:t>
            </w:r>
          </w:p>
        </w:tc>
        <w:tc>
          <w:tcPr>
            <w:tcW w:w="1413" w:type="dxa"/>
            <w:vAlign w:val="center"/>
          </w:tcPr>
          <w:p w14:paraId="492AA7D7" w14:textId="0B59E0D6" w:rsidR="006A61E4" w:rsidRPr="00D72A3A" w:rsidRDefault="003B684C" w:rsidP="00186CB5">
            <w:pPr>
              <w:jc w:val="right"/>
              <w:rPr>
                <w:rFonts w:ascii="Arial" w:hAnsi="Arial" w:cs="Arial"/>
                <w:sz w:val="22"/>
                <w:szCs w:val="22"/>
              </w:rPr>
            </w:pPr>
            <w:r>
              <w:rPr>
                <w:rFonts w:ascii="Arial" w:hAnsi="Arial" w:cs="Arial"/>
                <w:sz w:val="22"/>
                <w:szCs w:val="22"/>
              </w:rPr>
              <w:t>117,960</w:t>
            </w:r>
          </w:p>
        </w:tc>
      </w:tr>
      <w:tr w:rsidR="00BF002B" w:rsidRPr="006D70F0" w14:paraId="177E4AEC" w14:textId="77777777" w:rsidTr="006A61E4">
        <w:trPr>
          <w:trHeight w:val="255"/>
        </w:trPr>
        <w:tc>
          <w:tcPr>
            <w:tcW w:w="3011" w:type="dxa"/>
            <w:vAlign w:val="center"/>
          </w:tcPr>
          <w:p w14:paraId="2B396F1B" w14:textId="7F5F377A" w:rsidR="00186CB5" w:rsidRPr="007957BF" w:rsidRDefault="00186CB5" w:rsidP="00186CB5">
            <w:pPr>
              <w:rPr>
                <w:rFonts w:ascii="Arial" w:hAnsi="Arial" w:cs="Arial"/>
                <w:sz w:val="22"/>
                <w:szCs w:val="22"/>
              </w:rPr>
            </w:pPr>
            <w:r w:rsidRPr="007957BF">
              <w:rPr>
                <w:rFonts w:ascii="Arial" w:hAnsi="Arial" w:cs="Arial"/>
                <w:sz w:val="22"/>
                <w:szCs w:val="22"/>
              </w:rPr>
              <w:t>NSAP/RSAP Sinking Fund</w:t>
            </w:r>
          </w:p>
        </w:tc>
        <w:tc>
          <w:tcPr>
            <w:tcW w:w="1195" w:type="dxa"/>
            <w:vAlign w:val="center"/>
          </w:tcPr>
          <w:p w14:paraId="5568265D" w14:textId="24C1B102" w:rsidR="00186CB5" w:rsidRPr="007957BF" w:rsidRDefault="00FE7DBE" w:rsidP="00186CB5">
            <w:pPr>
              <w:jc w:val="right"/>
              <w:rPr>
                <w:rFonts w:ascii="Arial" w:hAnsi="Arial" w:cs="Arial"/>
                <w:sz w:val="22"/>
                <w:szCs w:val="22"/>
              </w:rPr>
            </w:pPr>
            <w:r w:rsidRPr="007957BF">
              <w:rPr>
                <w:rFonts w:ascii="Arial" w:hAnsi="Arial" w:cs="Arial"/>
                <w:sz w:val="22"/>
                <w:szCs w:val="22"/>
              </w:rPr>
              <w:t>36</w:t>
            </w:r>
            <w:r w:rsidR="00186CB5" w:rsidRPr="007957BF">
              <w:rPr>
                <w:rFonts w:ascii="Arial" w:hAnsi="Arial" w:cs="Arial"/>
                <w:sz w:val="22"/>
                <w:szCs w:val="22"/>
              </w:rPr>
              <w:t>,000</w:t>
            </w:r>
          </w:p>
        </w:tc>
        <w:tc>
          <w:tcPr>
            <w:tcW w:w="1195" w:type="dxa"/>
            <w:vAlign w:val="center"/>
          </w:tcPr>
          <w:p w14:paraId="1794A989" w14:textId="4FBA9F41" w:rsidR="00186CB5" w:rsidRPr="007957BF" w:rsidRDefault="00FE7DBE" w:rsidP="00186CB5">
            <w:pPr>
              <w:jc w:val="right"/>
              <w:rPr>
                <w:rFonts w:ascii="Arial" w:hAnsi="Arial" w:cs="Arial"/>
                <w:sz w:val="22"/>
                <w:szCs w:val="22"/>
              </w:rPr>
            </w:pPr>
            <w:r w:rsidRPr="007957BF">
              <w:rPr>
                <w:rFonts w:ascii="Arial" w:hAnsi="Arial" w:cs="Arial"/>
                <w:sz w:val="22"/>
                <w:szCs w:val="22"/>
              </w:rPr>
              <w:t>45</w:t>
            </w:r>
            <w:r w:rsidR="00186CB5" w:rsidRPr="007957BF">
              <w:rPr>
                <w:rFonts w:ascii="Arial" w:hAnsi="Arial" w:cs="Arial"/>
                <w:sz w:val="22"/>
                <w:szCs w:val="22"/>
              </w:rPr>
              <w:t>,000</w:t>
            </w:r>
          </w:p>
        </w:tc>
        <w:tc>
          <w:tcPr>
            <w:tcW w:w="1195" w:type="dxa"/>
            <w:vAlign w:val="center"/>
          </w:tcPr>
          <w:p w14:paraId="3D38A7E3" w14:textId="198D52FC" w:rsidR="00186CB5" w:rsidRPr="007957BF" w:rsidRDefault="00FE7DBE" w:rsidP="00186CB5">
            <w:pPr>
              <w:jc w:val="right"/>
              <w:rPr>
                <w:rFonts w:ascii="Arial" w:hAnsi="Arial" w:cs="Arial"/>
                <w:sz w:val="22"/>
                <w:szCs w:val="22"/>
              </w:rPr>
            </w:pPr>
            <w:r w:rsidRPr="007957BF">
              <w:rPr>
                <w:rFonts w:ascii="Arial" w:hAnsi="Arial" w:cs="Arial"/>
                <w:sz w:val="22"/>
                <w:szCs w:val="22"/>
              </w:rPr>
              <w:t>54</w:t>
            </w:r>
            <w:r w:rsidR="00186CB5" w:rsidRPr="007957BF">
              <w:rPr>
                <w:rFonts w:ascii="Arial" w:hAnsi="Arial" w:cs="Arial"/>
                <w:sz w:val="22"/>
                <w:szCs w:val="22"/>
              </w:rPr>
              <w:t>,000</w:t>
            </w:r>
          </w:p>
        </w:tc>
        <w:tc>
          <w:tcPr>
            <w:tcW w:w="1195" w:type="dxa"/>
            <w:vAlign w:val="center"/>
          </w:tcPr>
          <w:p w14:paraId="418D955E" w14:textId="4851FA78" w:rsidR="00186CB5" w:rsidRPr="007957BF" w:rsidRDefault="00FE7DBE" w:rsidP="00186CB5">
            <w:pPr>
              <w:jc w:val="right"/>
              <w:rPr>
                <w:rFonts w:ascii="Arial" w:hAnsi="Arial" w:cs="Arial"/>
                <w:sz w:val="22"/>
                <w:szCs w:val="22"/>
              </w:rPr>
            </w:pPr>
            <w:r w:rsidRPr="007957BF">
              <w:rPr>
                <w:rFonts w:ascii="Arial" w:hAnsi="Arial" w:cs="Arial"/>
                <w:sz w:val="22"/>
                <w:szCs w:val="22"/>
              </w:rPr>
              <w:t>63</w:t>
            </w:r>
            <w:r w:rsidR="00186CB5" w:rsidRPr="007957BF">
              <w:rPr>
                <w:rFonts w:ascii="Arial" w:hAnsi="Arial" w:cs="Arial"/>
                <w:sz w:val="22"/>
                <w:szCs w:val="22"/>
              </w:rPr>
              <w:t>,000</w:t>
            </w:r>
          </w:p>
        </w:tc>
        <w:tc>
          <w:tcPr>
            <w:tcW w:w="1195" w:type="dxa"/>
            <w:vAlign w:val="center"/>
          </w:tcPr>
          <w:p w14:paraId="6FA8122F" w14:textId="2EA62622" w:rsidR="00186CB5" w:rsidRPr="007957BF" w:rsidRDefault="00FE7DBE" w:rsidP="00186CB5">
            <w:pPr>
              <w:jc w:val="right"/>
              <w:rPr>
                <w:rFonts w:ascii="Arial" w:hAnsi="Arial" w:cs="Arial"/>
                <w:sz w:val="22"/>
                <w:szCs w:val="22"/>
              </w:rPr>
            </w:pPr>
            <w:r w:rsidRPr="007957BF">
              <w:rPr>
                <w:rFonts w:ascii="Arial" w:hAnsi="Arial" w:cs="Arial"/>
                <w:sz w:val="22"/>
                <w:szCs w:val="22"/>
              </w:rPr>
              <w:t>72</w:t>
            </w:r>
            <w:r w:rsidR="00186CB5" w:rsidRPr="007957BF">
              <w:rPr>
                <w:rFonts w:ascii="Arial" w:hAnsi="Arial" w:cs="Arial"/>
                <w:sz w:val="22"/>
                <w:szCs w:val="22"/>
              </w:rPr>
              <w:t>,000</w:t>
            </w:r>
          </w:p>
        </w:tc>
        <w:tc>
          <w:tcPr>
            <w:tcW w:w="1413" w:type="dxa"/>
            <w:vAlign w:val="center"/>
          </w:tcPr>
          <w:p w14:paraId="1DCE8984" w14:textId="37029FFB" w:rsidR="00186CB5" w:rsidRPr="007957BF" w:rsidRDefault="007957BF" w:rsidP="00186CB5">
            <w:pPr>
              <w:jc w:val="right"/>
              <w:rPr>
                <w:rFonts w:ascii="Arial" w:hAnsi="Arial" w:cs="Arial"/>
                <w:sz w:val="22"/>
                <w:szCs w:val="22"/>
              </w:rPr>
            </w:pPr>
            <w:r w:rsidRPr="007957BF">
              <w:rPr>
                <w:rFonts w:ascii="Arial" w:hAnsi="Arial" w:cs="Arial"/>
                <w:sz w:val="22"/>
                <w:szCs w:val="22"/>
              </w:rPr>
              <w:t>81</w:t>
            </w:r>
            <w:r w:rsidR="00186CB5" w:rsidRPr="007957BF">
              <w:rPr>
                <w:rFonts w:ascii="Arial" w:hAnsi="Arial" w:cs="Arial"/>
                <w:sz w:val="22"/>
                <w:szCs w:val="22"/>
              </w:rPr>
              <w:t>,000</w:t>
            </w:r>
          </w:p>
        </w:tc>
      </w:tr>
      <w:tr w:rsidR="00BF002B" w:rsidRPr="006D70F0" w14:paraId="2FB63999" w14:textId="77777777" w:rsidTr="006A61E4">
        <w:trPr>
          <w:trHeight w:val="255"/>
        </w:trPr>
        <w:tc>
          <w:tcPr>
            <w:tcW w:w="3011" w:type="dxa"/>
            <w:vAlign w:val="center"/>
          </w:tcPr>
          <w:p w14:paraId="63B9BD7C" w14:textId="77777777" w:rsidR="000A0B61" w:rsidRPr="00BA6092" w:rsidRDefault="000A0B61" w:rsidP="00AD71D7">
            <w:pPr>
              <w:rPr>
                <w:rFonts w:ascii="Arial" w:hAnsi="Arial" w:cs="Arial"/>
                <w:sz w:val="22"/>
                <w:szCs w:val="22"/>
              </w:rPr>
            </w:pPr>
            <w:r w:rsidRPr="00BA6092">
              <w:rPr>
                <w:rFonts w:ascii="Arial" w:hAnsi="Arial" w:cs="Arial"/>
                <w:sz w:val="22"/>
                <w:szCs w:val="22"/>
              </w:rPr>
              <w:t>Regulator of Social Housing</w:t>
            </w:r>
          </w:p>
        </w:tc>
        <w:tc>
          <w:tcPr>
            <w:tcW w:w="1195" w:type="dxa"/>
            <w:vAlign w:val="center"/>
          </w:tcPr>
          <w:p w14:paraId="67A7334F" w14:textId="17ED53FD" w:rsidR="000A0B61" w:rsidRPr="00BA6092" w:rsidRDefault="00BA6092" w:rsidP="00AD71D7">
            <w:pPr>
              <w:jc w:val="right"/>
              <w:rPr>
                <w:rFonts w:ascii="Arial" w:hAnsi="Arial" w:cs="Arial"/>
                <w:sz w:val="22"/>
                <w:szCs w:val="22"/>
              </w:rPr>
            </w:pPr>
            <w:r w:rsidRPr="00BA6092">
              <w:rPr>
                <w:rFonts w:ascii="Arial" w:hAnsi="Arial" w:cs="Arial"/>
                <w:sz w:val="22"/>
                <w:szCs w:val="22"/>
              </w:rPr>
              <w:t>327,270</w:t>
            </w:r>
          </w:p>
        </w:tc>
        <w:tc>
          <w:tcPr>
            <w:tcW w:w="1195" w:type="dxa"/>
            <w:vAlign w:val="center"/>
          </w:tcPr>
          <w:p w14:paraId="146841CE" w14:textId="20CE4044" w:rsidR="000A0B61" w:rsidRPr="00BA6092" w:rsidRDefault="00BA6092" w:rsidP="00AD71D7">
            <w:pPr>
              <w:jc w:val="right"/>
              <w:rPr>
                <w:rFonts w:ascii="Arial" w:hAnsi="Arial" w:cs="Arial"/>
                <w:sz w:val="22"/>
                <w:szCs w:val="22"/>
              </w:rPr>
            </w:pPr>
            <w:r w:rsidRPr="00BA6092">
              <w:rPr>
                <w:rFonts w:ascii="Arial" w:hAnsi="Arial" w:cs="Arial"/>
                <w:sz w:val="22"/>
                <w:szCs w:val="22"/>
              </w:rPr>
              <w:t>327,270</w:t>
            </w:r>
          </w:p>
        </w:tc>
        <w:tc>
          <w:tcPr>
            <w:tcW w:w="1195" w:type="dxa"/>
            <w:vAlign w:val="center"/>
          </w:tcPr>
          <w:p w14:paraId="7EB14915" w14:textId="200243A9" w:rsidR="000A0B61" w:rsidRPr="00BA6092" w:rsidRDefault="00BA6092" w:rsidP="00AD71D7">
            <w:pPr>
              <w:jc w:val="right"/>
              <w:rPr>
                <w:rFonts w:ascii="Arial" w:hAnsi="Arial" w:cs="Arial"/>
                <w:sz w:val="22"/>
                <w:szCs w:val="22"/>
              </w:rPr>
            </w:pPr>
            <w:r w:rsidRPr="00BA6092">
              <w:rPr>
                <w:rFonts w:ascii="Arial" w:hAnsi="Arial" w:cs="Arial"/>
                <w:sz w:val="22"/>
                <w:szCs w:val="22"/>
              </w:rPr>
              <w:t>327,270</w:t>
            </w:r>
          </w:p>
        </w:tc>
        <w:tc>
          <w:tcPr>
            <w:tcW w:w="1195" w:type="dxa"/>
            <w:vAlign w:val="center"/>
          </w:tcPr>
          <w:p w14:paraId="724DB53E" w14:textId="69702B0A" w:rsidR="000A0B61" w:rsidRPr="00BA6092" w:rsidRDefault="00BA6092" w:rsidP="00AD71D7">
            <w:pPr>
              <w:jc w:val="right"/>
              <w:rPr>
                <w:rFonts w:ascii="Arial" w:hAnsi="Arial" w:cs="Arial"/>
                <w:sz w:val="22"/>
                <w:szCs w:val="22"/>
              </w:rPr>
            </w:pPr>
            <w:r w:rsidRPr="00BA6092">
              <w:rPr>
                <w:rFonts w:ascii="Arial" w:hAnsi="Arial" w:cs="Arial"/>
                <w:sz w:val="22"/>
                <w:szCs w:val="22"/>
              </w:rPr>
              <w:t>327,270</w:t>
            </w:r>
          </w:p>
        </w:tc>
        <w:tc>
          <w:tcPr>
            <w:tcW w:w="1195" w:type="dxa"/>
            <w:vAlign w:val="center"/>
          </w:tcPr>
          <w:p w14:paraId="2A2F0D3A" w14:textId="434CD2BA" w:rsidR="000A0B61" w:rsidRPr="00BA6092" w:rsidRDefault="00BA6092" w:rsidP="00AD71D7">
            <w:pPr>
              <w:jc w:val="right"/>
              <w:rPr>
                <w:rFonts w:ascii="Arial" w:hAnsi="Arial" w:cs="Arial"/>
                <w:sz w:val="22"/>
                <w:szCs w:val="22"/>
              </w:rPr>
            </w:pPr>
            <w:r w:rsidRPr="00BA6092">
              <w:rPr>
                <w:rFonts w:ascii="Arial" w:hAnsi="Arial" w:cs="Arial"/>
                <w:sz w:val="22"/>
                <w:szCs w:val="22"/>
              </w:rPr>
              <w:t>327,270</w:t>
            </w:r>
          </w:p>
        </w:tc>
        <w:tc>
          <w:tcPr>
            <w:tcW w:w="1413" w:type="dxa"/>
            <w:vAlign w:val="center"/>
          </w:tcPr>
          <w:p w14:paraId="6A1B2DBA" w14:textId="3F20772E" w:rsidR="000A0B61" w:rsidRPr="00BA6092" w:rsidRDefault="00BA6092" w:rsidP="00AD71D7">
            <w:pPr>
              <w:jc w:val="right"/>
              <w:rPr>
                <w:rFonts w:ascii="Arial" w:hAnsi="Arial" w:cs="Arial"/>
                <w:sz w:val="22"/>
                <w:szCs w:val="22"/>
              </w:rPr>
            </w:pPr>
            <w:r w:rsidRPr="00BA6092">
              <w:rPr>
                <w:rFonts w:ascii="Arial" w:hAnsi="Arial" w:cs="Arial"/>
                <w:sz w:val="22"/>
                <w:szCs w:val="22"/>
              </w:rPr>
              <w:t>327,270</w:t>
            </w:r>
          </w:p>
        </w:tc>
      </w:tr>
      <w:tr w:rsidR="00BF002B" w:rsidRPr="006D70F0" w14:paraId="0A332EF6" w14:textId="77777777" w:rsidTr="006A61E4">
        <w:trPr>
          <w:trHeight w:val="255"/>
        </w:trPr>
        <w:tc>
          <w:tcPr>
            <w:tcW w:w="3011" w:type="dxa"/>
            <w:vAlign w:val="center"/>
          </w:tcPr>
          <w:p w14:paraId="7642FD6C" w14:textId="77777777" w:rsidR="00186CB5" w:rsidRPr="005F2F43" w:rsidRDefault="00186CB5" w:rsidP="00186CB5">
            <w:pPr>
              <w:rPr>
                <w:rFonts w:ascii="Arial" w:hAnsi="Arial" w:cs="Arial"/>
                <w:sz w:val="22"/>
                <w:szCs w:val="22"/>
              </w:rPr>
            </w:pPr>
            <w:r w:rsidRPr="005F2F43">
              <w:rPr>
                <w:rFonts w:ascii="Arial" w:hAnsi="Arial" w:cs="Arial"/>
                <w:sz w:val="22"/>
                <w:szCs w:val="22"/>
              </w:rPr>
              <w:t>Strategic Growth Reserve (WGC)</w:t>
            </w:r>
          </w:p>
        </w:tc>
        <w:tc>
          <w:tcPr>
            <w:tcW w:w="1195" w:type="dxa"/>
            <w:vAlign w:val="center"/>
          </w:tcPr>
          <w:p w14:paraId="030103D6" w14:textId="18ADE8B9" w:rsidR="00186CB5" w:rsidRPr="005F2F43" w:rsidRDefault="00186CB5" w:rsidP="00186CB5">
            <w:pPr>
              <w:jc w:val="right"/>
              <w:rPr>
                <w:rFonts w:ascii="Arial" w:hAnsi="Arial" w:cs="Arial"/>
                <w:sz w:val="22"/>
                <w:szCs w:val="22"/>
              </w:rPr>
            </w:pPr>
            <w:r w:rsidRPr="005F2F43">
              <w:rPr>
                <w:rFonts w:ascii="Arial" w:hAnsi="Arial" w:cs="Arial"/>
                <w:sz w:val="22"/>
                <w:szCs w:val="22"/>
              </w:rPr>
              <w:t>4,870</w:t>
            </w:r>
          </w:p>
        </w:tc>
        <w:tc>
          <w:tcPr>
            <w:tcW w:w="1195" w:type="dxa"/>
            <w:vAlign w:val="center"/>
          </w:tcPr>
          <w:p w14:paraId="58FCD5EC" w14:textId="2DAFF119" w:rsidR="00186CB5" w:rsidRPr="005F2F43" w:rsidRDefault="00186CB5" w:rsidP="00186CB5">
            <w:pPr>
              <w:jc w:val="right"/>
              <w:rPr>
                <w:rFonts w:ascii="Arial" w:hAnsi="Arial" w:cs="Arial"/>
                <w:sz w:val="22"/>
                <w:szCs w:val="22"/>
              </w:rPr>
            </w:pPr>
            <w:r w:rsidRPr="005F2F43">
              <w:rPr>
                <w:rFonts w:ascii="Arial" w:hAnsi="Arial" w:cs="Arial"/>
                <w:sz w:val="22"/>
                <w:szCs w:val="22"/>
              </w:rPr>
              <w:t>4,870</w:t>
            </w:r>
          </w:p>
        </w:tc>
        <w:tc>
          <w:tcPr>
            <w:tcW w:w="1195" w:type="dxa"/>
            <w:vAlign w:val="center"/>
          </w:tcPr>
          <w:p w14:paraId="76A7ACE1" w14:textId="594289DD" w:rsidR="00186CB5" w:rsidRPr="005F2F43" w:rsidRDefault="00186CB5" w:rsidP="00186CB5">
            <w:pPr>
              <w:jc w:val="right"/>
              <w:rPr>
                <w:rFonts w:ascii="Arial" w:hAnsi="Arial" w:cs="Arial"/>
                <w:sz w:val="22"/>
                <w:szCs w:val="22"/>
              </w:rPr>
            </w:pPr>
            <w:r w:rsidRPr="005F2F43">
              <w:rPr>
                <w:rFonts w:ascii="Arial" w:hAnsi="Arial" w:cs="Arial"/>
                <w:sz w:val="22"/>
                <w:szCs w:val="22"/>
              </w:rPr>
              <w:t>4,870</w:t>
            </w:r>
          </w:p>
        </w:tc>
        <w:tc>
          <w:tcPr>
            <w:tcW w:w="1195" w:type="dxa"/>
            <w:vAlign w:val="center"/>
          </w:tcPr>
          <w:p w14:paraId="19A02508" w14:textId="4A946A48" w:rsidR="00186CB5" w:rsidRPr="005F2F43" w:rsidRDefault="00186CB5" w:rsidP="00186CB5">
            <w:pPr>
              <w:jc w:val="right"/>
              <w:rPr>
                <w:rFonts w:ascii="Arial" w:hAnsi="Arial" w:cs="Arial"/>
                <w:sz w:val="22"/>
                <w:szCs w:val="22"/>
              </w:rPr>
            </w:pPr>
            <w:r w:rsidRPr="005F2F43">
              <w:rPr>
                <w:rFonts w:ascii="Arial" w:hAnsi="Arial" w:cs="Arial"/>
                <w:sz w:val="22"/>
                <w:szCs w:val="22"/>
              </w:rPr>
              <w:t>4,870</w:t>
            </w:r>
          </w:p>
        </w:tc>
        <w:tc>
          <w:tcPr>
            <w:tcW w:w="1195" w:type="dxa"/>
            <w:vAlign w:val="center"/>
          </w:tcPr>
          <w:p w14:paraId="2FB96FF6" w14:textId="5B0507B9" w:rsidR="00186CB5" w:rsidRPr="005F2F43" w:rsidRDefault="00186CB5" w:rsidP="00186CB5">
            <w:pPr>
              <w:jc w:val="right"/>
              <w:rPr>
                <w:rFonts w:ascii="Arial" w:hAnsi="Arial" w:cs="Arial"/>
                <w:sz w:val="22"/>
                <w:szCs w:val="22"/>
              </w:rPr>
            </w:pPr>
            <w:r w:rsidRPr="005F2F43">
              <w:rPr>
                <w:rFonts w:ascii="Arial" w:hAnsi="Arial" w:cs="Arial"/>
                <w:sz w:val="22"/>
                <w:szCs w:val="22"/>
              </w:rPr>
              <w:t>4,870</w:t>
            </w:r>
          </w:p>
        </w:tc>
        <w:tc>
          <w:tcPr>
            <w:tcW w:w="1413" w:type="dxa"/>
            <w:vAlign w:val="center"/>
          </w:tcPr>
          <w:p w14:paraId="7808F1DA" w14:textId="11E69A3D" w:rsidR="00186CB5" w:rsidRPr="005F2F43" w:rsidRDefault="00186CB5" w:rsidP="00186CB5">
            <w:pPr>
              <w:jc w:val="right"/>
              <w:rPr>
                <w:rFonts w:ascii="Arial" w:hAnsi="Arial" w:cs="Arial"/>
                <w:sz w:val="22"/>
                <w:szCs w:val="22"/>
              </w:rPr>
            </w:pPr>
            <w:r w:rsidRPr="005F2F43">
              <w:rPr>
                <w:rFonts w:ascii="Arial" w:hAnsi="Arial" w:cs="Arial"/>
                <w:sz w:val="22"/>
                <w:szCs w:val="22"/>
              </w:rPr>
              <w:t>4,870</w:t>
            </w:r>
          </w:p>
        </w:tc>
      </w:tr>
      <w:tr w:rsidR="00BF002B" w:rsidRPr="006D70F0" w14:paraId="44A68D27" w14:textId="77777777" w:rsidTr="006A61E4">
        <w:trPr>
          <w:trHeight w:val="255"/>
        </w:trPr>
        <w:tc>
          <w:tcPr>
            <w:tcW w:w="3011" w:type="dxa"/>
            <w:vAlign w:val="center"/>
          </w:tcPr>
          <w:p w14:paraId="629F3EC7" w14:textId="1E6D28E3" w:rsidR="00186CB5" w:rsidRPr="00193B38" w:rsidRDefault="00186CB5" w:rsidP="00186CB5">
            <w:pPr>
              <w:rPr>
                <w:rFonts w:ascii="Arial" w:hAnsi="Arial" w:cs="Arial"/>
                <w:sz w:val="22"/>
                <w:szCs w:val="22"/>
              </w:rPr>
            </w:pPr>
            <w:r w:rsidRPr="00193B38">
              <w:rPr>
                <w:rFonts w:ascii="Arial" w:hAnsi="Arial" w:cs="Arial"/>
                <w:sz w:val="22"/>
                <w:szCs w:val="22"/>
              </w:rPr>
              <w:t>Tenant Satisfaction Survey</w:t>
            </w:r>
          </w:p>
        </w:tc>
        <w:tc>
          <w:tcPr>
            <w:tcW w:w="1195" w:type="dxa"/>
            <w:vAlign w:val="center"/>
          </w:tcPr>
          <w:p w14:paraId="1238320F" w14:textId="03277C3A" w:rsidR="00186CB5" w:rsidRPr="00193B38" w:rsidRDefault="00183E90" w:rsidP="00186CB5">
            <w:pPr>
              <w:jc w:val="right"/>
              <w:rPr>
                <w:rFonts w:ascii="Arial" w:hAnsi="Arial" w:cs="Arial"/>
                <w:sz w:val="22"/>
                <w:szCs w:val="22"/>
              </w:rPr>
            </w:pPr>
            <w:r w:rsidRPr="00193B38">
              <w:rPr>
                <w:rFonts w:ascii="Arial" w:hAnsi="Arial" w:cs="Arial"/>
                <w:sz w:val="22"/>
                <w:szCs w:val="22"/>
              </w:rPr>
              <w:t>27,240</w:t>
            </w:r>
          </w:p>
        </w:tc>
        <w:tc>
          <w:tcPr>
            <w:tcW w:w="1195" w:type="dxa"/>
            <w:vAlign w:val="center"/>
          </w:tcPr>
          <w:p w14:paraId="10E53428" w14:textId="48A9E061" w:rsidR="00186CB5" w:rsidRPr="00193B38" w:rsidRDefault="00D543E0" w:rsidP="00186CB5">
            <w:pPr>
              <w:jc w:val="right"/>
              <w:rPr>
                <w:rFonts w:ascii="Arial" w:hAnsi="Arial" w:cs="Arial"/>
                <w:sz w:val="22"/>
                <w:szCs w:val="22"/>
              </w:rPr>
            </w:pPr>
            <w:r w:rsidRPr="00193B38">
              <w:rPr>
                <w:rFonts w:ascii="Arial" w:hAnsi="Arial" w:cs="Arial"/>
                <w:sz w:val="22"/>
                <w:szCs w:val="22"/>
              </w:rPr>
              <w:t>15,240</w:t>
            </w:r>
          </w:p>
        </w:tc>
        <w:tc>
          <w:tcPr>
            <w:tcW w:w="1195" w:type="dxa"/>
            <w:vAlign w:val="center"/>
          </w:tcPr>
          <w:p w14:paraId="440E99AE" w14:textId="5C04D790" w:rsidR="00186CB5" w:rsidRPr="00193B38" w:rsidRDefault="00D543E0" w:rsidP="00186CB5">
            <w:pPr>
              <w:jc w:val="right"/>
              <w:rPr>
                <w:rFonts w:ascii="Arial" w:hAnsi="Arial" w:cs="Arial"/>
                <w:sz w:val="22"/>
                <w:szCs w:val="22"/>
              </w:rPr>
            </w:pPr>
            <w:r w:rsidRPr="00193B38">
              <w:rPr>
                <w:rFonts w:ascii="Arial" w:hAnsi="Arial" w:cs="Arial"/>
                <w:sz w:val="22"/>
                <w:szCs w:val="22"/>
              </w:rPr>
              <w:t>3,000</w:t>
            </w:r>
          </w:p>
        </w:tc>
        <w:tc>
          <w:tcPr>
            <w:tcW w:w="1195" w:type="dxa"/>
            <w:vAlign w:val="center"/>
          </w:tcPr>
          <w:p w14:paraId="7F2A760F" w14:textId="41A07647" w:rsidR="00186CB5" w:rsidRPr="00193B38" w:rsidRDefault="00193B38" w:rsidP="00186CB5">
            <w:pPr>
              <w:jc w:val="right"/>
              <w:rPr>
                <w:rFonts w:ascii="Arial" w:hAnsi="Arial" w:cs="Arial"/>
                <w:sz w:val="22"/>
                <w:szCs w:val="22"/>
              </w:rPr>
            </w:pPr>
            <w:r w:rsidRPr="00193B38">
              <w:rPr>
                <w:rFonts w:ascii="Arial" w:hAnsi="Arial" w:cs="Arial"/>
                <w:sz w:val="22"/>
                <w:szCs w:val="22"/>
              </w:rPr>
              <w:t>0</w:t>
            </w:r>
          </w:p>
        </w:tc>
        <w:tc>
          <w:tcPr>
            <w:tcW w:w="1195" w:type="dxa"/>
            <w:vAlign w:val="center"/>
          </w:tcPr>
          <w:p w14:paraId="1B001317" w14:textId="2E36CD99" w:rsidR="00186CB5" w:rsidRPr="00193B38" w:rsidRDefault="00193B38" w:rsidP="00186CB5">
            <w:pPr>
              <w:jc w:val="right"/>
              <w:rPr>
                <w:rFonts w:ascii="Arial" w:hAnsi="Arial" w:cs="Arial"/>
                <w:sz w:val="22"/>
                <w:szCs w:val="22"/>
              </w:rPr>
            </w:pPr>
            <w:r w:rsidRPr="00193B38">
              <w:rPr>
                <w:rFonts w:ascii="Arial" w:hAnsi="Arial" w:cs="Arial"/>
                <w:sz w:val="22"/>
                <w:szCs w:val="22"/>
              </w:rPr>
              <w:t>0</w:t>
            </w:r>
          </w:p>
        </w:tc>
        <w:tc>
          <w:tcPr>
            <w:tcW w:w="1413" w:type="dxa"/>
            <w:vAlign w:val="center"/>
          </w:tcPr>
          <w:p w14:paraId="6CE913B9" w14:textId="78623CC4" w:rsidR="00186CB5" w:rsidRPr="00193B38" w:rsidRDefault="00193B38" w:rsidP="00186CB5">
            <w:pPr>
              <w:jc w:val="right"/>
              <w:rPr>
                <w:rFonts w:ascii="Arial" w:hAnsi="Arial" w:cs="Arial"/>
                <w:sz w:val="22"/>
                <w:szCs w:val="22"/>
              </w:rPr>
            </w:pPr>
            <w:r w:rsidRPr="00193B38">
              <w:rPr>
                <w:rFonts w:ascii="Arial" w:hAnsi="Arial" w:cs="Arial"/>
                <w:sz w:val="22"/>
                <w:szCs w:val="22"/>
              </w:rPr>
              <w:t>0</w:t>
            </w:r>
          </w:p>
        </w:tc>
      </w:tr>
      <w:tr w:rsidR="00835F91" w:rsidRPr="006D70F0" w14:paraId="547E5F73" w14:textId="77777777" w:rsidTr="006A61E4">
        <w:trPr>
          <w:trHeight w:val="255"/>
        </w:trPr>
        <w:tc>
          <w:tcPr>
            <w:tcW w:w="3011" w:type="dxa"/>
            <w:vAlign w:val="center"/>
          </w:tcPr>
          <w:p w14:paraId="240879A2" w14:textId="77777777" w:rsidR="00D9298A" w:rsidRPr="001A205B" w:rsidRDefault="00D9298A" w:rsidP="00186CB5">
            <w:pPr>
              <w:rPr>
                <w:rFonts w:ascii="Arial" w:hAnsi="Arial" w:cs="Arial"/>
                <w:sz w:val="22"/>
                <w:szCs w:val="22"/>
              </w:rPr>
            </w:pPr>
          </w:p>
        </w:tc>
        <w:tc>
          <w:tcPr>
            <w:tcW w:w="1195" w:type="dxa"/>
            <w:tcBorders>
              <w:bottom w:val="single" w:sz="4" w:space="0" w:color="auto"/>
            </w:tcBorders>
            <w:vAlign w:val="center"/>
          </w:tcPr>
          <w:p w14:paraId="742F0368" w14:textId="77777777" w:rsidR="00D9298A" w:rsidRPr="001A205B" w:rsidRDefault="00D9298A" w:rsidP="00186CB5">
            <w:pPr>
              <w:jc w:val="right"/>
              <w:rPr>
                <w:rFonts w:ascii="Arial" w:hAnsi="Arial" w:cs="Arial"/>
                <w:sz w:val="22"/>
                <w:szCs w:val="22"/>
              </w:rPr>
            </w:pPr>
          </w:p>
        </w:tc>
        <w:tc>
          <w:tcPr>
            <w:tcW w:w="1195" w:type="dxa"/>
            <w:tcBorders>
              <w:bottom w:val="single" w:sz="4" w:space="0" w:color="auto"/>
            </w:tcBorders>
            <w:vAlign w:val="center"/>
          </w:tcPr>
          <w:p w14:paraId="4AA29887" w14:textId="77777777" w:rsidR="00D9298A" w:rsidRPr="001A205B" w:rsidRDefault="00D9298A" w:rsidP="00186CB5">
            <w:pPr>
              <w:jc w:val="right"/>
              <w:rPr>
                <w:rFonts w:ascii="Arial" w:hAnsi="Arial" w:cs="Arial"/>
                <w:sz w:val="22"/>
                <w:szCs w:val="22"/>
              </w:rPr>
            </w:pPr>
          </w:p>
        </w:tc>
        <w:tc>
          <w:tcPr>
            <w:tcW w:w="1195" w:type="dxa"/>
            <w:tcBorders>
              <w:bottom w:val="single" w:sz="4" w:space="0" w:color="auto"/>
            </w:tcBorders>
            <w:vAlign w:val="center"/>
          </w:tcPr>
          <w:p w14:paraId="5AC254AC" w14:textId="77777777" w:rsidR="00D9298A" w:rsidRPr="001A205B" w:rsidRDefault="00D9298A" w:rsidP="00186CB5">
            <w:pPr>
              <w:jc w:val="right"/>
              <w:rPr>
                <w:rFonts w:ascii="Arial" w:hAnsi="Arial" w:cs="Arial"/>
                <w:sz w:val="22"/>
                <w:szCs w:val="22"/>
              </w:rPr>
            </w:pPr>
          </w:p>
        </w:tc>
        <w:tc>
          <w:tcPr>
            <w:tcW w:w="1195" w:type="dxa"/>
            <w:tcBorders>
              <w:bottom w:val="single" w:sz="4" w:space="0" w:color="auto"/>
            </w:tcBorders>
            <w:vAlign w:val="center"/>
          </w:tcPr>
          <w:p w14:paraId="6C373E52" w14:textId="77777777" w:rsidR="00D9298A" w:rsidRPr="001A205B" w:rsidRDefault="00D9298A" w:rsidP="00186CB5">
            <w:pPr>
              <w:jc w:val="right"/>
              <w:rPr>
                <w:rFonts w:ascii="Arial" w:hAnsi="Arial" w:cs="Arial"/>
                <w:sz w:val="22"/>
                <w:szCs w:val="22"/>
              </w:rPr>
            </w:pPr>
          </w:p>
        </w:tc>
        <w:tc>
          <w:tcPr>
            <w:tcW w:w="1195" w:type="dxa"/>
            <w:tcBorders>
              <w:bottom w:val="single" w:sz="4" w:space="0" w:color="auto"/>
            </w:tcBorders>
            <w:vAlign w:val="center"/>
          </w:tcPr>
          <w:p w14:paraId="1E5EC8F3" w14:textId="77777777" w:rsidR="00D9298A" w:rsidRPr="001A205B" w:rsidRDefault="00D9298A" w:rsidP="00186CB5">
            <w:pPr>
              <w:jc w:val="right"/>
              <w:rPr>
                <w:rFonts w:ascii="Arial" w:hAnsi="Arial" w:cs="Arial"/>
                <w:sz w:val="22"/>
                <w:szCs w:val="22"/>
              </w:rPr>
            </w:pPr>
          </w:p>
        </w:tc>
        <w:tc>
          <w:tcPr>
            <w:tcW w:w="1413" w:type="dxa"/>
            <w:tcBorders>
              <w:bottom w:val="single" w:sz="4" w:space="0" w:color="auto"/>
            </w:tcBorders>
            <w:vAlign w:val="center"/>
          </w:tcPr>
          <w:p w14:paraId="354FE12E" w14:textId="77777777" w:rsidR="00D9298A" w:rsidRPr="001A205B" w:rsidRDefault="00D9298A" w:rsidP="00186CB5">
            <w:pPr>
              <w:jc w:val="right"/>
              <w:rPr>
                <w:rFonts w:ascii="Arial" w:hAnsi="Arial" w:cs="Arial"/>
                <w:sz w:val="22"/>
                <w:szCs w:val="22"/>
              </w:rPr>
            </w:pPr>
          </w:p>
        </w:tc>
      </w:tr>
      <w:tr w:rsidR="00835F91" w:rsidRPr="006D70F0" w14:paraId="151311EF" w14:textId="77777777" w:rsidTr="008056A9">
        <w:trPr>
          <w:trHeight w:val="406"/>
        </w:trPr>
        <w:tc>
          <w:tcPr>
            <w:tcW w:w="3011" w:type="dxa"/>
          </w:tcPr>
          <w:p w14:paraId="2ACED5FA" w14:textId="04EEE721" w:rsidR="00D9298A" w:rsidRPr="001A205B" w:rsidRDefault="00D9298A" w:rsidP="00D9298A">
            <w:pPr>
              <w:rPr>
                <w:rFonts w:ascii="Arial" w:hAnsi="Arial" w:cs="Arial"/>
                <w:sz w:val="22"/>
                <w:szCs w:val="22"/>
              </w:rPr>
            </w:pPr>
            <w:r w:rsidRPr="00DA209E">
              <w:rPr>
                <w:rFonts w:ascii="Arial" w:hAnsi="Arial" w:cs="Arial"/>
                <w:b/>
                <w:color w:val="000000"/>
                <w:sz w:val="22"/>
                <w:szCs w:val="22"/>
              </w:rPr>
              <w:t>Total Earmarked Reserves</w:t>
            </w:r>
          </w:p>
        </w:tc>
        <w:tc>
          <w:tcPr>
            <w:tcW w:w="1195" w:type="dxa"/>
            <w:tcBorders>
              <w:bottom w:val="single" w:sz="4" w:space="0" w:color="auto"/>
            </w:tcBorders>
            <w:vAlign w:val="center"/>
          </w:tcPr>
          <w:p w14:paraId="5BF3A239" w14:textId="1C6BD87F" w:rsidR="00D9298A" w:rsidRPr="001A205B" w:rsidRDefault="00D9298A" w:rsidP="00D9298A">
            <w:pPr>
              <w:jc w:val="right"/>
              <w:rPr>
                <w:rFonts w:ascii="Arial" w:hAnsi="Arial" w:cs="Arial"/>
                <w:sz w:val="22"/>
                <w:szCs w:val="22"/>
              </w:rPr>
            </w:pPr>
            <w:r>
              <w:rPr>
                <w:rFonts w:ascii="Arial" w:hAnsi="Arial" w:cs="Arial"/>
                <w:b/>
                <w:sz w:val="22"/>
                <w:szCs w:val="22"/>
                <w:lang w:eastAsia="en-GB"/>
              </w:rPr>
              <w:t>5,667,900</w:t>
            </w:r>
          </w:p>
        </w:tc>
        <w:tc>
          <w:tcPr>
            <w:tcW w:w="1195" w:type="dxa"/>
            <w:tcBorders>
              <w:bottom w:val="single" w:sz="4" w:space="0" w:color="auto"/>
            </w:tcBorders>
            <w:vAlign w:val="center"/>
          </w:tcPr>
          <w:p w14:paraId="2CA34CB6" w14:textId="705D3ED9" w:rsidR="00D9298A" w:rsidRPr="001A205B" w:rsidRDefault="00D9298A" w:rsidP="00D9298A">
            <w:pPr>
              <w:jc w:val="right"/>
              <w:rPr>
                <w:rFonts w:ascii="Arial" w:hAnsi="Arial" w:cs="Arial"/>
                <w:sz w:val="22"/>
                <w:szCs w:val="22"/>
              </w:rPr>
            </w:pPr>
            <w:r>
              <w:rPr>
                <w:rFonts w:ascii="Arial" w:hAnsi="Arial" w:cs="Arial"/>
                <w:b/>
                <w:sz w:val="22"/>
                <w:szCs w:val="22"/>
              </w:rPr>
              <w:t>5,848,620</w:t>
            </w:r>
          </w:p>
        </w:tc>
        <w:tc>
          <w:tcPr>
            <w:tcW w:w="1195" w:type="dxa"/>
            <w:tcBorders>
              <w:bottom w:val="single" w:sz="4" w:space="0" w:color="auto"/>
            </w:tcBorders>
            <w:vAlign w:val="center"/>
          </w:tcPr>
          <w:p w14:paraId="0FC29A18" w14:textId="44410C4F" w:rsidR="00D9298A" w:rsidRPr="001A205B" w:rsidRDefault="00D9298A" w:rsidP="00D9298A">
            <w:pPr>
              <w:jc w:val="right"/>
              <w:rPr>
                <w:rFonts w:ascii="Arial" w:hAnsi="Arial" w:cs="Arial"/>
                <w:sz w:val="22"/>
                <w:szCs w:val="22"/>
              </w:rPr>
            </w:pPr>
            <w:r>
              <w:rPr>
                <w:rFonts w:ascii="Arial" w:hAnsi="Arial" w:cs="Arial"/>
                <w:b/>
                <w:sz w:val="22"/>
                <w:szCs w:val="22"/>
                <w:lang w:eastAsia="en-GB"/>
              </w:rPr>
              <w:t>5,922,440</w:t>
            </w:r>
          </w:p>
        </w:tc>
        <w:tc>
          <w:tcPr>
            <w:tcW w:w="1195" w:type="dxa"/>
            <w:tcBorders>
              <w:bottom w:val="single" w:sz="4" w:space="0" w:color="auto"/>
            </w:tcBorders>
            <w:vAlign w:val="center"/>
          </w:tcPr>
          <w:p w14:paraId="379E3222" w14:textId="0E8207BF" w:rsidR="00D9298A" w:rsidRPr="001A205B" w:rsidRDefault="00D9298A" w:rsidP="00D9298A">
            <w:pPr>
              <w:jc w:val="right"/>
              <w:rPr>
                <w:rFonts w:ascii="Arial" w:hAnsi="Arial" w:cs="Arial"/>
                <w:sz w:val="22"/>
                <w:szCs w:val="22"/>
              </w:rPr>
            </w:pPr>
            <w:r>
              <w:rPr>
                <w:rFonts w:ascii="Arial" w:hAnsi="Arial" w:cs="Arial"/>
                <w:b/>
                <w:sz w:val="22"/>
                <w:szCs w:val="22"/>
                <w:lang w:eastAsia="en-GB"/>
              </w:rPr>
              <w:t>6,655,750</w:t>
            </w:r>
          </w:p>
        </w:tc>
        <w:tc>
          <w:tcPr>
            <w:tcW w:w="1195" w:type="dxa"/>
            <w:tcBorders>
              <w:bottom w:val="single" w:sz="4" w:space="0" w:color="auto"/>
            </w:tcBorders>
            <w:vAlign w:val="center"/>
          </w:tcPr>
          <w:p w14:paraId="4AF60AA8" w14:textId="2D6FE415" w:rsidR="00D9298A" w:rsidRPr="001A205B" w:rsidRDefault="00D9298A" w:rsidP="00D9298A">
            <w:pPr>
              <w:jc w:val="right"/>
              <w:rPr>
                <w:rFonts w:ascii="Arial" w:hAnsi="Arial" w:cs="Arial"/>
                <w:sz w:val="22"/>
                <w:szCs w:val="22"/>
              </w:rPr>
            </w:pPr>
            <w:r>
              <w:rPr>
                <w:rFonts w:ascii="Arial" w:hAnsi="Arial" w:cs="Arial"/>
                <w:b/>
                <w:sz w:val="22"/>
                <w:szCs w:val="22"/>
                <w:lang w:eastAsia="en-GB"/>
              </w:rPr>
              <w:t>7,892,430</w:t>
            </w:r>
          </w:p>
        </w:tc>
        <w:tc>
          <w:tcPr>
            <w:tcW w:w="1413" w:type="dxa"/>
            <w:tcBorders>
              <w:bottom w:val="single" w:sz="4" w:space="0" w:color="auto"/>
            </w:tcBorders>
            <w:vAlign w:val="center"/>
          </w:tcPr>
          <w:p w14:paraId="5C03B3BC" w14:textId="388DCE39" w:rsidR="00D9298A" w:rsidRPr="001A205B" w:rsidRDefault="00D9298A" w:rsidP="00D9298A">
            <w:pPr>
              <w:jc w:val="right"/>
              <w:rPr>
                <w:rFonts w:ascii="Arial" w:hAnsi="Arial" w:cs="Arial"/>
                <w:sz w:val="22"/>
                <w:szCs w:val="22"/>
              </w:rPr>
            </w:pPr>
            <w:r>
              <w:rPr>
                <w:rFonts w:ascii="Arial" w:hAnsi="Arial" w:cs="Arial"/>
                <w:b/>
                <w:sz w:val="22"/>
                <w:szCs w:val="22"/>
                <w:lang w:eastAsia="en-GB"/>
              </w:rPr>
              <w:t>9,699,490</w:t>
            </w:r>
          </w:p>
        </w:tc>
      </w:tr>
      <w:tr w:rsidR="00BF002B" w:rsidRPr="006D70F0" w14:paraId="547CAA39" w14:textId="77777777" w:rsidTr="00D9298A">
        <w:trPr>
          <w:trHeight w:val="255"/>
        </w:trPr>
        <w:tc>
          <w:tcPr>
            <w:tcW w:w="3011" w:type="dxa"/>
            <w:vAlign w:val="center"/>
          </w:tcPr>
          <w:p w14:paraId="38FBC5FF" w14:textId="77777777" w:rsidR="00D9298A" w:rsidRPr="001A205B" w:rsidRDefault="00D9298A" w:rsidP="00D9298A">
            <w:pPr>
              <w:rPr>
                <w:rFonts w:ascii="Arial" w:hAnsi="Arial" w:cs="Arial"/>
                <w:sz w:val="22"/>
                <w:szCs w:val="22"/>
              </w:rPr>
            </w:pPr>
          </w:p>
        </w:tc>
        <w:tc>
          <w:tcPr>
            <w:tcW w:w="1195" w:type="dxa"/>
            <w:vAlign w:val="center"/>
          </w:tcPr>
          <w:p w14:paraId="2DE7A00E" w14:textId="77777777" w:rsidR="00D9298A" w:rsidRPr="001A205B" w:rsidRDefault="00D9298A" w:rsidP="00D9298A">
            <w:pPr>
              <w:jc w:val="right"/>
              <w:rPr>
                <w:rFonts w:ascii="Arial" w:hAnsi="Arial" w:cs="Arial"/>
                <w:sz w:val="22"/>
                <w:szCs w:val="22"/>
              </w:rPr>
            </w:pPr>
          </w:p>
        </w:tc>
        <w:tc>
          <w:tcPr>
            <w:tcW w:w="1195" w:type="dxa"/>
            <w:vAlign w:val="center"/>
          </w:tcPr>
          <w:p w14:paraId="29F3F973" w14:textId="77777777" w:rsidR="00D9298A" w:rsidRPr="001A205B" w:rsidRDefault="00D9298A" w:rsidP="00D9298A">
            <w:pPr>
              <w:jc w:val="right"/>
              <w:rPr>
                <w:rFonts w:ascii="Arial" w:hAnsi="Arial" w:cs="Arial"/>
                <w:sz w:val="22"/>
                <w:szCs w:val="22"/>
              </w:rPr>
            </w:pPr>
          </w:p>
        </w:tc>
        <w:tc>
          <w:tcPr>
            <w:tcW w:w="1195" w:type="dxa"/>
            <w:vAlign w:val="center"/>
          </w:tcPr>
          <w:p w14:paraId="0FB58BBE" w14:textId="77777777" w:rsidR="00D9298A" w:rsidRPr="001A205B" w:rsidRDefault="00D9298A" w:rsidP="00D9298A">
            <w:pPr>
              <w:jc w:val="right"/>
              <w:rPr>
                <w:rFonts w:ascii="Arial" w:hAnsi="Arial" w:cs="Arial"/>
                <w:sz w:val="22"/>
                <w:szCs w:val="22"/>
              </w:rPr>
            </w:pPr>
          </w:p>
        </w:tc>
        <w:tc>
          <w:tcPr>
            <w:tcW w:w="1195" w:type="dxa"/>
            <w:vAlign w:val="center"/>
          </w:tcPr>
          <w:p w14:paraId="42BEBF21" w14:textId="77777777" w:rsidR="00D9298A" w:rsidRPr="001A205B" w:rsidRDefault="00D9298A" w:rsidP="00D9298A">
            <w:pPr>
              <w:jc w:val="right"/>
              <w:rPr>
                <w:rFonts w:ascii="Arial" w:hAnsi="Arial" w:cs="Arial"/>
                <w:sz w:val="22"/>
                <w:szCs w:val="22"/>
              </w:rPr>
            </w:pPr>
          </w:p>
        </w:tc>
        <w:tc>
          <w:tcPr>
            <w:tcW w:w="1195" w:type="dxa"/>
            <w:vAlign w:val="center"/>
          </w:tcPr>
          <w:p w14:paraId="2AB73D4A" w14:textId="77777777" w:rsidR="00D9298A" w:rsidRPr="001A205B" w:rsidRDefault="00D9298A" w:rsidP="00D9298A">
            <w:pPr>
              <w:jc w:val="right"/>
              <w:rPr>
                <w:rFonts w:ascii="Arial" w:hAnsi="Arial" w:cs="Arial"/>
                <w:sz w:val="22"/>
                <w:szCs w:val="22"/>
              </w:rPr>
            </w:pPr>
          </w:p>
        </w:tc>
        <w:tc>
          <w:tcPr>
            <w:tcW w:w="1413" w:type="dxa"/>
            <w:vAlign w:val="center"/>
          </w:tcPr>
          <w:p w14:paraId="52B713BA" w14:textId="77777777" w:rsidR="00D9298A" w:rsidRPr="001A205B" w:rsidRDefault="00D9298A" w:rsidP="00D9298A">
            <w:pPr>
              <w:jc w:val="right"/>
              <w:rPr>
                <w:rFonts w:ascii="Arial" w:hAnsi="Arial" w:cs="Arial"/>
                <w:sz w:val="22"/>
                <w:szCs w:val="22"/>
              </w:rPr>
            </w:pPr>
          </w:p>
        </w:tc>
      </w:tr>
      <w:tr w:rsidR="00BF002B" w:rsidRPr="006D70F0" w14:paraId="24936FB0" w14:textId="77777777" w:rsidTr="00D9298A">
        <w:trPr>
          <w:trHeight w:val="255"/>
        </w:trPr>
        <w:tc>
          <w:tcPr>
            <w:tcW w:w="3011" w:type="dxa"/>
            <w:vAlign w:val="center"/>
          </w:tcPr>
          <w:p w14:paraId="22B5A188" w14:textId="44F6BEF4" w:rsidR="00D9298A" w:rsidRPr="001A205B" w:rsidRDefault="00D9298A" w:rsidP="00D9298A">
            <w:pPr>
              <w:rPr>
                <w:rFonts w:ascii="Arial" w:hAnsi="Arial" w:cs="Arial"/>
                <w:sz w:val="22"/>
                <w:szCs w:val="22"/>
              </w:rPr>
            </w:pPr>
            <w:r>
              <w:rPr>
                <w:rFonts w:ascii="Arial" w:hAnsi="Arial" w:cs="Arial"/>
                <w:sz w:val="22"/>
                <w:szCs w:val="22"/>
              </w:rPr>
              <w:t>Insurance Fund Reserve</w:t>
            </w:r>
          </w:p>
        </w:tc>
        <w:tc>
          <w:tcPr>
            <w:tcW w:w="1195" w:type="dxa"/>
            <w:vAlign w:val="center"/>
          </w:tcPr>
          <w:p w14:paraId="2D029136" w14:textId="3F4C712B" w:rsidR="00D9298A" w:rsidRPr="001A205B" w:rsidRDefault="00525E6D" w:rsidP="00D9298A">
            <w:pPr>
              <w:jc w:val="right"/>
              <w:rPr>
                <w:rFonts w:ascii="Arial" w:hAnsi="Arial" w:cs="Arial"/>
                <w:sz w:val="22"/>
                <w:szCs w:val="22"/>
              </w:rPr>
            </w:pPr>
            <w:r>
              <w:rPr>
                <w:rFonts w:ascii="Arial" w:hAnsi="Arial" w:cs="Arial"/>
                <w:sz w:val="22"/>
                <w:szCs w:val="22"/>
              </w:rPr>
              <w:t>2,208,220</w:t>
            </w:r>
          </w:p>
        </w:tc>
        <w:tc>
          <w:tcPr>
            <w:tcW w:w="1195" w:type="dxa"/>
            <w:vAlign w:val="center"/>
          </w:tcPr>
          <w:p w14:paraId="56897DF0" w14:textId="42A88935" w:rsidR="00D9298A" w:rsidRPr="001A205B" w:rsidRDefault="00AE46A5" w:rsidP="00D9298A">
            <w:pPr>
              <w:jc w:val="right"/>
              <w:rPr>
                <w:rFonts w:ascii="Arial" w:hAnsi="Arial" w:cs="Arial"/>
                <w:sz w:val="22"/>
                <w:szCs w:val="22"/>
              </w:rPr>
            </w:pPr>
            <w:r>
              <w:rPr>
                <w:rFonts w:ascii="Arial" w:hAnsi="Arial" w:cs="Arial"/>
                <w:sz w:val="22"/>
                <w:szCs w:val="22"/>
              </w:rPr>
              <w:t>2,164,880</w:t>
            </w:r>
          </w:p>
        </w:tc>
        <w:tc>
          <w:tcPr>
            <w:tcW w:w="1195" w:type="dxa"/>
            <w:vAlign w:val="center"/>
          </w:tcPr>
          <w:p w14:paraId="73B1384D" w14:textId="0C4D6697" w:rsidR="00D9298A" w:rsidRPr="001A205B" w:rsidRDefault="00AE46A5" w:rsidP="00D9298A">
            <w:pPr>
              <w:jc w:val="right"/>
              <w:rPr>
                <w:rFonts w:ascii="Arial" w:hAnsi="Arial" w:cs="Arial"/>
                <w:sz w:val="22"/>
                <w:szCs w:val="22"/>
              </w:rPr>
            </w:pPr>
            <w:r>
              <w:rPr>
                <w:rFonts w:ascii="Arial" w:hAnsi="Arial" w:cs="Arial"/>
                <w:sz w:val="22"/>
                <w:szCs w:val="22"/>
              </w:rPr>
              <w:t>2,100,220</w:t>
            </w:r>
          </w:p>
        </w:tc>
        <w:tc>
          <w:tcPr>
            <w:tcW w:w="1195" w:type="dxa"/>
            <w:vAlign w:val="center"/>
          </w:tcPr>
          <w:p w14:paraId="70C9D330" w14:textId="16201695" w:rsidR="00D9298A" w:rsidRPr="001A205B" w:rsidRDefault="00AE46A5" w:rsidP="00D9298A">
            <w:pPr>
              <w:jc w:val="right"/>
              <w:rPr>
                <w:rFonts w:ascii="Arial" w:hAnsi="Arial" w:cs="Arial"/>
                <w:sz w:val="22"/>
                <w:szCs w:val="22"/>
              </w:rPr>
            </w:pPr>
            <w:r>
              <w:rPr>
                <w:rFonts w:ascii="Arial" w:hAnsi="Arial" w:cs="Arial"/>
                <w:sz w:val="22"/>
                <w:szCs w:val="22"/>
              </w:rPr>
              <w:t>2,012,570</w:t>
            </w:r>
          </w:p>
        </w:tc>
        <w:tc>
          <w:tcPr>
            <w:tcW w:w="1195" w:type="dxa"/>
            <w:vAlign w:val="center"/>
          </w:tcPr>
          <w:p w14:paraId="09B7C3F7" w14:textId="7BE3CD3B" w:rsidR="00D9298A" w:rsidRPr="001A205B" w:rsidRDefault="00AE46A5" w:rsidP="00D9298A">
            <w:pPr>
              <w:jc w:val="right"/>
              <w:rPr>
                <w:rFonts w:ascii="Arial" w:hAnsi="Arial" w:cs="Arial"/>
                <w:sz w:val="22"/>
                <w:szCs w:val="22"/>
              </w:rPr>
            </w:pPr>
            <w:r>
              <w:rPr>
                <w:rFonts w:ascii="Arial" w:hAnsi="Arial" w:cs="Arial"/>
                <w:sz w:val="22"/>
                <w:szCs w:val="22"/>
              </w:rPr>
              <w:t>1,918,770</w:t>
            </w:r>
          </w:p>
        </w:tc>
        <w:tc>
          <w:tcPr>
            <w:tcW w:w="1413" w:type="dxa"/>
            <w:vAlign w:val="center"/>
          </w:tcPr>
          <w:p w14:paraId="69E58104" w14:textId="15A125D4" w:rsidR="00D9298A" w:rsidRPr="001A205B" w:rsidRDefault="00AE46A5" w:rsidP="00D9298A">
            <w:pPr>
              <w:jc w:val="right"/>
              <w:rPr>
                <w:rFonts w:ascii="Arial" w:hAnsi="Arial" w:cs="Arial"/>
                <w:sz w:val="22"/>
                <w:szCs w:val="22"/>
              </w:rPr>
            </w:pPr>
            <w:r>
              <w:rPr>
                <w:rFonts w:ascii="Arial" w:hAnsi="Arial" w:cs="Arial"/>
                <w:sz w:val="22"/>
                <w:szCs w:val="22"/>
              </w:rPr>
              <w:t>1,916,330</w:t>
            </w:r>
          </w:p>
        </w:tc>
      </w:tr>
      <w:tr w:rsidR="00835F91" w:rsidRPr="006D70F0" w14:paraId="14458AAA" w14:textId="77777777" w:rsidTr="00D9298A">
        <w:trPr>
          <w:trHeight w:val="255"/>
        </w:trPr>
        <w:tc>
          <w:tcPr>
            <w:tcW w:w="3011" w:type="dxa"/>
            <w:vAlign w:val="center"/>
          </w:tcPr>
          <w:p w14:paraId="1196D950" w14:textId="77777777" w:rsidR="00186CB5" w:rsidRPr="001A205B" w:rsidRDefault="00186CB5" w:rsidP="00186CB5">
            <w:pPr>
              <w:rPr>
                <w:rFonts w:ascii="Arial" w:hAnsi="Arial" w:cs="Arial"/>
                <w:sz w:val="22"/>
                <w:szCs w:val="22"/>
              </w:rPr>
            </w:pPr>
          </w:p>
        </w:tc>
        <w:tc>
          <w:tcPr>
            <w:tcW w:w="1195" w:type="dxa"/>
            <w:tcBorders>
              <w:bottom w:val="single" w:sz="4" w:space="0" w:color="auto"/>
            </w:tcBorders>
            <w:vAlign w:val="center"/>
          </w:tcPr>
          <w:p w14:paraId="631B9126" w14:textId="77777777" w:rsidR="00186CB5" w:rsidRPr="001A205B" w:rsidRDefault="00186CB5" w:rsidP="00186CB5">
            <w:pPr>
              <w:jc w:val="right"/>
              <w:rPr>
                <w:rFonts w:ascii="Arial" w:hAnsi="Arial" w:cs="Arial"/>
                <w:sz w:val="22"/>
                <w:szCs w:val="22"/>
              </w:rPr>
            </w:pPr>
          </w:p>
        </w:tc>
        <w:tc>
          <w:tcPr>
            <w:tcW w:w="1195" w:type="dxa"/>
            <w:tcBorders>
              <w:bottom w:val="single" w:sz="4" w:space="0" w:color="auto"/>
            </w:tcBorders>
            <w:vAlign w:val="center"/>
          </w:tcPr>
          <w:p w14:paraId="339C5CC3" w14:textId="77777777" w:rsidR="00186CB5" w:rsidRPr="001A205B" w:rsidRDefault="00186CB5" w:rsidP="00186CB5">
            <w:pPr>
              <w:jc w:val="right"/>
              <w:rPr>
                <w:rFonts w:ascii="Arial" w:hAnsi="Arial" w:cs="Arial"/>
                <w:sz w:val="22"/>
                <w:szCs w:val="22"/>
              </w:rPr>
            </w:pPr>
          </w:p>
        </w:tc>
        <w:tc>
          <w:tcPr>
            <w:tcW w:w="1195" w:type="dxa"/>
            <w:tcBorders>
              <w:bottom w:val="single" w:sz="4" w:space="0" w:color="auto"/>
            </w:tcBorders>
            <w:vAlign w:val="center"/>
          </w:tcPr>
          <w:p w14:paraId="109F6548" w14:textId="77777777" w:rsidR="00186CB5" w:rsidRPr="001A205B" w:rsidRDefault="00186CB5" w:rsidP="00186CB5">
            <w:pPr>
              <w:jc w:val="right"/>
              <w:rPr>
                <w:rFonts w:ascii="Arial" w:hAnsi="Arial" w:cs="Arial"/>
                <w:sz w:val="22"/>
                <w:szCs w:val="22"/>
              </w:rPr>
            </w:pPr>
          </w:p>
        </w:tc>
        <w:tc>
          <w:tcPr>
            <w:tcW w:w="1195" w:type="dxa"/>
            <w:tcBorders>
              <w:bottom w:val="single" w:sz="4" w:space="0" w:color="auto"/>
            </w:tcBorders>
            <w:vAlign w:val="center"/>
          </w:tcPr>
          <w:p w14:paraId="4DFD36B9" w14:textId="77777777" w:rsidR="00186CB5" w:rsidRPr="001A205B" w:rsidRDefault="00186CB5" w:rsidP="00186CB5">
            <w:pPr>
              <w:jc w:val="right"/>
              <w:rPr>
                <w:rFonts w:ascii="Arial" w:hAnsi="Arial" w:cs="Arial"/>
                <w:sz w:val="22"/>
                <w:szCs w:val="22"/>
              </w:rPr>
            </w:pPr>
          </w:p>
        </w:tc>
        <w:tc>
          <w:tcPr>
            <w:tcW w:w="1195" w:type="dxa"/>
            <w:tcBorders>
              <w:bottom w:val="single" w:sz="4" w:space="0" w:color="auto"/>
            </w:tcBorders>
            <w:vAlign w:val="center"/>
          </w:tcPr>
          <w:p w14:paraId="0629408F" w14:textId="77777777" w:rsidR="00186CB5" w:rsidRPr="001A205B" w:rsidRDefault="00186CB5" w:rsidP="00186CB5">
            <w:pPr>
              <w:jc w:val="right"/>
              <w:rPr>
                <w:rFonts w:ascii="Arial" w:hAnsi="Arial" w:cs="Arial"/>
                <w:sz w:val="22"/>
                <w:szCs w:val="22"/>
              </w:rPr>
            </w:pPr>
          </w:p>
        </w:tc>
        <w:tc>
          <w:tcPr>
            <w:tcW w:w="1413" w:type="dxa"/>
            <w:tcBorders>
              <w:bottom w:val="single" w:sz="4" w:space="0" w:color="auto"/>
            </w:tcBorders>
            <w:vAlign w:val="center"/>
          </w:tcPr>
          <w:p w14:paraId="779E7042" w14:textId="77777777" w:rsidR="00186CB5" w:rsidRPr="001A205B" w:rsidRDefault="00186CB5" w:rsidP="00186CB5">
            <w:pPr>
              <w:jc w:val="right"/>
              <w:rPr>
                <w:rFonts w:ascii="Arial" w:hAnsi="Arial" w:cs="Arial"/>
                <w:sz w:val="22"/>
                <w:szCs w:val="22"/>
              </w:rPr>
            </w:pPr>
          </w:p>
        </w:tc>
      </w:tr>
      <w:tr w:rsidR="00835F91" w:rsidRPr="005C6861" w14:paraId="5944B657" w14:textId="77777777" w:rsidTr="006A61E4">
        <w:trPr>
          <w:trHeight w:val="255"/>
        </w:trPr>
        <w:tc>
          <w:tcPr>
            <w:tcW w:w="3011" w:type="dxa"/>
            <w:noWrap/>
            <w:vAlign w:val="center"/>
          </w:tcPr>
          <w:p w14:paraId="689D4318" w14:textId="77777777" w:rsidR="00186CB5" w:rsidRPr="001A205B" w:rsidRDefault="00186CB5" w:rsidP="00186CB5">
            <w:pPr>
              <w:rPr>
                <w:rFonts w:ascii="Arial" w:hAnsi="Arial" w:cs="Arial"/>
                <w:b/>
                <w:color w:val="000000"/>
                <w:sz w:val="22"/>
                <w:szCs w:val="22"/>
              </w:rPr>
            </w:pPr>
            <w:r w:rsidRPr="001A205B">
              <w:rPr>
                <w:rFonts w:ascii="Arial" w:hAnsi="Arial" w:cs="Arial"/>
                <w:b/>
                <w:color w:val="000000"/>
                <w:sz w:val="22"/>
                <w:szCs w:val="22"/>
              </w:rPr>
              <w:t xml:space="preserve">TOTAL HOUSING REVENUE ACCOUNT </w:t>
            </w:r>
          </w:p>
        </w:tc>
        <w:tc>
          <w:tcPr>
            <w:tcW w:w="1195" w:type="dxa"/>
            <w:tcBorders>
              <w:top w:val="single" w:sz="4" w:space="0" w:color="auto"/>
              <w:bottom w:val="single" w:sz="4" w:space="0" w:color="auto"/>
            </w:tcBorders>
            <w:noWrap/>
            <w:vAlign w:val="center"/>
          </w:tcPr>
          <w:p w14:paraId="7423E49B" w14:textId="45C3DA64" w:rsidR="00186CB5" w:rsidRPr="001A205B" w:rsidRDefault="00AE46A5" w:rsidP="00186CB5">
            <w:pPr>
              <w:jc w:val="right"/>
              <w:rPr>
                <w:rFonts w:ascii="Arial" w:hAnsi="Arial" w:cs="Arial"/>
                <w:b/>
                <w:sz w:val="22"/>
                <w:szCs w:val="22"/>
                <w:lang w:eastAsia="en-GB"/>
              </w:rPr>
            </w:pPr>
            <w:r>
              <w:rPr>
                <w:rFonts w:ascii="Arial" w:hAnsi="Arial" w:cs="Arial"/>
                <w:b/>
                <w:sz w:val="22"/>
                <w:szCs w:val="22"/>
                <w:lang w:eastAsia="en-GB"/>
              </w:rPr>
              <w:t>7,786,120</w:t>
            </w:r>
          </w:p>
        </w:tc>
        <w:tc>
          <w:tcPr>
            <w:tcW w:w="1195" w:type="dxa"/>
            <w:tcBorders>
              <w:top w:val="single" w:sz="4" w:space="0" w:color="auto"/>
              <w:bottom w:val="single" w:sz="4" w:space="0" w:color="auto"/>
            </w:tcBorders>
            <w:noWrap/>
            <w:vAlign w:val="center"/>
          </w:tcPr>
          <w:p w14:paraId="2005F5F0" w14:textId="30C15D87" w:rsidR="00186CB5" w:rsidRPr="001A205B" w:rsidRDefault="00AE46A5" w:rsidP="00186CB5">
            <w:pPr>
              <w:jc w:val="right"/>
              <w:rPr>
                <w:rFonts w:ascii="Arial" w:hAnsi="Arial" w:cs="Arial"/>
                <w:b/>
                <w:sz w:val="22"/>
                <w:szCs w:val="22"/>
              </w:rPr>
            </w:pPr>
            <w:r>
              <w:rPr>
                <w:rFonts w:ascii="Arial" w:hAnsi="Arial" w:cs="Arial"/>
                <w:b/>
                <w:sz w:val="22"/>
                <w:szCs w:val="22"/>
              </w:rPr>
              <w:t>8,013,500</w:t>
            </w:r>
          </w:p>
        </w:tc>
        <w:tc>
          <w:tcPr>
            <w:tcW w:w="1195" w:type="dxa"/>
            <w:tcBorders>
              <w:top w:val="single" w:sz="4" w:space="0" w:color="auto"/>
              <w:bottom w:val="single" w:sz="4" w:space="0" w:color="auto"/>
            </w:tcBorders>
            <w:noWrap/>
            <w:vAlign w:val="center"/>
          </w:tcPr>
          <w:p w14:paraId="1FB8B3C2" w14:textId="0031C00C" w:rsidR="00186CB5" w:rsidRPr="001A205B" w:rsidRDefault="00AE46A5" w:rsidP="00186CB5">
            <w:pPr>
              <w:jc w:val="right"/>
              <w:rPr>
                <w:rFonts w:ascii="Arial" w:hAnsi="Arial" w:cs="Arial"/>
                <w:b/>
                <w:sz w:val="22"/>
                <w:szCs w:val="22"/>
              </w:rPr>
            </w:pPr>
            <w:r>
              <w:rPr>
                <w:rFonts w:ascii="Arial" w:hAnsi="Arial" w:cs="Arial"/>
                <w:b/>
                <w:sz w:val="22"/>
                <w:szCs w:val="22"/>
                <w:lang w:eastAsia="en-GB"/>
              </w:rPr>
              <w:t>8,022,660</w:t>
            </w:r>
          </w:p>
        </w:tc>
        <w:tc>
          <w:tcPr>
            <w:tcW w:w="1195" w:type="dxa"/>
            <w:tcBorders>
              <w:top w:val="single" w:sz="4" w:space="0" w:color="auto"/>
              <w:bottom w:val="single" w:sz="4" w:space="0" w:color="auto"/>
            </w:tcBorders>
            <w:noWrap/>
            <w:vAlign w:val="center"/>
          </w:tcPr>
          <w:p w14:paraId="0BD4DC77" w14:textId="3F9EB443" w:rsidR="00186CB5" w:rsidRPr="001A205B" w:rsidRDefault="00AE46A5" w:rsidP="00186CB5">
            <w:pPr>
              <w:jc w:val="right"/>
              <w:rPr>
                <w:rFonts w:ascii="Arial" w:hAnsi="Arial" w:cs="Arial"/>
                <w:b/>
                <w:sz w:val="22"/>
                <w:szCs w:val="22"/>
              </w:rPr>
            </w:pPr>
            <w:r>
              <w:rPr>
                <w:rFonts w:ascii="Arial" w:hAnsi="Arial" w:cs="Arial"/>
                <w:b/>
                <w:sz w:val="22"/>
                <w:szCs w:val="22"/>
                <w:lang w:eastAsia="en-GB"/>
              </w:rPr>
              <w:t>8,668,320</w:t>
            </w:r>
          </w:p>
        </w:tc>
        <w:tc>
          <w:tcPr>
            <w:tcW w:w="1195" w:type="dxa"/>
            <w:tcBorders>
              <w:top w:val="single" w:sz="4" w:space="0" w:color="auto"/>
              <w:bottom w:val="single" w:sz="4" w:space="0" w:color="auto"/>
            </w:tcBorders>
            <w:noWrap/>
            <w:vAlign w:val="center"/>
          </w:tcPr>
          <w:p w14:paraId="001A838C" w14:textId="5862240C" w:rsidR="00186CB5" w:rsidRPr="001A205B" w:rsidRDefault="00AE46A5" w:rsidP="00186CB5">
            <w:pPr>
              <w:jc w:val="right"/>
              <w:rPr>
                <w:rFonts w:ascii="Arial" w:hAnsi="Arial" w:cs="Arial"/>
                <w:b/>
                <w:sz w:val="22"/>
                <w:szCs w:val="22"/>
              </w:rPr>
            </w:pPr>
            <w:r>
              <w:rPr>
                <w:rFonts w:ascii="Arial" w:hAnsi="Arial" w:cs="Arial"/>
                <w:b/>
                <w:sz w:val="22"/>
                <w:szCs w:val="22"/>
                <w:lang w:eastAsia="en-GB"/>
              </w:rPr>
              <w:t>9,811,200</w:t>
            </w:r>
          </w:p>
        </w:tc>
        <w:tc>
          <w:tcPr>
            <w:tcW w:w="1413" w:type="dxa"/>
            <w:tcBorders>
              <w:top w:val="single" w:sz="4" w:space="0" w:color="auto"/>
              <w:bottom w:val="single" w:sz="4" w:space="0" w:color="auto"/>
            </w:tcBorders>
            <w:noWrap/>
            <w:vAlign w:val="center"/>
          </w:tcPr>
          <w:p w14:paraId="14353BD2" w14:textId="528565D9" w:rsidR="00186CB5" w:rsidRPr="00983A3C" w:rsidRDefault="00AE46A5" w:rsidP="00186CB5">
            <w:pPr>
              <w:jc w:val="right"/>
              <w:rPr>
                <w:rFonts w:ascii="Arial" w:hAnsi="Arial" w:cs="Arial"/>
                <w:b/>
                <w:bCs/>
                <w:sz w:val="22"/>
                <w:szCs w:val="22"/>
              </w:rPr>
            </w:pPr>
            <w:r>
              <w:rPr>
                <w:rFonts w:ascii="Arial" w:hAnsi="Arial" w:cs="Arial"/>
                <w:b/>
                <w:sz w:val="22"/>
                <w:szCs w:val="22"/>
                <w:lang w:eastAsia="en-GB"/>
              </w:rPr>
              <w:t>11,615,820</w:t>
            </w:r>
          </w:p>
        </w:tc>
      </w:tr>
    </w:tbl>
    <w:p w14:paraId="66902BBF" w14:textId="77777777" w:rsidR="00B53742" w:rsidRPr="005C6861" w:rsidRDefault="00B53742" w:rsidP="008064F8">
      <w:pPr>
        <w:rPr>
          <w:rFonts w:ascii="Arial" w:hAnsi="Arial" w:cs="Arial"/>
          <w:color w:val="231F20"/>
          <w:szCs w:val="22"/>
        </w:rPr>
      </w:pPr>
    </w:p>
    <w:sectPr w:rsidR="00B53742" w:rsidRPr="005C6861" w:rsidSect="00963B6A">
      <w:headerReference w:type="default" r:id="rId35"/>
      <w:pgSz w:w="11906" w:h="16838" w:code="9"/>
      <w:pgMar w:top="1134" w:right="1106" w:bottom="1134" w:left="1259" w:header="709" w:footer="709"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88D5" w14:textId="77777777" w:rsidR="006C3775" w:rsidRDefault="006C3775">
      <w:r>
        <w:separator/>
      </w:r>
    </w:p>
  </w:endnote>
  <w:endnote w:type="continuationSeparator" w:id="0">
    <w:p w14:paraId="6F4EFFF4" w14:textId="77777777" w:rsidR="006C3775" w:rsidRDefault="006C3775">
      <w:r>
        <w:continuationSeparator/>
      </w:r>
    </w:p>
  </w:endnote>
  <w:endnote w:type="continuationNotice" w:id="1">
    <w:p w14:paraId="5030D348" w14:textId="77777777" w:rsidR="006C3775" w:rsidRDefault="006C3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w:altName w:val="Times New Roman"/>
    <w:panose1 w:val="00000000000000000000"/>
    <w:charset w:val="00"/>
    <w:family w:val="roman"/>
    <w:notTrueType/>
    <w:pitch w:val="default"/>
  </w:font>
  <w:font w:name="Informal Roman">
    <w:panose1 w:val="030604020304060B02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LTStd-LightItalic">
    <w:panose1 w:val="00000000000000000000"/>
    <w:charset w:val="4D"/>
    <w:family w:val="auto"/>
    <w:notTrueType/>
    <w:pitch w:val="default"/>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LTStd-Bold">
    <w:panose1 w:val="00000000000000000000"/>
    <w:charset w:val="4D"/>
    <w:family w:val="auto"/>
    <w:notTrueType/>
    <w:pitch w:val="default"/>
    <w:sig w:usb0="00000003" w:usb1="00000000" w:usb2="00000000" w:usb3="00000000" w:csb0="00000001" w:csb1="00000000"/>
  </w:font>
  <w:font w:name="Swis721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YTZS V+ Humanist 777 BT">
    <w:altName w:val="Humanis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Helvetica Neue">
    <w:altName w:val="Sylfae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AD06" w14:textId="77777777" w:rsidR="00111FF2" w:rsidRDefault="00111FF2" w:rsidP="000819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FB859C" w14:textId="77777777" w:rsidR="00111FF2" w:rsidRDefault="00111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47FC" w14:textId="356659A3" w:rsidR="00D160CE" w:rsidRDefault="00D16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3761" w14:textId="610CDB19" w:rsidR="00D160CE" w:rsidRDefault="00D160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5A35" w14:textId="77777777" w:rsidR="00111FF2" w:rsidRDefault="00111FF2" w:rsidP="00997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2A9899DE" w14:textId="77777777" w:rsidR="00111FF2" w:rsidRDefault="00111FF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3D799" w14:textId="77777777" w:rsidR="006C3775" w:rsidRDefault="006C3775">
      <w:r>
        <w:separator/>
      </w:r>
    </w:p>
  </w:footnote>
  <w:footnote w:type="continuationSeparator" w:id="0">
    <w:p w14:paraId="0CEB3C13" w14:textId="77777777" w:rsidR="006C3775" w:rsidRDefault="006C3775">
      <w:r>
        <w:continuationSeparator/>
      </w:r>
    </w:p>
  </w:footnote>
  <w:footnote w:type="continuationNotice" w:id="1">
    <w:p w14:paraId="524535E2" w14:textId="77777777" w:rsidR="006C3775" w:rsidRDefault="006C3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AB08" w14:textId="0D7448F4" w:rsidR="00FD4DD9" w:rsidRPr="00054E9A" w:rsidRDefault="6D2A31AF" w:rsidP="6D2A31AF">
    <w:pPr>
      <w:pStyle w:val="Header"/>
      <w:rPr>
        <w:color w:val="FFFFFF" w:themeColor="background1"/>
        <w:lang w:val="en-GB"/>
      </w:rPr>
    </w:pPr>
    <w:r w:rsidRPr="6D2A31AF">
      <w:rPr>
        <w:color w:val="FFFFFF" w:themeColor="background1"/>
        <w:lang w:val="en-GB"/>
      </w:rPr>
      <w:t>Aappendix a</w:t>
    </w:r>
  </w:p>
  <w:p w14:paraId="2BDE4AFA" w14:textId="77777777" w:rsidR="00111FF2" w:rsidRPr="001C2D51" w:rsidRDefault="00111FF2">
    <w:pPr>
      <w:pStyle w:val="Header"/>
      <w:rPr>
        <w:lang w:val="en-G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B083" w14:textId="656B1E7F" w:rsidR="00111FF2" w:rsidRDefault="00111FF2">
    <w:pPr>
      <w:pStyle w:val="Header"/>
      <w:jc w:val="right"/>
      <w:rPr>
        <w:b/>
        <w:bCs/>
        <w:lang w:val="en-US"/>
      </w:rPr>
    </w:pPr>
    <w:r>
      <w:rPr>
        <w:b/>
        <w:bCs/>
      </w:rPr>
      <w:t xml:space="preserve">Appendix </w:t>
    </w:r>
    <w:r w:rsidR="00585823">
      <w:rPr>
        <w:b/>
        <w:bCs/>
        <w:lang w:val="en-US"/>
      </w:rPr>
      <w:t>6</w:t>
    </w:r>
  </w:p>
  <w:p w14:paraId="69EE74A9" w14:textId="77777777" w:rsidR="00926614" w:rsidRDefault="00926614">
    <w:pPr>
      <w:pStyle w:val="Header"/>
      <w:jc w:val="right"/>
      <w:rPr>
        <w:b/>
        <w:bCs/>
        <w:lang w:val="en-US"/>
      </w:rPr>
    </w:pPr>
  </w:p>
  <w:p w14:paraId="6AFA28DE" w14:textId="525BFC1B" w:rsidR="00926614" w:rsidRDefault="00BC3AF7" w:rsidP="00926614">
    <w:pPr>
      <w:pStyle w:val="Header"/>
      <w:jc w:val="center"/>
      <w:rPr>
        <w:b/>
        <w:bCs/>
        <w:lang w:val="en-US"/>
      </w:rPr>
    </w:pPr>
    <w:r>
      <w:rPr>
        <w:b/>
        <w:bCs/>
        <w:lang w:val="en-US"/>
      </w:rPr>
      <w:t>BUDGET RISK ASSESSMENT</w:t>
    </w:r>
  </w:p>
  <w:p w14:paraId="0AAB320C" w14:textId="77777777" w:rsidR="00BC3AF7" w:rsidRPr="00F47A82" w:rsidRDefault="00BC3AF7" w:rsidP="00926614">
    <w:pPr>
      <w:pStyle w:val="Header"/>
      <w:jc w:val="center"/>
      <w:rPr>
        <w:b/>
        <w:bCs/>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045D" w14:textId="2177D96B" w:rsidR="00111FF2" w:rsidRPr="005939F3" w:rsidRDefault="00111FF2" w:rsidP="00887FC8">
    <w:pPr>
      <w:pStyle w:val="Header"/>
      <w:ind w:right="3"/>
      <w:jc w:val="right"/>
      <w:rPr>
        <w:rFonts w:cs="Arial"/>
        <w:b/>
        <w:bCs/>
        <w:szCs w:val="24"/>
        <w:lang w:val="en-GB"/>
      </w:rPr>
    </w:pPr>
    <w:r>
      <w:rPr>
        <w:rFonts w:cs="Arial"/>
        <w:b/>
        <w:bCs/>
        <w:szCs w:val="24"/>
      </w:rPr>
      <w:t xml:space="preserve">   Appendix </w:t>
    </w:r>
    <w:r w:rsidR="00585823">
      <w:rPr>
        <w:rFonts w:cs="Arial"/>
        <w:b/>
        <w:bCs/>
        <w:szCs w:val="24"/>
        <w:lang w:val="en-GB"/>
      </w:rPr>
      <w:t>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4DC7" w14:textId="77777777" w:rsidR="00111FF2" w:rsidRPr="00887FC8" w:rsidRDefault="00111FF2" w:rsidP="00887FC8">
    <w:pPr>
      <w:pStyle w:val="Header"/>
      <w:ind w:right="3"/>
      <w:jc w:val="right"/>
      <w:rPr>
        <w:rFonts w:cs="Arial"/>
        <w:b/>
        <w:bC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E537" w14:textId="07576ABD" w:rsidR="00111FF2" w:rsidRDefault="00111FF2">
    <w:pPr>
      <w:pStyle w:val="Header"/>
    </w:pPr>
  </w:p>
  <w:p w14:paraId="3ABA64B2" w14:textId="3FA68789" w:rsidR="00111FF2" w:rsidRDefault="00111FF2">
    <w:pPr>
      <w:pStyle w:val="Header"/>
    </w:pPr>
  </w:p>
  <w:p w14:paraId="1BB5C1EE" w14:textId="72AA796B" w:rsidR="00111FF2" w:rsidRPr="00D55324" w:rsidRDefault="00111FF2" w:rsidP="00D55324">
    <w:pPr>
      <w:pStyle w:val="Header"/>
      <w:jc w:val="right"/>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DC62" w14:textId="32898700" w:rsidR="00D160CE" w:rsidRDefault="00D16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C5B" w14:textId="30E90CD6" w:rsidR="004A53DB" w:rsidRDefault="004A53DB">
    <w:pPr>
      <w:pStyle w:val="Header"/>
    </w:pPr>
  </w:p>
  <w:p w14:paraId="12D6411F" w14:textId="4D7F19ED" w:rsidR="00111FF2" w:rsidRDefault="00111FF2">
    <w:pPr>
      <w:pStyle w:val="Header"/>
      <w:jc w:val="right"/>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329B" w14:textId="77777777" w:rsidR="00111FF2" w:rsidRDefault="00111FF2">
    <w:pPr>
      <w:pStyle w:val="Header"/>
      <w:jc w:val="right"/>
      <w:rPr>
        <w:b/>
        <w:bCs/>
      </w:rPr>
    </w:pPr>
    <w:r>
      <w:rPr>
        <w:b/>
        <w:bCs/>
      </w:rPr>
      <w:t>Appendix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A31E" w14:textId="66C0E211" w:rsidR="001602C8" w:rsidRPr="00AC406E" w:rsidRDefault="006B48F7" w:rsidP="00AC406E">
    <w:pPr>
      <w:pStyle w:val="Header"/>
      <w:jc w:val="right"/>
      <w:rPr>
        <w:b/>
        <w:lang w:val="en-GB"/>
      </w:rPr>
    </w:pPr>
    <w:r>
      <w:rPr>
        <w:b/>
        <w:lang w:val="en-GB"/>
      </w:rPr>
      <w:t xml:space="preserve">Appendix </w:t>
    </w:r>
    <w:r w:rsidR="00D03CED">
      <w:rPr>
        <w:b/>
        <w:lang w:val="en-GB"/>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7F51" w14:textId="4B29FD22" w:rsidR="00111FF2" w:rsidRPr="00AC406E" w:rsidRDefault="00585823" w:rsidP="00AC406E">
    <w:pPr>
      <w:pStyle w:val="Header"/>
      <w:jc w:val="right"/>
      <w:rPr>
        <w:b/>
        <w:lang w:val="en-GB"/>
      </w:rPr>
    </w:pPr>
    <w:r>
      <w:rPr>
        <w:b/>
        <w:lang w:val="en-GB"/>
      </w:rPr>
      <w:t>Appendix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3DCF" w14:textId="109D1531" w:rsidR="00111FF2" w:rsidRPr="00AC406E" w:rsidRDefault="00111FF2" w:rsidP="00AC406E">
    <w:pPr>
      <w:pStyle w:val="Header"/>
      <w:jc w:val="right"/>
      <w:rPr>
        <w:b/>
        <w:lang w:val="en-GB"/>
      </w:rPr>
    </w:pPr>
    <w:r>
      <w:rPr>
        <w:b/>
        <w:lang w:val="en-GB"/>
      </w:rPr>
      <w:t xml:space="preserve">Appendix </w:t>
    </w:r>
    <w:r w:rsidR="00585823">
      <w:rPr>
        <w:b/>
        <w:lang w:val="en-GB"/>
      </w:rPr>
      <w:t>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0FCF" w14:textId="5B6C2638" w:rsidR="00111FF2" w:rsidRPr="00AC406E" w:rsidRDefault="00111FF2" w:rsidP="00AC406E">
    <w:pPr>
      <w:pStyle w:val="Header"/>
      <w:jc w:val="right"/>
      <w:rPr>
        <w:b/>
        <w:lang w:val="en-GB"/>
      </w:rPr>
    </w:pPr>
    <w:r>
      <w:rPr>
        <w:b/>
        <w:lang w:val="en-GB"/>
      </w:rPr>
      <w:t xml:space="preserve">Appendix </w:t>
    </w:r>
    <w:r w:rsidR="00585823">
      <w:rPr>
        <w:b/>
        <w:lang w:val="en-G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6C450A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2C43F49"/>
    <w:multiLevelType w:val="hybridMultilevel"/>
    <w:tmpl w:val="838AE314"/>
    <w:lvl w:ilvl="0" w:tplc="D9E49752">
      <w:numFmt w:val="bullet"/>
      <w:lvlText w:val="–"/>
      <w:lvlJc w:val="left"/>
      <w:pPr>
        <w:tabs>
          <w:tab w:val="num" w:pos="360"/>
        </w:tabs>
        <w:ind w:left="360" w:hanging="360"/>
      </w:pPr>
      <w:rPr>
        <w:rFonts w:ascii="Gill Sans" w:eastAsia="Informal Roman" w:hAnsi="Gill Sans" w:cs="Informal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F76A29"/>
    <w:multiLevelType w:val="multilevel"/>
    <w:tmpl w:val="0632ED4A"/>
    <w:lvl w:ilvl="0">
      <w:start w:val="1"/>
      <w:numFmt w:val="decimal"/>
      <w:pStyle w:val="Level1"/>
      <w:lvlText w:val="%1."/>
      <w:lvlJc w:val="left"/>
      <w:pPr>
        <w:tabs>
          <w:tab w:val="num" w:pos="1200"/>
        </w:tabs>
        <w:ind w:left="1200" w:hanging="1200"/>
      </w:pPr>
      <w:rPr>
        <w:rFonts w:hint="default"/>
        <w:b w:val="0"/>
        <w:i w:val="0"/>
        <w:caps w:val="0"/>
        <w:strike w:val="0"/>
        <w:dstrike w:val="0"/>
        <w:vanish w:val="0"/>
        <w:color w:val="0071BD"/>
        <w:sz w:val="3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200"/>
        </w:tabs>
        <w:ind w:left="1200" w:hanging="120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00"/>
        </w:tabs>
        <w:ind w:left="1200" w:hanging="1200"/>
      </w:pPr>
      <w:rPr>
        <w:rFonts w:hint="default"/>
        <w:b w:val="0"/>
        <w:i w:val="0"/>
        <w:caps w:val="0"/>
        <w:strike w:val="0"/>
        <w:dstrike w:val="0"/>
        <w:vanish w:val="0"/>
        <w:color w:val="323232"/>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800"/>
        </w:tabs>
        <w:ind w:left="800" w:hanging="400"/>
      </w:pPr>
      <w:rPr>
        <w:rFonts w:ascii="Symbol" w:hAnsi="Symbol" w:hint="default"/>
        <w:color w:val="auto"/>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05B22FB4"/>
    <w:multiLevelType w:val="hybridMultilevel"/>
    <w:tmpl w:val="7DCEA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72090"/>
    <w:multiLevelType w:val="hybridMultilevel"/>
    <w:tmpl w:val="CCBC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32F6D"/>
    <w:multiLevelType w:val="hybridMultilevel"/>
    <w:tmpl w:val="2EE6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F7A01"/>
    <w:multiLevelType w:val="multilevel"/>
    <w:tmpl w:val="B130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E1011"/>
    <w:multiLevelType w:val="multilevel"/>
    <w:tmpl w:val="2ED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175B0"/>
    <w:multiLevelType w:val="hybridMultilevel"/>
    <w:tmpl w:val="7A322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F11A9"/>
    <w:multiLevelType w:val="hybridMultilevel"/>
    <w:tmpl w:val="4470D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E3FCC"/>
    <w:multiLevelType w:val="multilevel"/>
    <w:tmpl w:val="5462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7B6B62"/>
    <w:multiLevelType w:val="hybridMultilevel"/>
    <w:tmpl w:val="F418CB26"/>
    <w:lvl w:ilvl="0" w:tplc="25906480">
      <w:start w:val="1"/>
      <w:numFmt w:val="bullet"/>
      <w:pStyle w:val="TOC1"/>
      <w:lvlText w:val=""/>
      <w:lvlJc w:val="left"/>
      <w:pPr>
        <w:tabs>
          <w:tab w:val="num" w:pos="473"/>
        </w:tabs>
        <w:ind w:left="454"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732FF2"/>
    <w:multiLevelType w:val="hybridMultilevel"/>
    <w:tmpl w:val="30C08A42"/>
    <w:lvl w:ilvl="0" w:tplc="806A08FC">
      <w:start w:val="1"/>
      <w:numFmt w:val="bullet"/>
      <w:pStyle w:val="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3B2BEA"/>
    <w:multiLevelType w:val="hybridMultilevel"/>
    <w:tmpl w:val="B860BA9C"/>
    <w:lvl w:ilvl="0" w:tplc="63AE93B4">
      <w:start w:val="1"/>
      <w:numFmt w:val="bullet"/>
      <w:lvlText w:val=""/>
      <w:lvlJc w:val="left"/>
      <w:pPr>
        <w:tabs>
          <w:tab w:val="num" w:pos="473"/>
        </w:tabs>
        <w:ind w:left="454" w:hanging="341"/>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5746FA"/>
    <w:multiLevelType w:val="hybridMultilevel"/>
    <w:tmpl w:val="3862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5414E8"/>
    <w:multiLevelType w:val="hybridMultilevel"/>
    <w:tmpl w:val="93D6DE56"/>
    <w:lvl w:ilvl="0" w:tplc="63AE93B4">
      <w:start w:val="1"/>
      <w:numFmt w:val="bullet"/>
      <w:lvlText w:val=""/>
      <w:lvlJc w:val="left"/>
      <w:pPr>
        <w:tabs>
          <w:tab w:val="num" w:pos="473"/>
        </w:tabs>
        <w:ind w:left="454"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7B7E4A"/>
    <w:multiLevelType w:val="hybridMultilevel"/>
    <w:tmpl w:val="CC9654EC"/>
    <w:lvl w:ilvl="0" w:tplc="03204030">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BB650A4"/>
    <w:multiLevelType w:val="hybridMultilevel"/>
    <w:tmpl w:val="696261AA"/>
    <w:lvl w:ilvl="0" w:tplc="7C6A8650">
      <w:start w:val="1"/>
      <w:numFmt w:val="bullet"/>
      <w:pStyle w:val="Bullettextlastline"/>
      <w:lvlText w:val=""/>
      <w:lvlJc w:val="left"/>
      <w:pPr>
        <w:tabs>
          <w:tab w:val="num" w:pos="964"/>
        </w:tabs>
        <w:ind w:left="964" w:hanging="397"/>
      </w:pPr>
      <w:rPr>
        <w:rFonts w:ascii="Symbol" w:hAnsi="Symbol" w:hint="default"/>
        <w:color w:val="auto"/>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1C6B5AE8"/>
    <w:multiLevelType w:val="hybridMultilevel"/>
    <w:tmpl w:val="7C5C5F9E"/>
    <w:lvl w:ilvl="0" w:tplc="63AE93B4">
      <w:start w:val="1"/>
      <w:numFmt w:val="bullet"/>
      <w:lvlText w:val=""/>
      <w:lvlJc w:val="left"/>
      <w:pPr>
        <w:tabs>
          <w:tab w:val="num" w:pos="473"/>
        </w:tabs>
        <w:ind w:left="454"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7E41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28F734F"/>
    <w:multiLevelType w:val="multilevel"/>
    <w:tmpl w:val="C4A2FAC4"/>
    <w:lvl w:ilvl="0">
      <w:start w:val="1"/>
      <w:numFmt w:val="decimal"/>
      <w:pStyle w:val="1number1"/>
      <w:lvlText w:val="%1."/>
      <w:lvlJc w:val="left"/>
      <w:pPr>
        <w:tabs>
          <w:tab w:val="num" w:pos="567"/>
        </w:tabs>
        <w:ind w:left="567" w:hanging="567"/>
      </w:pPr>
      <w:rPr>
        <w:rFonts w:ascii="Frutiger LT Std 45 Light" w:hAnsi="Frutiger LT Std 45 Light" w:hint="default"/>
        <w:b w:val="0"/>
        <w:i w:val="0"/>
        <w:color w:val="auto"/>
        <w:sz w:val="22"/>
        <w:szCs w:val="2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28F772F"/>
    <w:multiLevelType w:val="hybridMultilevel"/>
    <w:tmpl w:val="2BF2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3E1E19"/>
    <w:multiLevelType w:val="hybridMultilevel"/>
    <w:tmpl w:val="DE12D73E"/>
    <w:lvl w:ilvl="0" w:tplc="63AE93B4">
      <w:start w:val="1"/>
      <w:numFmt w:val="bullet"/>
      <w:lvlText w:val=""/>
      <w:lvlJc w:val="left"/>
      <w:pPr>
        <w:tabs>
          <w:tab w:val="num" w:pos="473"/>
        </w:tabs>
        <w:ind w:left="454" w:hanging="341"/>
      </w:pPr>
      <w:rPr>
        <w:rFonts w:ascii="Symbol" w:hAnsi="Symbol" w:hint="default"/>
      </w:rPr>
    </w:lvl>
    <w:lvl w:ilvl="1" w:tplc="04090003" w:tentative="1">
      <w:start w:val="1"/>
      <w:numFmt w:val="bullet"/>
      <w:pStyle w:val="Style14"/>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315556"/>
    <w:multiLevelType w:val="hybridMultilevel"/>
    <w:tmpl w:val="F1CEFEA6"/>
    <w:lvl w:ilvl="0" w:tplc="4254E408">
      <w:start w:val="1"/>
      <w:numFmt w:val="bullet"/>
      <w:lvlText w:val=""/>
      <w:lvlJc w:val="left"/>
      <w:pPr>
        <w:tabs>
          <w:tab w:val="num" w:pos="833"/>
        </w:tabs>
        <w:ind w:left="833" w:hanging="360"/>
      </w:pPr>
      <w:rPr>
        <w:rFonts w:ascii="Symbol" w:hAnsi="Symbol" w:hint="default"/>
        <w:color w:val="auto"/>
      </w:rPr>
    </w:lvl>
    <w:lvl w:ilvl="1" w:tplc="08090003" w:tentative="1">
      <w:start w:val="1"/>
      <w:numFmt w:val="bullet"/>
      <w:lvlText w:val="o"/>
      <w:lvlJc w:val="left"/>
      <w:pPr>
        <w:tabs>
          <w:tab w:val="num" w:pos="1553"/>
        </w:tabs>
        <w:ind w:left="1553" w:hanging="360"/>
      </w:pPr>
      <w:rPr>
        <w:rFonts w:ascii="Courier New" w:hAnsi="Courier New" w:cs="Courier New" w:hint="default"/>
      </w:rPr>
    </w:lvl>
    <w:lvl w:ilvl="2" w:tplc="08090005" w:tentative="1">
      <w:start w:val="1"/>
      <w:numFmt w:val="bullet"/>
      <w:lvlText w:val=""/>
      <w:lvlJc w:val="left"/>
      <w:pPr>
        <w:tabs>
          <w:tab w:val="num" w:pos="2273"/>
        </w:tabs>
        <w:ind w:left="2273" w:hanging="360"/>
      </w:pPr>
      <w:rPr>
        <w:rFonts w:ascii="Wingdings" w:hAnsi="Wingdings" w:hint="default"/>
      </w:rPr>
    </w:lvl>
    <w:lvl w:ilvl="3" w:tplc="08090001" w:tentative="1">
      <w:start w:val="1"/>
      <w:numFmt w:val="bullet"/>
      <w:lvlText w:val=""/>
      <w:lvlJc w:val="left"/>
      <w:pPr>
        <w:tabs>
          <w:tab w:val="num" w:pos="2993"/>
        </w:tabs>
        <w:ind w:left="2993" w:hanging="360"/>
      </w:pPr>
      <w:rPr>
        <w:rFonts w:ascii="Symbol" w:hAnsi="Symbol" w:hint="default"/>
      </w:rPr>
    </w:lvl>
    <w:lvl w:ilvl="4" w:tplc="08090003" w:tentative="1">
      <w:start w:val="1"/>
      <w:numFmt w:val="bullet"/>
      <w:lvlText w:val="o"/>
      <w:lvlJc w:val="left"/>
      <w:pPr>
        <w:tabs>
          <w:tab w:val="num" w:pos="3713"/>
        </w:tabs>
        <w:ind w:left="3713" w:hanging="360"/>
      </w:pPr>
      <w:rPr>
        <w:rFonts w:ascii="Courier New" w:hAnsi="Courier New" w:cs="Courier New" w:hint="default"/>
      </w:rPr>
    </w:lvl>
    <w:lvl w:ilvl="5" w:tplc="08090005" w:tentative="1">
      <w:start w:val="1"/>
      <w:numFmt w:val="bullet"/>
      <w:lvlText w:val=""/>
      <w:lvlJc w:val="left"/>
      <w:pPr>
        <w:tabs>
          <w:tab w:val="num" w:pos="4433"/>
        </w:tabs>
        <w:ind w:left="4433" w:hanging="360"/>
      </w:pPr>
      <w:rPr>
        <w:rFonts w:ascii="Wingdings" w:hAnsi="Wingdings" w:hint="default"/>
      </w:rPr>
    </w:lvl>
    <w:lvl w:ilvl="6" w:tplc="08090001" w:tentative="1">
      <w:start w:val="1"/>
      <w:numFmt w:val="bullet"/>
      <w:lvlText w:val=""/>
      <w:lvlJc w:val="left"/>
      <w:pPr>
        <w:tabs>
          <w:tab w:val="num" w:pos="5153"/>
        </w:tabs>
        <w:ind w:left="5153" w:hanging="360"/>
      </w:pPr>
      <w:rPr>
        <w:rFonts w:ascii="Symbol" w:hAnsi="Symbol" w:hint="default"/>
      </w:rPr>
    </w:lvl>
    <w:lvl w:ilvl="7" w:tplc="08090003" w:tentative="1">
      <w:start w:val="1"/>
      <w:numFmt w:val="bullet"/>
      <w:lvlText w:val="o"/>
      <w:lvlJc w:val="left"/>
      <w:pPr>
        <w:tabs>
          <w:tab w:val="num" w:pos="5873"/>
        </w:tabs>
        <w:ind w:left="5873" w:hanging="360"/>
      </w:pPr>
      <w:rPr>
        <w:rFonts w:ascii="Courier New" w:hAnsi="Courier New" w:cs="Courier New" w:hint="default"/>
      </w:rPr>
    </w:lvl>
    <w:lvl w:ilvl="8" w:tplc="08090005" w:tentative="1">
      <w:start w:val="1"/>
      <w:numFmt w:val="bullet"/>
      <w:lvlText w:val=""/>
      <w:lvlJc w:val="left"/>
      <w:pPr>
        <w:tabs>
          <w:tab w:val="num" w:pos="6593"/>
        </w:tabs>
        <w:ind w:left="6593" w:hanging="360"/>
      </w:pPr>
      <w:rPr>
        <w:rFonts w:ascii="Wingdings" w:hAnsi="Wingdings" w:hint="default"/>
      </w:rPr>
    </w:lvl>
  </w:abstractNum>
  <w:abstractNum w:abstractNumId="24" w15:restartNumberingAfterBreak="0">
    <w:nsid w:val="2A4975F7"/>
    <w:multiLevelType w:val="multilevel"/>
    <w:tmpl w:val="CBB2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FF3D37"/>
    <w:multiLevelType w:val="multilevel"/>
    <w:tmpl w:val="3356E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5F14FF"/>
    <w:multiLevelType w:val="hybridMultilevel"/>
    <w:tmpl w:val="820A2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060CB2"/>
    <w:multiLevelType w:val="hybridMultilevel"/>
    <w:tmpl w:val="993A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A0371E"/>
    <w:multiLevelType w:val="hybridMultilevel"/>
    <w:tmpl w:val="63A2D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0A2FF6"/>
    <w:multiLevelType w:val="hybridMultilevel"/>
    <w:tmpl w:val="461286BC"/>
    <w:lvl w:ilvl="0" w:tplc="63AE93B4">
      <w:start w:val="1"/>
      <w:numFmt w:val="bullet"/>
      <w:lvlText w:val=""/>
      <w:lvlJc w:val="left"/>
      <w:pPr>
        <w:tabs>
          <w:tab w:val="num" w:pos="473"/>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EB0CBA"/>
    <w:multiLevelType w:val="hybridMultilevel"/>
    <w:tmpl w:val="C25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4D0167"/>
    <w:multiLevelType w:val="hybridMultilevel"/>
    <w:tmpl w:val="D1ECD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087D6E"/>
    <w:multiLevelType w:val="hybridMultilevel"/>
    <w:tmpl w:val="5928AEA4"/>
    <w:lvl w:ilvl="0" w:tplc="0F325666">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B763DA"/>
    <w:multiLevelType w:val="hybridMultilevel"/>
    <w:tmpl w:val="7D62B382"/>
    <w:lvl w:ilvl="0" w:tplc="AA88B8B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FD0504A"/>
    <w:multiLevelType w:val="multilevel"/>
    <w:tmpl w:val="EBB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C06D0A"/>
    <w:multiLevelType w:val="hybridMultilevel"/>
    <w:tmpl w:val="D2FC982A"/>
    <w:lvl w:ilvl="0" w:tplc="08090001">
      <w:start w:val="1"/>
      <w:numFmt w:val="bullet"/>
      <w:lvlText w:val=""/>
      <w:lvlJc w:val="left"/>
      <w:pPr>
        <w:tabs>
          <w:tab w:val="num" w:pos="855"/>
        </w:tabs>
        <w:ind w:left="855" w:hanging="360"/>
      </w:pPr>
      <w:rPr>
        <w:rFonts w:ascii="Symbol" w:hAnsi="Symbol" w:hint="default"/>
      </w:rPr>
    </w:lvl>
    <w:lvl w:ilvl="1" w:tplc="08090003" w:tentative="1">
      <w:start w:val="1"/>
      <w:numFmt w:val="bullet"/>
      <w:lvlText w:val="o"/>
      <w:lvlJc w:val="left"/>
      <w:pPr>
        <w:tabs>
          <w:tab w:val="num" w:pos="1575"/>
        </w:tabs>
        <w:ind w:left="1575" w:hanging="360"/>
      </w:pPr>
      <w:rPr>
        <w:rFonts w:ascii="Courier New" w:hAnsi="Courier New" w:cs="Courier New" w:hint="default"/>
      </w:rPr>
    </w:lvl>
    <w:lvl w:ilvl="2" w:tplc="08090005" w:tentative="1">
      <w:start w:val="1"/>
      <w:numFmt w:val="bullet"/>
      <w:lvlText w:val=""/>
      <w:lvlJc w:val="left"/>
      <w:pPr>
        <w:tabs>
          <w:tab w:val="num" w:pos="2295"/>
        </w:tabs>
        <w:ind w:left="2295" w:hanging="360"/>
      </w:pPr>
      <w:rPr>
        <w:rFonts w:ascii="Wingdings" w:hAnsi="Wingdings" w:hint="default"/>
      </w:rPr>
    </w:lvl>
    <w:lvl w:ilvl="3" w:tplc="08090001" w:tentative="1">
      <w:start w:val="1"/>
      <w:numFmt w:val="bullet"/>
      <w:lvlText w:val=""/>
      <w:lvlJc w:val="left"/>
      <w:pPr>
        <w:tabs>
          <w:tab w:val="num" w:pos="3015"/>
        </w:tabs>
        <w:ind w:left="3015" w:hanging="360"/>
      </w:pPr>
      <w:rPr>
        <w:rFonts w:ascii="Symbol" w:hAnsi="Symbol" w:hint="default"/>
      </w:rPr>
    </w:lvl>
    <w:lvl w:ilvl="4" w:tplc="08090003" w:tentative="1">
      <w:start w:val="1"/>
      <w:numFmt w:val="bullet"/>
      <w:lvlText w:val="o"/>
      <w:lvlJc w:val="left"/>
      <w:pPr>
        <w:tabs>
          <w:tab w:val="num" w:pos="3735"/>
        </w:tabs>
        <w:ind w:left="3735" w:hanging="360"/>
      </w:pPr>
      <w:rPr>
        <w:rFonts w:ascii="Courier New" w:hAnsi="Courier New" w:cs="Courier New" w:hint="default"/>
      </w:rPr>
    </w:lvl>
    <w:lvl w:ilvl="5" w:tplc="08090005" w:tentative="1">
      <w:start w:val="1"/>
      <w:numFmt w:val="bullet"/>
      <w:lvlText w:val=""/>
      <w:lvlJc w:val="left"/>
      <w:pPr>
        <w:tabs>
          <w:tab w:val="num" w:pos="4455"/>
        </w:tabs>
        <w:ind w:left="4455" w:hanging="360"/>
      </w:pPr>
      <w:rPr>
        <w:rFonts w:ascii="Wingdings" w:hAnsi="Wingdings" w:hint="default"/>
      </w:rPr>
    </w:lvl>
    <w:lvl w:ilvl="6" w:tplc="08090001" w:tentative="1">
      <w:start w:val="1"/>
      <w:numFmt w:val="bullet"/>
      <w:lvlText w:val=""/>
      <w:lvlJc w:val="left"/>
      <w:pPr>
        <w:tabs>
          <w:tab w:val="num" w:pos="5175"/>
        </w:tabs>
        <w:ind w:left="5175" w:hanging="360"/>
      </w:pPr>
      <w:rPr>
        <w:rFonts w:ascii="Symbol" w:hAnsi="Symbol" w:hint="default"/>
      </w:rPr>
    </w:lvl>
    <w:lvl w:ilvl="7" w:tplc="08090003" w:tentative="1">
      <w:start w:val="1"/>
      <w:numFmt w:val="bullet"/>
      <w:lvlText w:val="o"/>
      <w:lvlJc w:val="left"/>
      <w:pPr>
        <w:tabs>
          <w:tab w:val="num" w:pos="5895"/>
        </w:tabs>
        <w:ind w:left="5895" w:hanging="360"/>
      </w:pPr>
      <w:rPr>
        <w:rFonts w:ascii="Courier New" w:hAnsi="Courier New" w:cs="Courier New" w:hint="default"/>
      </w:rPr>
    </w:lvl>
    <w:lvl w:ilvl="8" w:tplc="08090005" w:tentative="1">
      <w:start w:val="1"/>
      <w:numFmt w:val="bullet"/>
      <w:lvlText w:val=""/>
      <w:lvlJc w:val="left"/>
      <w:pPr>
        <w:tabs>
          <w:tab w:val="num" w:pos="6615"/>
        </w:tabs>
        <w:ind w:left="6615" w:hanging="360"/>
      </w:pPr>
      <w:rPr>
        <w:rFonts w:ascii="Wingdings" w:hAnsi="Wingdings" w:hint="default"/>
      </w:rPr>
    </w:lvl>
  </w:abstractNum>
  <w:abstractNum w:abstractNumId="36" w15:restartNumberingAfterBreak="0">
    <w:nsid w:val="44982CCB"/>
    <w:multiLevelType w:val="hybridMultilevel"/>
    <w:tmpl w:val="5BEA8C58"/>
    <w:lvl w:ilvl="0" w:tplc="63AE93B4">
      <w:start w:val="1"/>
      <w:numFmt w:val="bullet"/>
      <w:lvlText w:val=""/>
      <w:lvlJc w:val="left"/>
      <w:pPr>
        <w:tabs>
          <w:tab w:val="num" w:pos="473"/>
        </w:tabs>
        <w:ind w:left="454"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026B59"/>
    <w:multiLevelType w:val="multilevel"/>
    <w:tmpl w:val="ED2A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032B8B"/>
    <w:multiLevelType w:val="hybridMultilevel"/>
    <w:tmpl w:val="3E44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473A84"/>
    <w:multiLevelType w:val="hybridMultilevel"/>
    <w:tmpl w:val="3710B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8578C1"/>
    <w:multiLevelType w:val="multilevel"/>
    <w:tmpl w:val="D132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291FE5"/>
    <w:multiLevelType w:val="hybridMultilevel"/>
    <w:tmpl w:val="9356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462BE1"/>
    <w:multiLevelType w:val="hybridMultilevel"/>
    <w:tmpl w:val="31F049F2"/>
    <w:lvl w:ilvl="0" w:tplc="63AE93B4">
      <w:start w:val="1"/>
      <w:numFmt w:val="bullet"/>
      <w:lvlText w:val=""/>
      <w:lvlJc w:val="left"/>
      <w:pPr>
        <w:tabs>
          <w:tab w:val="num" w:pos="473"/>
        </w:tabs>
        <w:ind w:left="454"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B3E5563"/>
    <w:multiLevelType w:val="hybridMultilevel"/>
    <w:tmpl w:val="20C48380"/>
    <w:lvl w:ilvl="0" w:tplc="63AE93B4">
      <w:start w:val="1"/>
      <w:numFmt w:val="bullet"/>
      <w:lvlText w:val=""/>
      <w:lvlJc w:val="left"/>
      <w:pPr>
        <w:tabs>
          <w:tab w:val="num" w:pos="473"/>
        </w:tabs>
        <w:ind w:left="454"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BED130B"/>
    <w:multiLevelType w:val="multilevel"/>
    <w:tmpl w:val="6F28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2CCED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D8529A9"/>
    <w:multiLevelType w:val="multilevel"/>
    <w:tmpl w:val="F15E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A47AA6"/>
    <w:multiLevelType w:val="hybridMultilevel"/>
    <w:tmpl w:val="EE7EEB80"/>
    <w:lvl w:ilvl="0" w:tplc="3014D97E">
      <w:start w:val="1"/>
      <w:numFmt w:val="bullet"/>
      <w:suff w:val="space"/>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8" w15:restartNumberingAfterBreak="0">
    <w:nsid w:val="54DB1C8F"/>
    <w:multiLevelType w:val="hybridMultilevel"/>
    <w:tmpl w:val="54F224DE"/>
    <w:lvl w:ilvl="0" w:tplc="3014D97E">
      <w:start w:val="1"/>
      <w:numFmt w:val="bullet"/>
      <w:suff w:val="spac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0A84046">
      <w:start w:val="3"/>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936450"/>
    <w:multiLevelType w:val="hybridMultilevel"/>
    <w:tmpl w:val="109C7FE6"/>
    <w:lvl w:ilvl="0" w:tplc="0CA2060A">
      <w:start w:val="1"/>
      <w:numFmt w:val="bullet"/>
      <w:pStyle w:val="Style4"/>
      <w:lvlText w:val=""/>
      <w:lvlJc w:val="left"/>
      <w:pPr>
        <w:ind w:left="1854" w:hanging="360"/>
      </w:pPr>
      <w:rPr>
        <w:rFonts w:ascii="Wingdings" w:hAnsi="Wingdings" w:hint="default"/>
        <w:color w:val="00B0F0"/>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0" w15:restartNumberingAfterBreak="0">
    <w:nsid w:val="5FA9318F"/>
    <w:multiLevelType w:val="hybridMultilevel"/>
    <w:tmpl w:val="FB0A670C"/>
    <w:lvl w:ilvl="0" w:tplc="40F427FE">
      <w:start w:val="1"/>
      <w:numFmt w:val="bullet"/>
      <w:lvlText w:val=""/>
      <w:lvlJc w:val="left"/>
      <w:pPr>
        <w:tabs>
          <w:tab w:val="num" w:pos="754"/>
        </w:tabs>
        <w:ind w:left="754" w:hanging="360"/>
      </w:pPr>
      <w:rPr>
        <w:rFonts w:ascii="Symbol" w:hAnsi="Symbol" w:hint="default"/>
      </w:rPr>
    </w:lvl>
    <w:lvl w:ilvl="1" w:tplc="AA88B8B4">
      <w:start w:val="1"/>
      <w:numFmt w:val="bullet"/>
      <w:lvlText w:val=""/>
      <w:lvlJc w:val="left"/>
      <w:pPr>
        <w:tabs>
          <w:tab w:val="num" w:pos="1440"/>
        </w:tabs>
        <w:ind w:left="1440" w:hanging="360"/>
      </w:pPr>
      <w:rPr>
        <w:rFonts w:ascii="Symbol" w:hAnsi="Symbol" w:hint="default"/>
        <w:color w:val="auto"/>
      </w:rPr>
    </w:lvl>
    <w:lvl w:ilvl="2" w:tplc="77D835CA" w:tentative="1">
      <w:start w:val="1"/>
      <w:numFmt w:val="bullet"/>
      <w:lvlText w:val=""/>
      <w:lvlJc w:val="left"/>
      <w:pPr>
        <w:tabs>
          <w:tab w:val="num" w:pos="2160"/>
        </w:tabs>
        <w:ind w:left="2160" w:hanging="360"/>
      </w:pPr>
      <w:rPr>
        <w:rFonts w:ascii="Wingdings" w:hAnsi="Wingdings" w:hint="default"/>
      </w:rPr>
    </w:lvl>
    <w:lvl w:ilvl="3" w:tplc="01822C0C" w:tentative="1">
      <w:start w:val="1"/>
      <w:numFmt w:val="bullet"/>
      <w:lvlText w:val=""/>
      <w:lvlJc w:val="left"/>
      <w:pPr>
        <w:tabs>
          <w:tab w:val="num" w:pos="2880"/>
        </w:tabs>
        <w:ind w:left="2880" w:hanging="360"/>
      </w:pPr>
      <w:rPr>
        <w:rFonts w:ascii="Symbol" w:hAnsi="Symbol" w:hint="default"/>
      </w:rPr>
    </w:lvl>
    <w:lvl w:ilvl="4" w:tplc="306046A4" w:tentative="1">
      <w:start w:val="1"/>
      <w:numFmt w:val="bullet"/>
      <w:lvlText w:val="o"/>
      <w:lvlJc w:val="left"/>
      <w:pPr>
        <w:tabs>
          <w:tab w:val="num" w:pos="3600"/>
        </w:tabs>
        <w:ind w:left="3600" w:hanging="360"/>
      </w:pPr>
      <w:rPr>
        <w:rFonts w:ascii="Courier New" w:hAnsi="Courier New" w:hint="default"/>
      </w:rPr>
    </w:lvl>
    <w:lvl w:ilvl="5" w:tplc="5EECE112" w:tentative="1">
      <w:start w:val="1"/>
      <w:numFmt w:val="bullet"/>
      <w:lvlText w:val=""/>
      <w:lvlJc w:val="left"/>
      <w:pPr>
        <w:tabs>
          <w:tab w:val="num" w:pos="4320"/>
        </w:tabs>
        <w:ind w:left="4320" w:hanging="360"/>
      </w:pPr>
      <w:rPr>
        <w:rFonts w:ascii="Wingdings" w:hAnsi="Wingdings" w:hint="default"/>
      </w:rPr>
    </w:lvl>
    <w:lvl w:ilvl="6" w:tplc="18328AF0" w:tentative="1">
      <w:start w:val="1"/>
      <w:numFmt w:val="bullet"/>
      <w:lvlText w:val=""/>
      <w:lvlJc w:val="left"/>
      <w:pPr>
        <w:tabs>
          <w:tab w:val="num" w:pos="5040"/>
        </w:tabs>
        <w:ind w:left="5040" w:hanging="360"/>
      </w:pPr>
      <w:rPr>
        <w:rFonts w:ascii="Symbol" w:hAnsi="Symbol" w:hint="default"/>
      </w:rPr>
    </w:lvl>
    <w:lvl w:ilvl="7" w:tplc="B62C3BEE" w:tentative="1">
      <w:start w:val="1"/>
      <w:numFmt w:val="bullet"/>
      <w:lvlText w:val="o"/>
      <w:lvlJc w:val="left"/>
      <w:pPr>
        <w:tabs>
          <w:tab w:val="num" w:pos="5760"/>
        </w:tabs>
        <w:ind w:left="5760" w:hanging="360"/>
      </w:pPr>
      <w:rPr>
        <w:rFonts w:ascii="Courier New" w:hAnsi="Courier New" w:hint="default"/>
      </w:rPr>
    </w:lvl>
    <w:lvl w:ilvl="8" w:tplc="8DA6B2AC"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10A1879"/>
    <w:multiLevelType w:val="hybridMultilevel"/>
    <w:tmpl w:val="3356F51E"/>
    <w:lvl w:ilvl="0" w:tplc="04090001">
      <w:start w:val="1"/>
      <w:numFmt w:val="bullet"/>
      <w:lvlText w:val=""/>
      <w:lvlJc w:val="left"/>
      <w:pPr>
        <w:tabs>
          <w:tab w:val="num" w:pos="2160"/>
        </w:tabs>
        <w:ind w:left="2141" w:hanging="341"/>
      </w:pPr>
      <w:rPr>
        <w:rFonts w:ascii="Symbol" w:hAnsi="Symbol" w:hint="default"/>
      </w:rPr>
    </w:lvl>
    <w:lvl w:ilvl="1" w:tplc="8B28F46C"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23D0A1C"/>
    <w:multiLevelType w:val="hybridMultilevel"/>
    <w:tmpl w:val="0024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417E70"/>
    <w:multiLevelType w:val="hybridMultilevel"/>
    <w:tmpl w:val="E7BA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F3AD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CD734BA"/>
    <w:multiLevelType w:val="hybridMultilevel"/>
    <w:tmpl w:val="FDD45A0C"/>
    <w:lvl w:ilvl="0" w:tplc="08090001">
      <w:numFmt w:val="bullet"/>
      <w:lvlText w:val="–"/>
      <w:lvlJc w:val="left"/>
      <w:pPr>
        <w:tabs>
          <w:tab w:val="num" w:pos="360"/>
        </w:tabs>
        <w:ind w:left="360" w:hanging="360"/>
      </w:pPr>
      <w:rPr>
        <w:rFonts w:ascii="Gill Sans" w:eastAsia="Informal Roman" w:hAnsi="Gill Sans" w:cs="Informal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DB5981"/>
    <w:multiLevelType w:val="hybridMultilevel"/>
    <w:tmpl w:val="0192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7F5531"/>
    <w:multiLevelType w:val="hybridMultilevel"/>
    <w:tmpl w:val="21843FA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8" w15:restartNumberingAfterBreak="0">
    <w:nsid w:val="72CE0AD0"/>
    <w:multiLevelType w:val="hybridMultilevel"/>
    <w:tmpl w:val="EE5288D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9" w15:restartNumberingAfterBreak="0">
    <w:nsid w:val="733A34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779740BB"/>
    <w:multiLevelType w:val="hybridMultilevel"/>
    <w:tmpl w:val="1050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526C1A"/>
    <w:multiLevelType w:val="hybridMultilevel"/>
    <w:tmpl w:val="6F42BD66"/>
    <w:styleLink w:val="ImportedStyle1"/>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2" w15:restartNumberingAfterBreak="0">
    <w:nsid w:val="7ACF3807"/>
    <w:multiLevelType w:val="hybridMultilevel"/>
    <w:tmpl w:val="316A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733DFB"/>
    <w:multiLevelType w:val="hybridMultilevel"/>
    <w:tmpl w:val="87985F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CA048C6"/>
    <w:multiLevelType w:val="hybridMultilevel"/>
    <w:tmpl w:val="22B84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CD4CE3"/>
    <w:multiLevelType w:val="hybridMultilevel"/>
    <w:tmpl w:val="E1E83B78"/>
    <w:lvl w:ilvl="0" w:tplc="4254E40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EFC66B6"/>
    <w:multiLevelType w:val="hybridMultilevel"/>
    <w:tmpl w:val="3C6C5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A76D24"/>
    <w:multiLevelType w:val="multilevel"/>
    <w:tmpl w:val="A6D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04483">
    <w:abstractNumId w:val="50"/>
  </w:num>
  <w:num w:numId="2" w16cid:durableId="1101102986">
    <w:abstractNumId w:val="36"/>
  </w:num>
  <w:num w:numId="3" w16cid:durableId="1214464223">
    <w:abstractNumId w:val="15"/>
  </w:num>
  <w:num w:numId="4" w16cid:durableId="2075204509">
    <w:abstractNumId w:val="22"/>
  </w:num>
  <w:num w:numId="5" w16cid:durableId="135882651">
    <w:abstractNumId w:val="42"/>
  </w:num>
  <w:num w:numId="6" w16cid:durableId="871260571">
    <w:abstractNumId w:val="11"/>
  </w:num>
  <w:num w:numId="7" w16cid:durableId="1426878273">
    <w:abstractNumId w:val="43"/>
  </w:num>
  <w:num w:numId="8" w16cid:durableId="1054937489">
    <w:abstractNumId w:val="13"/>
  </w:num>
  <w:num w:numId="9" w16cid:durableId="2009820871">
    <w:abstractNumId w:val="18"/>
  </w:num>
  <w:num w:numId="10" w16cid:durableId="137919816">
    <w:abstractNumId w:val="51"/>
  </w:num>
  <w:num w:numId="11" w16cid:durableId="1657803357">
    <w:abstractNumId w:val="20"/>
  </w:num>
  <w:num w:numId="12" w16cid:durableId="1280378305">
    <w:abstractNumId w:val="17"/>
  </w:num>
  <w:num w:numId="13" w16cid:durableId="966398367">
    <w:abstractNumId w:val="32"/>
  </w:num>
  <w:num w:numId="14" w16cid:durableId="1069377989">
    <w:abstractNumId w:val="0"/>
  </w:num>
  <w:num w:numId="15" w16cid:durableId="416288751">
    <w:abstractNumId w:val="12"/>
  </w:num>
  <w:num w:numId="16" w16cid:durableId="1572345975">
    <w:abstractNumId w:val="65"/>
  </w:num>
  <w:num w:numId="17" w16cid:durableId="686106157">
    <w:abstractNumId w:val="1"/>
  </w:num>
  <w:num w:numId="18" w16cid:durableId="1018585430">
    <w:abstractNumId w:val="55"/>
  </w:num>
  <w:num w:numId="19" w16cid:durableId="621500679">
    <w:abstractNumId w:val="29"/>
  </w:num>
  <w:num w:numId="20" w16cid:durableId="904142615">
    <w:abstractNumId w:val="35"/>
  </w:num>
  <w:num w:numId="21" w16cid:durableId="451828209">
    <w:abstractNumId w:val="23"/>
  </w:num>
  <w:num w:numId="22" w16cid:durableId="327054138">
    <w:abstractNumId w:val="16"/>
  </w:num>
  <w:num w:numId="23" w16cid:durableId="1445879607">
    <w:abstractNumId w:val="2"/>
  </w:num>
  <w:num w:numId="24" w16cid:durableId="2081559169">
    <w:abstractNumId w:val="49"/>
  </w:num>
  <w:num w:numId="25" w16cid:durableId="2118210052">
    <w:abstractNumId w:val="48"/>
  </w:num>
  <w:num w:numId="26" w16cid:durableId="580876406">
    <w:abstractNumId w:val="47"/>
  </w:num>
  <w:num w:numId="27" w16cid:durableId="886575337">
    <w:abstractNumId w:val="58"/>
  </w:num>
  <w:num w:numId="28" w16cid:durableId="798761715">
    <w:abstractNumId w:val="3"/>
  </w:num>
  <w:num w:numId="29" w16cid:durableId="1304196909">
    <w:abstractNumId w:val="8"/>
  </w:num>
  <w:num w:numId="30" w16cid:durableId="1046101290">
    <w:abstractNumId w:val="4"/>
  </w:num>
  <w:num w:numId="31" w16cid:durableId="404958609">
    <w:abstractNumId w:val="61"/>
  </w:num>
  <w:num w:numId="32" w16cid:durableId="1193227334">
    <w:abstractNumId w:val="38"/>
  </w:num>
  <w:num w:numId="33" w16cid:durableId="1896620071">
    <w:abstractNumId w:val="28"/>
  </w:num>
  <w:num w:numId="34" w16cid:durableId="2097900756">
    <w:abstractNumId w:val="33"/>
  </w:num>
  <w:num w:numId="35" w16cid:durableId="365106578">
    <w:abstractNumId w:val="26"/>
  </w:num>
  <w:num w:numId="36" w16cid:durableId="1484858709">
    <w:abstractNumId w:val="52"/>
  </w:num>
  <w:num w:numId="37" w16cid:durableId="556286904">
    <w:abstractNumId w:val="45"/>
  </w:num>
  <w:num w:numId="38" w16cid:durableId="885482208">
    <w:abstractNumId w:val="64"/>
  </w:num>
  <w:num w:numId="39" w16cid:durableId="378092705">
    <w:abstractNumId w:val="27"/>
  </w:num>
  <w:num w:numId="40" w16cid:durableId="1299342669">
    <w:abstractNumId w:val="66"/>
  </w:num>
  <w:num w:numId="41" w16cid:durableId="1961187191">
    <w:abstractNumId w:val="30"/>
  </w:num>
  <w:num w:numId="42" w16cid:durableId="1197082944">
    <w:abstractNumId w:val="62"/>
  </w:num>
  <w:num w:numId="43" w16cid:durableId="601039057">
    <w:abstractNumId w:val="14"/>
  </w:num>
  <w:num w:numId="44" w16cid:durableId="1598712921">
    <w:abstractNumId w:val="53"/>
  </w:num>
  <w:num w:numId="45" w16cid:durableId="463739928">
    <w:abstractNumId w:val="67"/>
  </w:num>
  <w:num w:numId="46" w16cid:durableId="1082988460">
    <w:abstractNumId w:val="41"/>
  </w:num>
  <w:num w:numId="47" w16cid:durableId="1767115086">
    <w:abstractNumId w:val="31"/>
  </w:num>
  <w:num w:numId="48" w16cid:durableId="706684910">
    <w:abstractNumId w:val="21"/>
  </w:num>
  <w:num w:numId="49" w16cid:durableId="1404987395">
    <w:abstractNumId w:val="37"/>
  </w:num>
  <w:num w:numId="50" w16cid:durableId="1295217918">
    <w:abstractNumId w:val="6"/>
  </w:num>
  <w:num w:numId="51" w16cid:durableId="337077086">
    <w:abstractNumId w:val="7"/>
  </w:num>
  <w:num w:numId="52" w16cid:durableId="1870753747">
    <w:abstractNumId w:val="44"/>
  </w:num>
  <w:num w:numId="53" w16cid:durableId="815608578">
    <w:abstractNumId w:val="40"/>
  </w:num>
  <w:num w:numId="54" w16cid:durableId="602685304">
    <w:abstractNumId w:val="10"/>
  </w:num>
  <w:num w:numId="55" w16cid:durableId="2118257862">
    <w:abstractNumId w:val="24"/>
  </w:num>
  <w:num w:numId="56" w16cid:durableId="921642191">
    <w:abstractNumId w:val="34"/>
  </w:num>
  <w:num w:numId="57" w16cid:durableId="2108187152">
    <w:abstractNumId w:val="63"/>
  </w:num>
  <w:num w:numId="58" w16cid:durableId="51663449">
    <w:abstractNumId w:val="46"/>
  </w:num>
  <w:num w:numId="59" w16cid:durableId="244462984">
    <w:abstractNumId w:val="56"/>
  </w:num>
  <w:num w:numId="60" w16cid:durableId="733166695">
    <w:abstractNumId w:val="5"/>
  </w:num>
  <w:num w:numId="61" w16cid:durableId="1642151005">
    <w:abstractNumId w:val="9"/>
  </w:num>
  <w:num w:numId="62" w16cid:durableId="354692101">
    <w:abstractNumId w:val="57"/>
  </w:num>
  <w:num w:numId="63" w16cid:durableId="1355107507">
    <w:abstractNumId w:val="39"/>
  </w:num>
  <w:num w:numId="64" w16cid:durableId="1564440319">
    <w:abstractNumId w:val="60"/>
  </w:num>
  <w:num w:numId="65" w16cid:durableId="1849129147">
    <w:abstractNumId w:val="25"/>
  </w:num>
  <w:num w:numId="66" w16cid:durableId="814034030">
    <w:abstractNumId w:val="54"/>
  </w:num>
  <w:num w:numId="67" w16cid:durableId="244262627">
    <w:abstractNumId w:val="19"/>
  </w:num>
  <w:num w:numId="68" w16cid:durableId="810710521">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0E"/>
    <w:rsid w:val="000000D1"/>
    <w:rsid w:val="0000019E"/>
    <w:rsid w:val="0000025E"/>
    <w:rsid w:val="00000332"/>
    <w:rsid w:val="0000049E"/>
    <w:rsid w:val="00000639"/>
    <w:rsid w:val="0000066F"/>
    <w:rsid w:val="000007E1"/>
    <w:rsid w:val="0000082D"/>
    <w:rsid w:val="000009AC"/>
    <w:rsid w:val="00000B0D"/>
    <w:rsid w:val="00000C6A"/>
    <w:rsid w:val="00000CDD"/>
    <w:rsid w:val="00000D47"/>
    <w:rsid w:val="00000ECF"/>
    <w:rsid w:val="00000F73"/>
    <w:rsid w:val="00000FD7"/>
    <w:rsid w:val="00001038"/>
    <w:rsid w:val="0000116F"/>
    <w:rsid w:val="00001361"/>
    <w:rsid w:val="00001423"/>
    <w:rsid w:val="0000158A"/>
    <w:rsid w:val="0000161B"/>
    <w:rsid w:val="000017C9"/>
    <w:rsid w:val="00001942"/>
    <w:rsid w:val="000019F7"/>
    <w:rsid w:val="00001BC8"/>
    <w:rsid w:val="00001E2F"/>
    <w:rsid w:val="00001F63"/>
    <w:rsid w:val="00002123"/>
    <w:rsid w:val="000021F1"/>
    <w:rsid w:val="000022F6"/>
    <w:rsid w:val="000023CF"/>
    <w:rsid w:val="000023FF"/>
    <w:rsid w:val="00002461"/>
    <w:rsid w:val="0000269A"/>
    <w:rsid w:val="00002900"/>
    <w:rsid w:val="00002A72"/>
    <w:rsid w:val="00002B3E"/>
    <w:rsid w:val="00002D49"/>
    <w:rsid w:val="00002DF2"/>
    <w:rsid w:val="00002E82"/>
    <w:rsid w:val="00002F3A"/>
    <w:rsid w:val="0000335D"/>
    <w:rsid w:val="00003470"/>
    <w:rsid w:val="00003793"/>
    <w:rsid w:val="0000385D"/>
    <w:rsid w:val="00003981"/>
    <w:rsid w:val="00003B95"/>
    <w:rsid w:val="00003D53"/>
    <w:rsid w:val="00003E16"/>
    <w:rsid w:val="00003E85"/>
    <w:rsid w:val="00004015"/>
    <w:rsid w:val="00004209"/>
    <w:rsid w:val="0000425D"/>
    <w:rsid w:val="000043DE"/>
    <w:rsid w:val="000043F1"/>
    <w:rsid w:val="00004410"/>
    <w:rsid w:val="00004874"/>
    <w:rsid w:val="00004907"/>
    <w:rsid w:val="00004A04"/>
    <w:rsid w:val="00004A31"/>
    <w:rsid w:val="00004A46"/>
    <w:rsid w:val="00004CC0"/>
    <w:rsid w:val="00004D4F"/>
    <w:rsid w:val="00004FEC"/>
    <w:rsid w:val="000050DE"/>
    <w:rsid w:val="0000512E"/>
    <w:rsid w:val="0000545D"/>
    <w:rsid w:val="0000549F"/>
    <w:rsid w:val="0000555E"/>
    <w:rsid w:val="00005654"/>
    <w:rsid w:val="000057A7"/>
    <w:rsid w:val="000058C6"/>
    <w:rsid w:val="000059C1"/>
    <w:rsid w:val="00005AF2"/>
    <w:rsid w:val="00005B1E"/>
    <w:rsid w:val="00005FF1"/>
    <w:rsid w:val="000063A8"/>
    <w:rsid w:val="00006505"/>
    <w:rsid w:val="00006537"/>
    <w:rsid w:val="00006620"/>
    <w:rsid w:val="0000687D"/>
    <w:rsid w:val="00006886"/>
    <w:rsid w:val="00006951"/>
    <w:rsid w:val="000069F1"/>
    <w:rsid w:val="000069F8"/>
    <w:rsid w:val="00006D85"/>
    <w:rsid w:val="00006F47"/>
    <w:rsid w:val="0000700C"/>
    <w:rsid w:val="0000705A"/>
    <w:rsid w:val="000070B6"/>
    <w:rsid w:val="000070BF"/>
    <w:rsid w:val="00007439"/>
    <w:rsid w:val="000074B9"/>
    <w:rsid w:val="000074C7"/>
    <w:rsid w:val="00007509"/>
    <w:rsid w:val="0000777E"/>
    <w:rsid w:val="00007873"/>
    <w:rsid w:val="00007A03"/>
    <w:rsid w:val="00007C21"/>
    <w:rsid w:val="00007CB5"/>
    <w:rsid w:val="00007E02"/>
    <w:rsid w:val="00007FCD"/>
    <w:rsid w:val="000104B0"/>
    <w:rsid w:val="000104FE"/>
    <w:rsid w:val="00010512"/>
    <w:rsid w:val="000105E8"/>
    <w:rsid w:val="000106EA"/>
    <w:rsid w:val="00010D45"/>
    <w:rsid w:val="00010E87"/>
    <w:rsid w:val="00010FFC"/>
    <w:rsid w:val="000112E1"/>
    <w:rsid w:val="00011525"/>
    <w:rsid w:val="00011559"/>
    <w:rsid w:val="000115A5"/>
    <w:rsid w:val="000117C8"/>
    <w:rsid w:val="00011975"/>
    <w:rsid w:val="00011BEC"/>
    <w:rsid w:val="00011BED"/>
    <w:rsid w:val="00011CBC"/>
    <w:rsid w:val="00011EF2"/>
    <w:rsid w:val="00011EF6"/>
    <w:rsid w:val="00011F4F"/>
    <w:rsid w:val="00012074"/>
    <w:rsid w:val="000120D7"/>
    <w:rsid w:val="000121BE"/>
    <w:rsid w:val="000123A2"/>
    <w:rsid w:val="000123B8"/>
    <w:rsid w:val="00012757"/>
    <w:rsid w:val="000127F2"/>
    <w:rsid w:val="000128F3"/>
    <w:rsid w:val="00012A00"/>
    <w:rsid w:val="00012A2E"/>
    <w:rsid w:val="00012B63"/>
    <w:rsid w:val="00012C41"/>
    <w:rsid w:val="00012E00"/>
    <w:rsid w:val="00012E6C"/>
    <w:rsid w:val="0001310B"/>
    <w:rsid w:val="0001311E"/>
    <w:rsid w:val="000131F1"/>
    <w:rsid w:val="000131F2"/>
    <w:rsid w:val="000134B6"/>
    <w:rsid w:val="0001356A"/>
    <w:rsid w:val="000135A9"/>
    <w:rsid w:val="000135BD"/>
    <w:rsid w:val="000135EE"/>
    <w:rsid w:val="00013923"/>
    <w:rsid w:val="00013A5E"/>
    <w:rsid w:val="00013BEB"/>
    <w:rsid w:val="00013C07"/>
    <w:rsid w:val="00013D5E"/>
    <w:rsid w:val="00013DC5"/>
    <w:rsid w:val="00013DF3"/>
    <w:rsid w:val="00013F6F"/>
    <w:rsid w:val="0001416C"/>
    <w:rsid w:val="00014209"/>
    <w:rsid w:val="000144D4"/>
    <w:rsid w:val="00014503"/>
    <w:rsid w:val="00014849"/>
    <w:rsid w:val="00014895"/>
    <w:rsid w:val="00014B91"/>
    <w:rsid w:val="00014B9B"/>
    <w:rsid w:val="00014D86"/>
    <w:rsid w:val="00014D8E"/>
    <w:rsid w:val="00014E08"/>
    <w:rsid w:val="00014EB7"/>
    <w:rsid w:val="000150F0"/>
    <w:rsid w:val="00015173"/>
    <w:rsid w:val="00015199"/>
    <w:rsid w:val="00015256"/>
    <w:rsid w:val="000152C5"/>
    <w:rsid w:val="00015324"/>
    <w:rsid w:val="000153F2"/>
    <w:rsid w:val="000156AE"/>
    <w:rsid w:val="0001572B"/>
    <w:rsid w:val="00015866"/>
    <w:rsid w:val="00015882"/>
    <w:rsid w:val="00015973"/>
    <w:rsid w:val="0001599B"/>
    <w:rsid w:val="00015A04"/>
    <w:rsid w:val="00015A0D"/>
    <w:rsid w:val="00015A27"/>
    <w:rsid w:val="00015A69"/>
    <w:rsid w:val="00015AE0"/>
    <w:rsid w:val="00015B1A"/>
    <w:rsid w:val="00015CD1"/>
    <w:rsid w:val="0001601B"/>
    <w:rsid w:val="00016069"/>
    <w:rsid w:val="00016318"/>
    <w:rsid w:val="0001682A"/>
    <w:rsid w:val="00016850"/>
    <w:rsid w:val="00016C9C"/>
    <w:rsid w:val="00016F71"/>
    <w:rsid w:val="00016FB5"/>
    <w:rsid w:val="00017001"/>
    <w:rsid w:val="00017082"/>
    <w:rsid w:val="00017147"/>
    <w:rsid w:val="000171C6"/>
    <w:rsid w:val="0001737C"/>
    <w:rsid w:val="00017448"/>
    <w:rsid w:val="000175C8"/>
    <w:rsid w:val="00017668"/>
    <w:rsid w:val="0001795D"/>
    <w:rsid w:val="000179B8"/>
    <w:rsid w:val="00017A34"/>
    <w:rsid w:val="00017AC9"/>
    <w:rsid w:val="00017D67"/>
    <w:rsid w:val="00017F91"/>
    <w:rsid w:val="000201BC"/>
    <w:rsid w:val="00020271"/>
    <w:rsid w:val="000203CD"/>
    <w:rsid w:val="000204B8"/>
    <w:rsid w:val="000207CF"/>
    <w:rsid w:val="000207D2"/>
    <w:rsid w:val="00020815"/>
    <w:rsid w:val="00020824"/>
    <w:rsid w:val="00020859"/>
    <w:rsid w:val="0002099B"/>
    <w:rsid w:val="00020A8E"/>
    <w:rsid w:val="00020C2B"/>
    <w:rsid w:val="00020F25"/>
    <w:rsid w:val="00021059"/>
    <w:rsid w:val="000211FF"/>
    <w:rsid w:val="000213B5"/>
    <w:rsid w:val="0002142B"/>
    <w:rsid w:val="0002154A"/>
    <w:rsid w:val="00021648"/>
    <w:rsid w:val="000217CF"/>
    <w:rsid w:val="00021974"/>
    <w:rsid w:val="00021BD6"/>
    <w:rsid w:val="00021CD0"/>
    <w:rsid w:val="0002206E"/>
    <w:rsid w:val="0002225C"/>
    <w:rsid w:val="00022282"/>
    <w:rsid w:val="00022295"/>
    <w:rsid w:val="0002236D"/>
    <w:rsid w:val="00022492"/>
    <w:rsid w:val="000224EB"/>
    <w:rsid w:val="00022671"/>
    <w:rsid w:val="0002278E"/>
    <w:rsid w:val="00022833"/>
    <w:rsid w:val="00022854"/>
    <w:rsid w:val="0002286F"/>
    <w:rsid w:val="00022925"/>
    <w:rsid w:val="00022BAC"/>
    <w:rsid w:val="00022BCA"/>
    <w:rsid w:val="00022E15"/>
    <w:rsid w:val="00022EC5"/>
    <w:rsid w:val="00022FC6"/>
    <w:rsid w:val="00023473"/>
    <w:rsid w:val="000236A3"/>
    <w:rsid w:val="00023A4A"/>
    <w:rsid w:val="00023A7B"/>
    <w:rsid w:val="00023BE0"/>
    <w:rsid w:val="00023C16"/>
    <w:rsid w:val="00024065"/>
    <w:rsid w:val="00024151"/>
    <w:rsid w:val="000242E4"/>
    <w:rsid w:val="000246D3"/>
    <w:rsid w:val="000247B8"/>
    <w:rsid w:val="000248A5"/>
    <w:rsid w:val="00024AA6"/>
    <w:rsid w:val="00024B08"/>
    <w:rsid w:val="00024DFD"/>
    <w:rsid w:val="00025152"/>
    <w:rsid w:val="00025255"/>
    <w:rsid w:val="000253AA"/>
    <w:rsid w:val="0002561C"/>
    <w:rsid w:val="0002567D"/>
    <w:rsid w:val="00025987"/>
    <w:rsid w:val="000259AA"/>
    <w:rsid w:val="00025AC4"/>
    <w:rsid w:val="00025BC3"/>
    <w:rsid w:val="00025CD2"/>
    <w:rsid w:val="000261E5"/>
    <w:rsid w:val="00026214"/>
    <w:rsid w:val="000262DA"/>
    <w:rsid w:val="000265C5"/>
    <w:rsid w:val="0002674A"/>
    <w:rsid w:val="000267B3"/>
    <w:rsid w:val="000269B6"/>
    <w:rsid w:val="00026B27"/>
    <w:rsid w:val="00026CB8"/>
    <w:rsid w:val="00026D38"/>
    <w:rsid w:val="00026E81"/>
    <w:rsid w:val="00026F76"/>
    <w:rsid w:val="00026F87"/>
    <w:rsid w:val="0002743D"/>
    <w:rsid w:val="00027480"/>
    <w:rsid w:val="00027599"/>
    <w:rsid w:val="000278E8"/>
    <w:rsid w:val="0002798E"/>
    <w:rsid w:val="000279AF"/>
    <w:rsid w:val="00027D09"/>
    <w:rsid w:val="00027DA3"/>
    <w:rsid w:val="000302C3"/>
    <w:rsid w:val="00030454"/>
    <w:rsid w:val="0003046F"/>
    <w:rsid w:val="000304F1"/>
    <w:rsid w:val="0003051A"/>
    <w:rsid w:val="00030532"/>
    <w:rsid w:val="000305A1"/>
    <w:rsid w:val="000305D0"/>
    <w:rsid w:val="000306F5"/>
    <w:rsid w:val="00030770"/>
    <w:rsid w:val="00030779"/>
    <w:rsid w:val="00030BE2"/>
    <w:rsid w:val="00030D0E"/>
    <w:rsid w:val="00030DEA"/>
    <w:rsid w:val="00030F09"/>
    <w:rsid w:val="000311CA"/>
    <w:rsid w:val="000312AB"/>
    <w:rsid w:val="0003138C"/>
    <w:rsid w:val="00031484"/>
    <w:rsid w:val="0003165F"/>
    <w:rsid w:val="0003166B"/>
    <w:rsid w:val="00031704"/>
    <w:rsid w:val="00031754"/>
    <w:rsid w:val="000317AC"/>
    <w:rsid w:val="0003195A"/>
    <w:rsid w:val="00031A6A"/>
    <w:rsid w:val="00031B63"/>
    <w:rsid w:val="00031BAF"/>
    <w:rsid w:val="00031BD5"/>
    <w:rsid w:val="00031CB7"/>
    <w:rsid w:val="00031CF6"/>
    <w:rsid w:val="00031DEB"/>
    <w:rsid w:val="00031ECC"/>
    <w:rsid w:val="00031EF9"/>
    <w:rsid w:val="00031F4B"/>
    <w:rsid w:val="00031F64"/>
    <w:rsid w:val="00031FFD"/>
    <w:rsid w:val="000320EE"/>
    <w:rsid w:val="00032102"/>
    <w:rsid w:val="0003228A"/>
    <w:rsid w:val="000323A5"/>
    <w:rsid w:val="00032450"/>
    <w:rsid w:val="00032552"/>
    <w:rsid w:val="00032572"/>
    <w:rsid w:val="000325A7"/>
    <w:rsid w:val="000325B2"/>
    <w:rsid w:val="0003262D"/>
    <w:rsid w:val="00032783"/>
    <w:rsid w:val="00032B53"/>
    <w:rsid w:val="00032CA6"/>
    <w:rsid w:val="00032DA7"/>
    <w:rsid w:val="00033124"/>
    <w:rsid w:val="00033145"/>
    <w:rsid w:val="00033216"/>
    <w:rsid w:val="00033225"/>
    <w:rsid w:val="000337FF"/>
    <w:rsid w:val="00033890"/>
    <w:rsid w:val="000338C3"/>
    <w:rsid w:val="000338F1"/>
    <w:rsid w:val="00033BAB"/>
    <w:rsid w:val="00033BAF"/>
    <w:rsid w:val="00033C0E"/>
    <w:rsid w:val="00033D80"/>
    <w:rsid w:val="00033E24"/>
    <w:rsid w:val="00033E29"/>
    <w:rsid w:val="00033FC8"/>
    <w:rsid w:val="000340BC"/>
    <w:rsid w:val="000342D0"/>
    <w:rsid w:val="000342E0"/>
    <w:rsid w:val="000343E1"/>
    <w:rsid w:val="00034791"/>
    <w:rsid w:val="000347B2"/>
    <w:rsid w:val="00034BD8"/>
    <w:rsid w:val="00034D8C"/>
    <w:rsid w:val="00034FAA"/>
    <w:rsid w:val="000350B9"/>
    <w:rsid w:val="000352AA"/>
    <w:rsid w:val="000353C5"/>
    <w:rsid w:val="00035455"/>
    <w:rsid w:val="00035464"/>
    <w:rsid w:val="0003554B"/>
    <w:rsid w:val="000355EA"/>
    <w:rsid w:val="00035620"/>
    <w:rsid w:val="00035AFF"/>
    <w:rsid w:val="00035B31"/>
    <w:rsid w:val="00035BAB"/>
    <w:rsid w:val="00035DA4"/>
    <w:rsid w:val="00035E73"/>
    <w:rsid w:val="00035F87"/>
    <w:rsid w:val="00036074"/>
    <w:rsid w:val="00036197"/>
    <w:rsid w:val="00036478"/>
    <w:rsid w:val="000366A2"/>
    <w:rsid w:val="0003676B"/>
    <w:rsid w:val="0003681D"/>
    <w:rsid w:val="00036999"/>
    <w:rsid w:val="00036E78"/>
    <w:rsid w:val="00036F1E"/>
    <w:rsid w:val="0003720F"/>
    <w:rsid w:val="0003724F"/>
    <w:rsid w:val="00037495"/>
    <w:rsid w:val="000376FF"/>
    <w:rsid w:val="00037851"/>
    <w:rsid w:val="0003785B"/>
    <w:rsid w:val="000378F8"/>
    <w:rsid w:val="00037B5F"/>
    <w:rsid w:val="00037C4F"/>
    <w:rsid w:val="00037C72"/>
    <w:rsid w:val="00037DBD"/>
    <w:rsid w:val="00037E06"/>
    <w:rsid w:val="00037F2F"/>
    <w:rsid w:val="00037FA0"/>
    <w:rsid w:val="0004019C"/>
    <w:rsid w:val="000401A1"/>
    <w:rsid w:val="00040293"/>
    <w:rsid w:val="00040390"/>
    <w:rsid w:val="00040441"/>
    <w:rsid w:val="000404F0"/>
    <w:rsid w:val="00040505"/>
    <w:rsid w:val="000405C8"/>
    <w:rsid w:val="00040809"/>
    <w:rsid w:val="0004091A"/>
    <w:rsid w:val="00040A42"/>
    <w:rsid w:val="00040ABC"/>
    <w:rsid w:val="00040AF2"/>
    <w:rsid w:val="00040B56"/>
    <w:rsid w:val="00040F19"/>
    <w:rsid w:val="0004105E"/>
    <w:rsid w:val="00041132"/>
    <w:rsid w:val="000411C5"/>
    <w:rsid w:val="00041538"/>
    <w:rsid w:val="00041B05"/>
    <w:rsid w:val="00041F13"/>
    <w:rsid w:val="00042098"/>
    <w:rsid w:val="000421E5"/>
    <w:rsid w:val="00042422"/>
    <w:rsid w:val="000424E8"/>
    <w:rsid w:val="00042782"/>
    <w:rsid w:val="000427BE"/>
    <w:rsid w:val="000428F5"/>
    <w:rsid w:val="00042A02"/>
    <w:rsid w:val="00042BF4"/>
    <w:rsid w:val="000431B3"/>
    <w:rsid w:val="000433EC"/>
    <w:rsid w:val="00043746"/>
    <w:rsid w:val="00043878"/>
    <w:rsid w:val="0004419D"/>
    <w:rsid w:val="000442C8"/>
    <w:rsid w:val="000443E6"/>
    <w:rsid w:val="00044416"/>
    <w:rsid w:val="000444F7"/>
    <w:rsid w:val="00044541"/>
    <w:rsid w:val="0004455C"/>
    <w:rsid w:val="0004460A"/>
    <w:rsid w:val="000446F7"/>
    <w:rsid w:val="00044893"/>
    <w:rsid w:val="00044957"/>
    <w:rsid w:val="00044992"/>
    <w:rsid w:val="0004499E"/>
    <w:rsid w:val="000449F0"/>
    <w:rsid w:val="00044B33"/>
    <w:rsid w:val="00044B62"/>
    <w:rsid w:val="00044BF6"/>
    <w:rsid w:val="00044E70"/>
    <w:rsid w:val="00045103"/>
    <w:rsid w:val="00045156"/>
    <w:rsid w:val="0004517A"/>
    <w:rsid w:val="00045287"/>
    <w:rsid w:val="00045462"/>
    <w:rsid w:val="00045520"/>
    <w:rsid w:val="000455FF"/>
    <w:rsid w:val="0004560A"/>
    <w:rsid w:val="0004587F"/>
    <w:rsid w:val="00045A0D"/>
    <w:rsid w:val="00045A39"/>
    <w:rsid w:val="00045D44"/>
    <w:rsid w:val="00045D6B"/>
    <w:rsid w:val="00045D9D"/>
    <w:rsid w:val="0004605E"/>
    <w:rsid w:val="00046395"/>
    <w:rsid w:val="0004656B"/>
    <w:rsid w:val="00046A34"/>
    <w:rsid w:val="00046D63"/>
    <w:rsid w:val="00046FDB"/>
    <w:rsid w:val="0004719E"/>
    <w:rsid w:val="000471A0"/>
    <w:rsid w:val="000471C0"/>
    <w:rsid w:val="00047266"/>
    <w:rsid w:val="000472AB"/>
    <w:rsid w:val="00047754"/>
    <w:rsid w:val="00047776"/>
    <w:rsid w:val="00047894"/>
    <w:rsid w:val="0004792C"/>
    <w:rsid w:val="0004796B"/>
    <w:rsid w:val="00047B7E"/>
    <w:rsid w:val="00047D74"/>
    <w:rsid w:val="00047DB0"/>
    <w:rsid w:val="00047E31"/>
    <w:rsid w:val="00047E8F"/>
    <w:rsid w:val="000500F7"/>
    <w:rsid w:val="000501AF"/>
    <w:rsid w:val="000501B6"/>
    <w:rsid w:val="000502B3"/>
    <w:rsid w:val="0005043E"/>
    <w:rsid w:val="000504DC"/>
    <w:rsid w:val="0005051B"/>
    <w:rsid w:val="00050666"/>
    <w:rsid w:val="00050693"/>
    <w:rsid w:val="000506D1"/>
    <w:rsid w:val="00050ABA"/>
    <w:rsid w:val="00050AD4"/>
    <w:rsid w:val="00050B64"/>
    <w:rsid w:val="00050BF0"/>
    <w:rsid w:val="00050D28"/>
    <w:rsid w:val="00050DC4"/>
    <w:rsid w:val="0005105B"/>
    <w:rsid w:val="00051168"/>
    <w:rsid w:val="00051300"/>
    <w:rsid w:val="000514E2"/>
    <w:rsid w:val="00051553"/>
    <w:rsid w:val="000515A9"/>
    <w:rsid w:val="000515F4"/>
    <w:rsid w:val="0005183B"/>
    <w:rsid w:val="00051982"/>
    <w:rsid w:val="00051A55"/>
    <w:rsid w:val="00051BFF"/>
    <w:rsid w:val="00051C6D"/>
    <w:rsid w:val="00051ED1"/>
    <w:rsid w:val="00051F75"/>
    <w:rsid w:val="00052111"/>
    <w:rsid w:val="0005274F"/>
    <w:rsid w:val="0005276F"/>
    <w:rsid w:val="00052935"/>
    <w:rsid w:val="00052A4D"/>
    <w:rsid w:val="00052D59"/>
    <w:rsid w:val="00052DA8"/>
    <w:rsid w:val="0005327E"/>
    <w:rsid w:val="000532A0"/>
    <w:rsid w:val="000534A0"/>
    <w:rsid w:val="000538E1"/>
    <w:rsid w:val="00053913"/>
    <w:rsid w:val="00053CDE"/>
    <w:rsid w:val="00053E08"/>
    <w:rsid w:val="00053EF2"/>
    <w:rsid w:val="0005404E"/>
    <w:rsid w:val="000543A3"/>
    <w:rsid w:val="0005446C"/>
    <w:rsid w:val="000544C8"/>
    <w:rsid w:val="00054511"/>
    <w:rsid w:val="000545D5"/>
    <w:rsid w:val="0005465C"/>
    <w:rsid w:val="0005475D"/>
    <w:rsid w:val="000547AB"/>
    <w:rsid w:val="00054C5A"/>
    <w:rsid w:val="00054E47"/>
    <w:rsid w:val="00054E9A"/>
    <w:rsid w:val="00054F1C"/>
    <w:rsid w:val="00054FBA"/>
    <w:rsid w:val="00055409"/>
    <w:rsid w:val="000555D6"/>
    <w:rsid w:val="000557EA"/>
    <w:rsid w:val="00055A2B"/>
    <w:rsid w:val="00055B9B"/>
    <w:rsid w:val="00055BC9"/>
    <w:rsid w:val="00055BEC"/>
    <w:rsid w:val="00055D74"/>
    <w:rsid w:val="00055E96"/>
    <w:rsid w:val="00055F7F"/>
    <w:rsid w:val="0005605F"/>
    <w:rsid w:val="00056268"/>
    <w:rsid w:val="0005633D"/>
    <w:rsid w:val="00056356"/>
    <w:rsid w:val="00056562"/>
    <w:rsid w:val="00056563"/>
    <w:rsid w:val="00056632"/>
    <w:rsid w:val="000566C2"/>
    <w:rsid w:val="000566FA"/>
    <w:rsid w:val="000568BE"/>
    <w:rsid w:val="00056923"/>
    <w:rsid w:val="00056A1E"/>
    <w:rsid w:val="00056B7D"/>
    <w:rsid w:val="00056B8D"/>
    <w:rsid w:val="00056C44"/>
    <w:rsid w:val="00056F6A"/>
    <w:rsid w:val="00056FE5"/>
    <w:rsid w:val="00056FF3"/>
    <w:rsid w:val="00057018"/>
    <w:rsid w:val="00057095"/>
    <w:rsid w:val="00057096"/>
    <w:rsid w:val="000574E3"/>
    <w:rsid w:val="00057677"/>
    <w:rsid w:val="000576E0"/>
    <w:rsid w:val="000577C8"/>
    <w:rsid w:val="000578D4"/>
    <w:rsid w:val="00057B35"/>
    <w:rsid w:val="00057DBE"/>
    <w:rsid w:val="00057DC0"/>
    <w:rsid w:val="00057DC2"/>
    <w:rsid w:val="00057E52"/>
    <w:rsid w:val="00057E56"/>
    <w:rsid w:val="00057F52"/>
    <w:rsid w:val="00057F6D"/>
    <w:rsid w:val="00060011"/>
    <w:rsid w:val="0006011A"/>
    <w:rsid w:val="0006022E"/>
    <w:rsid w:val="00060541"/>
    <w:rsid w:val="00060678"/>
    <w:rsid w:val="000606D3"/>
    <w:rsid w:val="000609B2"/>
    <w:rsid w:val="00060CCA"/>
    <w:rsid w:val="00060CD7"/>
    <w:rsid w:val="00060D30"/>
    <w:rsid w:val="00060E2F"/>
    <w:rsid w:val="00060E33"/>
    <w:rsid w:val="00060E99"/>
    <w:rsid w:val="00060EC5"/>
    <w:rsid w:val="00061072"/>
    <w:rsid w:val="0006127F"/>
    <w:rsid w:val="000612D3"/>
    <w:rsid w:val="00061369"/>
    <w:rsid w:val="0006141B"/>
    <w:rsid w:val="0006144B"/>
    <w:rsid w:val="00061478"/>
    <w:rsid w:val="0006149C"/>
    <w:rsid w:val="000614C8"/>
    <w:rsid w:val="00061786"/>
    <w:rsid w:val="0006193F"/>
    <w:rsid w:val="00061980"/>
    <w:rsid w:val="0006199C"/>
    <w:rsid w:val="00061C28"/>
    <w:rsid w:val="00061C99"/>
    <w:rsid w:val="00061CD9"/>
    <w:rsid w:val="00061E0B"/>
    <w:rsid w:val="00061E82"/>
    <w:rsid w:val="00062011"/>
    <w:rsid w:val="00062047"/>
    <w:rsid w:val="000620C1"/>
    <w:rsid w:val="000621CD"/>
    <w:rsid w:val="00062439"/>
    <w:rsid w:val="0006247C"/>
    <w:rsid w:val="000625CA"/>
    <w:rsid w:val="000625DB"/>
    <w:rsid w:val="0006266C"/>
    <w:rsid w:val="000627AB"/>
    <w:rsid w:val="00062846"/>
    <w:rsid w:val="00062A22"/>
    <w:rsid w:val="00062A3B"/>
    <w:rsid w:val="00062AB8"/>
    <w:rsid w:val="00062B63"/>
    <w:rsid w:val="00062CC3"/>
    <w:rsid w:val="00063119"/>
    <w:rsid w:val="00063155"/>
    <w:rsid w:val="00063179"/>
    <w:rsid w:val="000631B9"/>
    <w:rsid w:val="000632BC"/>
    <w:rsid w:val="00063567"/>
    <w:rsid w:val="00063577"/>
    <w:rsid w:val="00063694"/>
    <w:rsid w:val="000636C5"/>
    <w:rsid w:val="000637A7"/>
    <w:rsid w:val="000637F3"/>
    <w:rsid w:val="0006395F"/>
    <w:rsid w:val="00063B5D"/>
    <w:rsid w:val="00063CA9"/>
    <w:rsid w:val="00063D31"/>
    <w:rsid w:val="00063E97"/>
    <w:rsid w:val="00064043"/>
    <w:rsid w:val="000641D2"/>
    <w:rsid w:val="000644A8"/>
    <w:rsid w:val="000644E3"/>
    <w:rsid w:val="00064561"/>
    <w:rsid w:val="00064B2B"/>
    <w:rsid w:val="00064C8D"/>
    <w:rsid w:val="0006529C"/>
    <w:rsid w:val="00065314"/>
    <w:rsid w:val="0006531A"/>
    <w:rsid w:val="00065471"/>
    <w:rsid w:val="00065512"/>
    <w:rsid w:val="0006577C"/>
    <w:rsid w:val="0006586E"/>
    <w:rsid w:val="00065889"/>
    <w:rsid w:val="000658AB"/>
    <w:rsid w:val="00065A56"/>
    <w:rsid w:val="00065B0E"/>
    <w:rsid w:val="00065CA1"/>
    <w:rsid w:val="00065D0E"/>
    <w:rsid w:val="00065E25"/>
    <w:rsid w:val="00066260"/>
    <w:rsid w:val="00066299"/>
    <w:rsid w:val="00066356"/>
    <w:rsid w:val="0006668C"/>
    <w:rsid w:val="000666FE"/>
    <w:rsid w:val="0006682B"/>
    <w:rsid w:val="0006692C"/>
    <w:rsid w:val="0006696A"/>
    <w:rsid w:val="000669DC"/>
    <w:rsid w:val="00066A97"/>
    <w:rsid w:val="00066AFB"/>
    <w:rsid w:val="00066B0B"/>
    <w:rsid w:val="00066B12"/>
    <w:rsid w:val="00066CAC"/>
    <w:rsid w:val="00066D6B"/>
    <w:rsid w:val="00066D87"/>
    <w:rsid w:val="00066E00"/>
    <w:rsid w:val="00066E5A"/>
    <w:rsid w:val="00067113"/>
    <w:rsid w:val="00067180"/>
    <w:rsid w:val="00067296"/>
    <w:rsid w:val="000672DC"/>
    <w:rsid w:val="00067360"/>
    <w:rsid w:val="0006741B"/>
    <w:rsid w:val="000675D2"/>
    <w:rsid w:val="00067640"/>
    <w:rsid w:val="000676AC"/>
    <w:rsid w:val="00067BC6"/>
    <w:rsid w:val="00067C13"/>
    <w:rsid w:val="00067C5A"/>
    <w:rsid w:val="00067E02"/>
    <w:rsid w:val="00067FE5"/>
    <w:rsid w:val="00069F7C"/>
    <w:rsid w:val="000700AB"/>
    <w:rsid w:val="000700D5"/>
    <w:rsid w:val="000701A5"/>
    <w:rsid w:val="00070308"/>
    <w:rsid w:val="00070416"/>
    <w:rsid w:val="000705B3"/>
    <w:rsid w:val="0007074B"/>
    <w:rsid w:val="00070BFD"/>
    <w:rsid w:val="00070CDE"/>
    <w:rsid w:val="00070D1F"/>
    <w:rsid w:val="00070E0B"/>
    <w:rsid w:val="00070E7C"/>
    <w:rsid w:val="00070F0E"/>
    <w:rsid w:val="00070F93"/>
    <w:rsid w:val="0007109A"/>
    <w:rsid w:val="000713D2"/>
    <w:rsid w:val="0007169F"/>
    <w:rsid w:val="000716D1"/>
    <w:rsid w:val="00071736"/>
    <w:rsid w:val="0007192A"/>
    <w:rsid w:val="000719C2"/>
    <w:rsid w:val="00071D8A"/>
    <w:rsid w:val="00071EBA"/>
    <w:rsid w:val="00072182"/>
    <w:rsid w:val="000721EB"/>
    <w:rsid w:val="000723DB"/>
    <w:rsid w:val="00072502"/>
    <w:rsid w:val="00072750"/>
    <w:rsid w:val="00072838"/>
    <w:rsid w:val="0007284F"/>
    <w:rsid w:val="00072947"/>
    <w:rsid w:val="00072A90"/>
    <w:rsid w:val="00072B5F"/>
    <w:rsid w:val="00072CF2"/>
    <w:rsid w:val="00072E3F"/>
    <w:rsid w:val="00072EA8"/>
    <w:rsid w:val="00072F76"/>
    <w:rsid w:val="00073050"/>
    <w:rsid w:val="00073138"/>
    <w:rsid w:val="000731E7"/>
    <w:rsid w:val="0007346F"/>
    <w:rsid w:val="00073572"/>
    <w:rsid w:val="0007379E"/>
    <w:rsid w:val="00073983"/>
    <w:rsid w:val="00073A60"/>
    <w:rsid w:val="00073A91"/>
    <w:rsid w:val="00073D2C"/>
    <w:rsid w:val="00073F2C"/>
    <w:rsid w:val="00074132"/>
    <w:rsid w:val="000741E2"/>
    <w:rsid w:val="00074315"/>
    <w:rsid w:val="00074338"/>
    <w:rsid w:val="000743B1"/>
    <w:rsid w:val="00074623"/>
    <w:rsid w:val="0007463B"/>
    <w:rsid w:val="00074825"/>
    <w:rsid w:val="0007482F"/>
    <w:rsid w:val="00074B46"/>
    <w:rsid w:val="00074BA7"/>
    <w:rsid w:val="00074D23"/>
    <w:rsid w:val="00074D8C"/>
    <w:rsid w:val="00074E53"/>
    <w:rsid w:val="00074F51"/>
    <w:rsid w:val="0007501C"/>
    <w:rsid w:val="00075486"/>
    <w:rsid w:val="000754F4"/>
    <w:rsid w:val="000755A0"/>
    <w:rsid w:val="00075663"/>
    <w:rsid w:val="0007578C"/>
    <w:rsid w:val="0007597E"/>
    <w:rsid w:val="00075998"/>
    <w:rsid w:val="00075A25"/>
    <w:rsid w:val="00075A8A"/>
    <w:rsid w:val="00075B10"/>
    <w:rsid w:val="00075B86"/>
    <w:rsid w:val="00075B9A"/>
    <w:rsid w:val="00075E57"/>
    <w:rsid w:val="00076157"/>
    <w:rsid w:val="000762AB"/>
    <w:rsid w:val="000762D8"/>
    <w:rsid w:val="0007630B"/>
    <w:rsid w:val="000763D5"/>
    <w:rsid w:val="00076639"/>
    <w:rsid w:val="00076644"/>
    <w:rsid w:val="0007667F"/>
    <w:rsid w:val="000767D0"/>
    <w:rsid w:val="00076C23"/>
    <w:rsid w:val="00076C80"/>
    <w:rsid w:val="00076CDE"/>
    <w:rsid w:val="00076CE5"/>
    <w:rsid w:val="00076ED7"/>
    <w:rsid w:val="00076FFE"/>
    <w:rsid w:val="00077143"/>
    <w:rsid w:val="000773E9"/>
    <w:rsid w:val="000774AA"/>
    <w:rsid w:val="0007751B"/>
    <w:rsid w:val="00077849"/>
    <w:rsid w:val="00077C85"/>
    <w:rsid w:val="00077D85"/>
    <w:rsid w:val="00077DD6"/>
    <w:rsid w:val="00077DE0"/>
    <w:rsid w:val="00077F1F"/>
    <w:rsid w:val="00080377"/>
    <w:rsid w:val="000803E8"/>
    <w:rsid w:val="0008041B"/>
    <w:rsid w:val="0008050C"/>
    <w:rsid w:val="0008061A"/>
    <w:rsid w:val="00080993"/>
    <w:rsid w:val="00080B48"/>
    <w:rsid w:val="00080C01"/>
    <w:rsid w:val="00080C63"/>
    <w:rsid w:val="000811D2"/>
    <w:rsid w:val="0008141D"/>
    <w:rsid w:val="000814C1"/>
    <w:rsid w:val="000814C9"/>
    <w:rsid w:val="000814F8"/>
    <w:rsid w:val="0008156E"/>
    <w:rsid w:val="00081707"/>
    <w:rsid w:val="00081810"/>
    <w:rsid w:val="000818BF"/>
    <w:rsid w:val="00081962"/>
    <w:rsid w:val="000819D5"/>
    <w:rsid w:val="000819FA"/>
    <w:rsid w:val="00081A50"/>
    <w:rsid w:val="00081A82"/>
    <w:rsid w:val="00081CEC"/>
    <w:rsid w:val="00081E38"/>
    <w:rsid w:val="00081E55"/>
    <w:rsid w:val="00081E9E"/>
    <w:rsid w:val="00081F7C"/>
    <w:rsid w:val="00082020"/>
    <w:rsid w:val="0008213B"/>
    <w:rsid w:val="000821E2"/>
    <w:rsid w:val="00082396"/>
    <w:rsid w:val="000823D4"/>
    <w:rsid w:val="000826CC"/>
    <w:rsid w:val="000827B0"/>
    <w:rsid w:val="00082A9D"/>
    <w:rsid w:val="00082AB5"/>
    <w:rsid w:val="00082B0E"/>
    <w:rsid w:val="00082D3E"/>
    <w:rsid w:val="000832A8"/>
    <w:rsid w:val="00083339"/>
    <w:rsid w:val="000837CD"/>
    <w:rsid w:val="000839AB"/>
    <w:rsid w:val="000839CD"/>
    <w:rsid w:val="000839F0"/>
    <w:rsid w:val="00083A57"/>
    <w:rsid w:val="00083F4B"/>
    <w:rsid w:val="000842C4"/>
    <w:rsid w:val="000842D6"/>
    <w:rsid w:val="000842FA"/>
    <w:rsid w:val="0008432F"/>
    <w:rsid w:val="0008441E"/>
    <w:rsid w:val="00084474"/>
    <w:rsid w:val="00084531"/>
    <w:rsid w:val="00084633"/>
    <w:rsid w:val="0008466D"/>
    <w:rsid w:val="000846E1"/>
    <w:rsid w:val="00084758"/>
    <w:rsid w:val="000847DB"/>
    <w:rsid w:val="000848B9"/>
    <w:rsid w:val="00084956"/>
    <w:rsid w:val="00084AF6"/>
    <w:rsid w:val="00084EFE"/>
    <w:rsid w:val="00085104"/>
    <w:rsid w:val="00085208"/>
    <w:rsid w:val="00085387"/>
    <w:rsid w:val="000853E5"/>
    <w:rsid w:val="00085413"/>
    <w:rsid w:val="00085480"/>
    <w:rsid w:val="000855AC"/>
    <w:rsid w:val="00085761"/>
    <w:rsid w:val="000857CF"/>
    <w:rsid w:val="00085A4A"/>
    <w:rsid w:val="00085C0F"/>
    <w:rsid w:val="00085E3B"/>
    <w:rsid w:val="00085FD5"/>
    <w:rsid w:val="00086251"/>
    <w:rsid w:val="00086356"/>
    <w:rsid w:val="0008641B"/>
    <w:rsid w:val="000864D5"/>
    <w:rsid w:val="000867BE"/>
    <w:rsid w:val="00086865"/>
    <w:rsid w:val="00086992"/>
    <w:rsid w:val="000869FF"/>
    <w:rsid w:val="00086B35"/>
    <w:rsid w:val="00086C56"/>
    <w:rsid w:val="00086C5A"/>
    <w:rsid w:val="00086EBD"/>
    <w:rsid w:val="00086F16"/>
    <w:rsid w:val="00086F5F"/>
    <w:rsid w:val="00086F8E"/>
    <w:rsid w:val="00087111"/>
    <w:rsid w:val="000872B9"/>
    <w:rsid w:val="00087743"/>
    <w:rsid w:val="000877B0"/>
    <w:rsid w:val="00087842"/>
    <w:rsid w:val="000878A1"/>
    <w:rsid w:val="000878E1"/>
    <w:rsid w:val="00090018"/>
    <w:rsid w:val="00090046"/>
    <w:rsid w:val="00090253"/>
    <w:rsid w:val="0009040D"/>
    <w:rsid w:val="00090546"/>
    <w:rsid w:val="0009062F"/>
    <w:rsid w:val="0009063F"/>
    <w:rsid w:val="00090756"/>
    <w:rsid w:val="00090801"/>
    <w:rsid w:val="00090933"/>
    <w:rsid w:val="00090986"/>
    <w:rsid w:val="00090A85"/>
    <w:rsid w:val="00090ACF"/>
    <w:rsid w:val="00090C08"/>
    <w:rsid w:val="00090EA4"/>
    <w:rsid w:val="00090F74"/>
    <w:rsid w:val="00090F7E"/>
    <w:rsid w:val="0009108B"/>
    <w:rsid w:val="00091356"/>
    <w:rsid w:val="0009138E"/>
    <w:rsid w:val="0009140B"/>
    <w:rsid w:val="000915F1"/>
    <w:rsid w:val="00091629"/>
    <w:rsid w:val="0009186D"/>
    <w:rsid w:val="00091B0F"/>
    <w:rsid w:val="00091BEB"/>
    <w:rsid w:val="00091BF1"/>
    <w:rsid w:val="00091FE6"/>
    <w:rsid w:val="000920A6"/>
    <w:rsid w:val="0009226B"/>
    <w:rsid w:val="0009226C"/>
    <w:rsid w:val="00092320"/>
    <w:rsid w:val="00092526"/>
    <w:rsid w:val="00092528"/>
    <w:rsid w:val="0009259B"/>
    <w:rsid w:val="00092630"/>
    <w:rsid w:val="0009285F"/>
    <w:rsid w:val="00092975"/>
    <w:rsid w:val="00092C84"/>
    <w:rsid w:val="00092FAA"/>
    <w:rsid w:val="0009302B"/>
    <w:rsid w:val="0009335D"/>
    <w:rsid w:val="00093512"/>
    <w:rsid w:val="00093599"/>
    <w:rsid w:val="000937B2"/>
    <w:rsid w:val="000937C7"/>
    <w:rsid w:val="00093825"/>
    <w:rsid w:val="00093A7B"/>
    <w:rsid w:val="00093B1B"/>
    <w:rsid w:val="00093C70"/>
    <w:rsid w:val="00093CAC"/>
    <w:rsid w:val="00093E38"/>
    <w:rsid w:val="00093EBA"/>
    <w:rsid w:val="00093FE8"/>
    <w:rsid w:val="00094114"/>
    <w:rsid w:val="0009415B"/>
    <w:rsid w:val="000941A1"/>
    <w:rsid w:val="000941DC"/>
    <w:rsid w:val="0009421A"/>
    <w:rsid w:val="0009454A"/>
    <w:rsid w:val="00094710"/>
    <w:rsid w:val="00094830"/>
    <w:rsid w:val="000949D6"/>
    <w:rsid w:val="00094BB4"/>
    <w:rsid w:val="00094C98"/>
    <w:rsid w:val="00094CBF"/>
    <w:rsid w:val="00094CFB"/>
    <w:rsid w:val="00094D27"/>
    <w:rsid w:val="00094E86"/>
    <w:rsid w:val="00094F9F"/>
    <w:rsid w:val="0009500C"/>
    <w:rsid w:val="0009516B"/>
    <w:rsid w:val="0009517E"/>
    <w:rsid w:val="000954D6"/>
    <w:rsid w:val="0009566E"/>
    <w:rsid w:val="00095749"/>
    <w:rsid w:val="0009595A"/>
    <w:rsid w:val="00095CE0"/>
    <w:rsid w:val="00096067"/>
    <w:rsid w:val="000961E6"/>
    <w:rsid w:val="00096277"/>
    <w:rsid w:val="00096612"/>
    <w:rsid w:val="00096718"/>
    <w:rsid w:val="0009681A"/>
    <w:rsid w:val="00096881"/>
    <w:rsid w:val="000968AA"/>
    <w:rsid w:val="00096943"/>
    <w:rsid w:val="00096C62"/>
    <w:rsid w:val="00096D21"/>
    <w:rsid w:val="00096E31"/>
    <w:rsid w:val="00096E3F"/>
    <w:rsid w:val="00096E7D"/>
    <w:rsid w:val="00096E87"/>
    <w:rsid w:val="00096EAD"/>
    <w:rsid w:val="000974DE"/>
    <w:rsid w:val="000976E7"/>
    <w:rsid w:val="00097985"/>
    <w:rsid w:val="000979F5"/>
    <w:rsid w:val="00097A16"/>
    <w:rsid w:val="00097B9A"/>
    <w:rsid w:val="00097BE1"/>
    <w:rsid w:val="00097D5E"/>
    <w:rsid w:val="00097D99"/>
    <w:rsid w:val="00097E67"/>
    <w:rsid w:val="00097F3B"/>
    <w:rsid w:val="00097FB0"/>
    <w:rsid w:val="000A0049"/>
    <w:rsid w:val="000A011C"/>
    <w:rsid w:val="000A037C"/>
    <w:rsid w:val="000A0394"/>
    <w:rsid w:val="000A041F"/>
    <w:rsid w:val="000A06EC"/>
    <w:rsid w:val="000A0703"/>
    <w:rsid w:val="000A076F"/>
    <w:rsid w:val="000A08C3"/>
    <w:rsid w:val="000A0ACC"/>
    <w:rsid w:val="000A0B61"/>
    <w:rsid w:val="000A0BA5"/>
    <w:rsid w:val="000A0BFD"/>
    <w:rsid w:val="000A0C77"/>
    <w:rsid w:val="000A0D10"/>
    <w:rsid w:val="000A0D72"/>
    <w:rsid w:val="000A0F8F"/>
    <w:rsid w:val="000A1176"/>
    <w:rsid w:val="000A1283"/>
    <w:rsid w:val="000A12DE"/>
    <w:rsid w:val="000A12EE"/>
    <w:rsid w:val="000A139C"/>
    <w:rsid w:val="000A139E"/>
    <w:rsid w:val="000A13A9"/>
    <w:rsid w:val="000A146B"/>
    <w:rsid w:val="000A14F7"/>
    <w:rsid w:val="000A17A2"/>
    <w:rsid w:val="000A17E5"/>
    <w:rsid w:val="000A18F7"/>
    <w:rsid w:val="000A1CE1"/>
    <w:rsid w:val="000A1D9F"/>
    <w:rsid w:val="000A1DC5"/>
    <w:rsid w:val="000A2091"/>
    <w:rsid w:val="000A2240"/>
    <w:rsid w:val="000A2276"/>
    <w:rsid w:val="000A24E2"/>
    <w:rsid w:val="000A253B"/>
    <w:rsid w:val="000A266A"/>
    <w:rsid w:val="000A28A3"/>
    <w:rsid w:val="000A28D6"/>
    <w:rsid w:val="000A2911"/>
    <w:rsid w:val="000A2994"/>
    <w:rsid w:val="000A2BB2"/>
    <w:rsid w:val="000A2C38"/>
    <w:rsid w:val="000A2DAD"/>
    <w:rsid w:val="000A30F0"/>
    <w:rsid w:val="000A320D"/>
    <w:rsid w:val="000A338E"/>
    <w:rsid w:val="000A3445"/>
    <w:rsid w:val="000A34AD"/>
    <w:rsid w:val="000A3848"/>
    <w:rsid w:val="000A3A21"/>
    <w:rsid w:val="000A3BAA"/>
    <w:rsid w:val="000A3CEE"/>
    <w:rsid w:val="000A3DBB"/>
    <w:rsid w:val="000A400B"/>
    <w:rsid w:val="000A4144"/>
    <w:rsid w:val="000A4512"/>
    <w:rsid w:val="000A46BD"/>
    <w:rsid w:val="000A4769"/>
    <w:rsid w:val="000A48E0"/>
    <w:rsid w:val="000A48F9"/>
    <w:rsid w:val="000A4A00"/>
    <w:rsid w:val="000A4B89"/>
    <w:rsid w:val="000A4B95"/>
    <w:rsid w:val="000A4C2A"/>
    <w:rsid w:val="000A4C8B"/>
    <w:rsid w:val="000A4FD7"/>
    <w:rsid w:val="000A5144"/>
    <w:rsid w:val="000A5162"/>
    <w:rsid w:val="000A51BA"/>
    <w:rsid w:val="000A51CF"/>
    <w:rsid w:val="000A53D6"/>
    <w:rsid w:val="000A5487"/>
    <w:rsid w:val="000A54B6"/>
    <w:rsid w:val="000A5708"/>
    <w:rsid w:val="000A5C3D"/>
    <w:rsid w:val="000A5C9C"/>
    <w:rsid w:val="000A5CC8"/>
    <w:rsid w:val="000A5EAE"/>
    <w:rsid w:val="000A5F81"/>
    <w:rsid w:val="000A60C4"/>
    <w:rsid w:val="000A6277"/>
    <w:rsid w:val="000A62BC"/>
    <w:rsid w:val="000A62E2"/>
    <w:rsid w:val="000A65C7"/>
    <w:rsid w:val="000A67FB"/>
    <w:rsid w:val="000A68B4"/>
    <w:rsid w:val="000A69CA"/>
    <w:rsid w:val="000A6B98"/>
    <w:rsid w:val="000A6BEB"/>
    <w:rsid w:val="000A6BFC"/>
    <w:rsid w:val="000A6C46"/>
    <w:rsid w:val="000A6C8B"/>
    <w:rsid w:val="000A6DE5"/>
    <w:rsid w:val="000A6E7A"/>
    <w:rsid w:val="000A6ED5"/>
    <w:rsid w:val="000A6EED"/>
    <w:rsid w:val="000A7084"/>
    <w:rsid w:val="000A70A3"/>
    <w:rsid w:val="000A70B1"/>
    <w:rsid w:val="000A70B7"/>
    <w:rsid w:val="000A70B8"/>
    <w:rsid w:val="000A76F2"/>
    <w:rsid w:val="000A78F2"/>
    <w:rsid w:val="000A7A32"/>
    <w:rsid w:val="000A7A6F"/>
    <w:rsid w:val="000A7AE6"/>
    <w:rsid w:val="000A7B06"/>
    <w:rsid w:val="000A7C87"/>
    <w:rsid w:val="000A7D0C"/>
    <w:rsid w:val="000B008B"/>
    <w:rsid w:val="000B00E7"/>
    <w:rsid w:val="000B027B"/>
    <w:rsid w:val="000B0364"/>
    <w:rsid w:val="000B044A"/>
    <w:rsid w:val="000B047A"/>
    <w:rsid w:val="000B04BB"/>
    <w:rsid w:val="000B0609"/>
    <w:rsid w:val="000B061E"/>
    <w:rsid w:val="000B0746"/>
    <w:rsid w:val="000B08F0"/>
    <w:rsid w:val="000B0BA8"/>
    <w:rsid w:val="000B0D26"/>
    <w:rsid w:val="000B0D43"/>
    <w:rsid w:val="000B0EB3"/>
    <w:rsid w:val="000B0F04"/>
    <w:rsid w:val="000B14AF"/>
    <w:rsid w:val="000B1515"/>
    <w:rsid w:val="000B158F"/>
    <w:rsid w:val="000B169D"/>
    <w:rsid w:val="000B19D2"/>
    <w:rsid w:val="000B19E9"/>
    <w:rsid w:val="000B1CF4"/>
    <w:rsid w:val="000B1EB9"/>
    <w:rsid w:val="000B1FE8"/>
    <w:rsid w:val="000B2030"/>
    <w:rsid w:val="000B22B2"/>
    <w:rsid w:val="000B24C7"/>
    <w:rsid w:val="000B2697"/>
    <w:rsid w:val="000B2779"/>
    <w:rsid w:val="000B293A"/>
    <w:rsid w:val="000B2B77"/>
    <w:rsid w:val="000B2E09"/>
    <w:rsid w:val="000B3156"/>
    <w:rsid w:val="000B3183"/>
    <w:rsid w:val="000B31F6"/>
    <w:rsid w:val="000B3215"/>
    <w:rsid w:val="000B3241"/>
    <w:rsid w:val="000B327C"/>
    <w:rsid w:val="000B32A2"/>
    <w:rsid w:val="000B3791"/>
    <w:rsid w:val="000B3906"/>
    <w:rsid w:val="000B3A95"/>
    <w:rsid w:val="000B3DB4"/>
    <w:rsid w:val="000B3E11"/>
    <w:rsid w:val="000B3EB8"/>
    <w:rsid w:val="000B4013"/>
    <w:rsid w:val="000B4149"/>
    <w:rsid w:val="000B42B2"/>
    <w:rsid w:val="000B441B"/>
    <w:rsid w:val="000B4455"/>
    <w:rsid w:val="000B4552"/>
    <w:rsid w:val="000B45F4"/>
    <w:rsid w:val="000B4737"/>
    <w:rsid w:val="000B4816"/>
    <w:rsid w:val="000B4A43"/>
    <w:rsid w:val="000B4B8A"/>
    <w:rsid w:val="000B4BF2"/>
    <w:rsid w:val="000B4DAF"/>
    <w:rsid w:val="000B4FC6"/>
    <w:rsid w:val="000B51B9"/>
    <w:rsid w:val="000B523A"/>
    <w:rsid w:val="000B5273"/>
    <w:rsid w:val="000B52E3"/>
    <w:rsid w:val="000B56A6"/>
    <w:rsid w:val="000B57D4"/>
    <w:rsid w:val="000B5B27"/>
    <w:rsid w:val="000B5B32"/>
    <w:rsid w:val="000B5B86"/>
    <w:rsid w:val="000B5E1B"/>
    <w:rsid w:val="000B5FF2"/>
    <w:rsid w:val="000B60ED"/>
    <w:rsid w:val="000B6139"/>
    <w:rsid w:val="000B613D"/>
    <w:rsid w:val="000B6485"/>
    <w:rsid w:val="000B69EE"/>
    <w:rsid w:val="000B6AC5"/>
    <w:rsid w:val="000B6BA4"/>
    <w:rsid w:val="000B6BCF"/>
    <w:rsid w:val="000B6D85"/>
    <w:rsid w:val="000B6E73"/>
    <w:rsid w:val="000B6F29"/>
    <w:rsid w:val="000B6F52"/>
    <w:rsid w:val="000B719A"/>
    <w:rsid w:val="000B72E9"/>
    <w:rsid w:val="000B74D5"/>
    <w:rsid w:val="000B763A"/>
    <w:rsid w:val="000B76B7"/>
    <w:rsid w:val="000B771F"/>
    <w:rsid w:val="000B7895"/>
    <w:rsid w:val="000B78BB"/>
    <w:rsid w:val="000B79B0"/>
    <w:rsid w:val="000B7A98"/>
    <w:rsid w:val="000B7FD4"/>
    <w:rsid w:val="000C02D7"/>
    <w:rsid w:val="000C0443"/>
    <w:rsid w:val="000C04CC"/>
    <w:rsid w:val="000C0599"/>
    <w:rsid w:val="000C070A"/>
    <w:rsid w:val="000C070E"/>
    <w:rsid w:val="000C0710"/>
    <w:rsid w:val="000C09E8"/>
    <w:rsid w:val="000C0B43"/>
    <w:rsid w:val="000C0B4F"/>
    <w:rsid w:val="000C0C50"/>
    <w:rsid w:val="000C0C75"/>
    <w:rsid w:val="000C0F0A"/>
    <w:rsid w:val="000C1288"/>
    <w:rsid w:val="000C15BC"/>
    <w:rsid w:val="000C15DA"/>
    <w:rsid w:val="000C1679"/>
    <w:rsid w:val="000C1686"/>
    <w:rsid w:val="000C16A4"/>
    <w:rsid w:val="000C16BC"/>
    <w:rsid w:val="000C19AB"/>
    <w:rsid w:val="000C1AD4"/>
    <w:rsid w:val="000C1AF1"/>
    <w:rsid w:val="000C1B95"/>
    <w:rsid w:val="000C1DB5"/>
    <w:rsid w:val="000C1EB0"/>
    <w:rsid w:val="000C200D"/>
    <w:rsid w:val="000C2469"/>
    <w:rsid w:val="000C2497"/>
    <w:rsid w:val="000C24F1"/>
    <w:rsid w:val="000C27E1"/>
    <w:rsid w:val="000C29B3"/>
    <w:rsid w:val="000C29BC"/>
    <w:rsid w:val="000C2A40"/>
    <w:rsid w:val="000C2C14"/>
    <w:rsid w:val="000C34E7"/>
    <w:rsid w:val="000C35F6"/>
    <w:rsid w:val="000C375C"/>
    <w:rsid w:val="000C379E"/>
    <w:rsid w:val="000C3894"/>
    <w:rsid w:val="000C38A0"/>
    <w:rsid w:val="000C38EF"/>
    <w:rsid w:val="000C39B1"/>
    <w:rsid w:val="000C3B2F"/>
    <w:rsid w:val="000C3E56"/>
    <w:rsid w:val="000C3EE2"/>
    <w:rsid w:val="000C3F70"/>
    <w:rsid w:val="000C3F79"/>
    <w:rsid w:val="000C4009"/>
    <w:rsid w:val="000C4084"/>
    <w:rsid w:val="000C40B7"/>
    <w:rsid w:val="000C413B"/>
    <w:rsid w:val="000C4316"/>
    <w:rsid w:val="000C4401"/>
    <w:rsid w:val="000C44C0"/>
    <w:rsid w:val="000C4583"/>
    <w:rsid w:val="000C46E0"/>
    <w:rsid w:val="000C4783"/>
    <w:rsid w:val="000C489C"/>
    <w:rsid w:val="000C492B"/>
    <w:rsid w:val="000C4A74"/>
    <w:rsid w:val="000C4ACA"/>
    <w:rsid w:val="000C4C88"/>
    <w:rsid w:val="000C4DD6"/>
    <w:rsid w:val="000C5090"/>
    <w:rsid w:val="000C50A4"/>
    <w:rsid w:val="000C5368"/>
    <w:rsid w:val="000C53C5"/>
    <w:rsid w:val="000C54AA"/>
    <w:rsid w:val="000C5549"/>
    <w:rsid w:val="000C5606"/>
    <w:rsid w:val="000C569D"/>
    <w:rsid w:val="000C57DC"/>
    <w:rsid w:val="000C57EC"/>
    <w:rsid w:val="000C59C1"/>
    <w:rsid w:val="000C5EC4"/>
    <w:rsid w:val="000C5FC2"/>
    <w:rsid w:val="000C5FF8"/>
    <w:rsid w:val="000C6342"/>
    <w:rsid w:val="000C641A"/>
    <w:rsid w:val="000C644E"/>
    <w:rsid w:val="000C6466"/>
    <w:rsid w:val="000C6532"/>
    <w:rsid w:val="000C6544"/>
    <w:rsid w:val="000C6716"/>
    <w:rsid w:val="000C689E"/>
    <w:rsid w:val="000C6A25"/>
    <w:rsid w:val="000C6BD5"/>
    <w:rsid w:val="000C73F1"/>
    <w:rsid w:val="000C7758"/>
    <w:rsid w:val="000C780D"/>
    <w:rsid w:val="000C7884"/>
    <w:rsid w:val="000C788E"/>
    <w:rsid w:val="000C790D"/>
    <w:rsid w:val="000C7966"/>
    <w:rsid w:val="000C79A2"/>
    <w:rsid w:val="000C7C43"/>
    <w:rsid w:val="000C7DEF"/>
    <w:rsid w:val="000C7EA2"/>
    <w:rsid w:val="000D013D"/>
    <w:rsid w:val="000D0155"/>
    <w:rsid w:val="000D01D4"/>
    <w:rsid w:val="000D0277"/>
    <w:rsid w:val="000D0322"/>
    <w:rsid w:val="000D03B1"/>
    <w:rsid w:val="000D04EC"/>
    <w:rsid w:val="000D04ED"/>
    <w:rsid w:val="000D06C6"/>
    <w:rsid w:val="000D0775"/>
    <w:rsid w:val="000D0A12"/>
    <w:rsid w:val="000D0AB9"/>
    <w:rsid w:val="000D0B0E"/>
    <w:rsid w:val="000D0F7B"/>
    <w:rsid w:val="000D0FCC"/>
    <w:rsid w:val="000D0FEF"/>
    <w:rsid w:val="000D126C"/>
    <w:rsid w:val="000D1360"/>
    <w:rsid w:val="000D1595"/>
    <w:rsid w:val="000D1640"/>
    <w:rsid w:val="000D1793"/>
    <w:rsid w:val="000D1892"/>
    <w:rsid w:val="000D195A"/>
    <w:rsid w:val="000D1B26"/>
    <w:rsid w:val="000D1B31"/>
    <w:rsid w:val="000D1B73"/>
    <w:rsid w:val="000D1BBD"/>
    <w:rsid w:val="000D1D08"/>
    <w:rsid w:val="000D1D49"/>
    <w:rsid w:val="000D1E6B"/>
    <w:rsid w:val="000D2012"/>
    <w:rsid w:val="000D25DB"/>
    <w:rsid w:val="000D262F"/>
    <w:rsid w:val="000D2695"/>
    <w:rsid w:val="000D26C7"/>
    <w:rsid w:val="000D2B5E"/>
    <w:rsid w:val="000D2C28"/>
    <w:rsid w:val="000D2ECD"/>
    <w:rsid w:val="000D30B6"/>
    <w:rsid w:val="000D34A2"/>
    <w:rsid w:val="000D3525"/>
    <w:rsid w:val="000D358F"/>
    <w:rsid w:val="000D35FB"/>
    <w:rsid w:val="000D36DF"/>
    <w:rsid w:val="000D3749"/>
    <w:rsid w:val="000D3794"/>
    <w:rsid w:val="000D3AA1"/>
    <w:rsid w:val="000D3C62"/>
    <w:rsid w:val="000D3DB7"/>
    <w:rsid w:val="000D3EB0"/>
    <w:rsid w:val="000D4167"/>
    <w:rsid w:val="000D430C"/>
    <w:rsid w:val="000D4446"/>
    <w:rsid w:val="000D44DD"/>
    <w:rsid w:val="000D45B2"/>
    <w:rsid w:val="000D45BA"/>
    <w:rsid w:val="000D4618"/>
    <w:rsid w:val="000D4A14"/>
    <w:rsid w:val="000D4A66"/>
    <w:rsid w:val="000D4C00"/>
    <w:rsid w:val="000D4C2A"/>
    <w:rsid w:val="000D4C59"/>
    <w:rsid w:val="000D4C85"/>
    <w:rsid w:val="000D4F4F"/>
    <w:rsid w:val="000D5070"/>
    <w:rsid w:val="000D50C8"/>
    <w:rsid w:val="000D536B"/>
    <w:rsid w:val="000D5460"/>
    <w:rsid w:val="000D55AE"/>
    <w:rsid w:val="000D59F3"/>
    <w:rsid w:val="000D5A83"/>
    <w:rsid w:val="000D5B95"/>
    <w:rsid w:val="000D5B9B"/>
    <w:rsid w:val="000D5CC0"/>
    <w:rsid w:val="000D62DA"/>
    <w:rsid w:val="000D653B"/>
    <w:rsid w:val="000D65CE"/>
    <w:rsid w:val="000D65FA"/>
    <w:rsid w:val="000D67A8"/>
    <w:rsid w:val="000D68ED"/>
    <w:rsid w:val="000D6913"/>
    <w:rsid w:val="000D6A7C"/>
    <w:rsid w:val="000D6ACF"/>
    <w:rsid w:val="000D6B44"/>
    <w:rsid w:val="000D6C4A"/>
    <w:rsid w:val="000D6E7B"/>
    <w:rsid w:val="000D6F4C"/>
    <w:rsid w:val="000D70A9"/>
    <w:rsid w:val="000D71C1"/>
    <w:rsid w:val="000D766E"/>
    <w:rsid w:val="000D78DA"/>
    <w:rsid w:val="000D7B70"/>
    <w:rsid w:val="000D7D1F"/>
    <w:rsid w:val="000D7DB0"/>
    <w:rsid w:val="000D7F4F"/>
    <w:rsid w:val="000E048B"/>
    <w:rsid w:val="000E04B0"/>
    <w:rsid w:val="000E0BB5"/>
    <w:rsid w:val="000E0D96"/>
    <w:rsid w:val="000E0EC2"/>
    <w:rsid w:val="000E0F34"/>
    <w:rsid w:val="000E0F55"/>
    <w:rsid w:val="000E0FDA"/>
    <w:rsid w:val="000E115F"/>
    <w:rsid w:val="000E1506"/>
    <w:rsid w:val="000E15CC"/>
    <w:rsid w:val="000E1664"/>
    <w:rsid w:val="000E172D"/>
    <w:rsid w:val="000E193C"/>
    <w:rsid w:val="000E1A2A"/>
    <w:rsid w:val="000E1DC9"/>
    <w:rsid w:val="000E1E91"/>
    <w:rsid w:val="000E1E9F"/>
    <w:rsid w:val="000E1EB2"/>
    <w:rsid w:val="000E1FAC"/>
    <w:rsid w:val="000E204A"/>
    <w:rsid w:val="000E205E"/>
    <w:rsid w:val="000E2148"/>
    <w:rsid w:val="000E2427"/>
    <w:rsid w:val="000E26FC"/>
    <w:rsid w:val="000E2851"/>
    <w:rsid w:val="000E2986"/>
    <w:rsid w:val="000E2AE1"/>
    <w:rsid w:val="000E2BA8"/>
    <w:rsid w:val="000E2BDA"/>
    <w:rsid w:val="000E2BE5"/>
    <w:rsid w:val="000E2D33"/>
    <w:rsid w:val="000E2F10"/>
    <w:rsid w:val="000E2F52"/>
    <w:rsid w:val="000E3047"/>
    <w:rsid w:val="000E3100"/>
    <w:rsid w:val="000E3284"/>
    <w:rsid w:val="000E348C"/>
    <w:rsid w:val="000E3544"/>
    <w:rsid w:val="000E3586"/>
    <w:rsid w:val="000E376A"/>
    <w:rsid w:val="000E382B"/>
    <w:rsid w:val="000E392E"/>
    <w:rsid w:val="000E39E4"/>
    <w:rsid w:val="000E4138"/>
    <w:rsid w:val="000E419F"/>
    <w:rsid w:val="000E41AD"/>
    <w:rsid w:val="000E43BF"/>
    <w:rsid w:val="000E48AF"/>
    <w:rsid w:val="000E497A"/>
    <w:rsid w:val="000E4A63"/>
    <w:rsid w:val="000E4AA6"/>
    <w:rsid w:val="000E4B38"/>
    <w:rsid w:val="000E4B50"/>
    <w:rsid w:val="000E4CB8"/>
    <w:rsid w:val="000E4F10"/>
    <w:rsid w:val="000E4F12"/>
    <w:rsid w:val="000E4F26"/>
    <w:rsid w:val="000E51BA"/>
    <w:rsid w:val="000E5825"/>
    <w:rsid w:val="000E5879"/>
    <w:rsid w:val="000E58AD"/>
    <w:rsid w:val="000E5962"/>
    <w:rsid w:val="000E5ADC"/>
    <w:rsid w:val="000E5B01"/>
    <w:rsid w:val="000E5E28"/>
    <w:rsid w:val="000E5FA4"/>
    <w:rsid w:val="000E6045"/>
    <w:rsid w:val="000E606E"/>
    <w:rsid w:val="000E61DF"/>
    <w:rsid w:val="000E63CB"/>
    <w:rsid w:val="000E69E2"/>
    <w:rsid w:val="000E6B13"/>
    <w:rsid w:val="000E6C05"/>
    <w:rsid w:val="000E6F24"/>
    <w:rsid w:val="000E6F54"/>
    <w:rsid w:val="000E6FF5"/>
    <w:rsid w:val="000E72A9"/>
    <w:rsid w:val="000E7323"/>
    <w:rsid w:val="000E74B0"/>
    <w:rsid w:val="000E7679"/>
    <w:rsid w:val="000E769F"/>
    <w:rsid w:val="000E76F0"/>
    <w:rsid w:val="000E76F9"/>
    <w:rsid w:val="000E7C1A"/>
    <w:rsid w:val="000E7C5E"/>
    <w:rsid w:val="000E7D14"/>
    <w:rsid w:val="000E7EA0"/>
    <w:rsid w:val="000F0079"/>
    <w:rsid w:val="000F0182"/>
    <w:rsid w:val="000F01C2"/>
    <w:rsid w:val="000F01D1"/>
    <w:rsid w:val="000F03FB"/>
    <w:rsid w:val="000F059A"/>
    <w:rsid w:val="000F0987"/>
    <w:rsid w:val="000F0B89"/>
    <w:rsid w:val="000F0BB1"/>
    <w:rsid w:val="000F1048"/>
    <w:rsid w:val="000F1117"/>
    <w:rsid w:val="000F12C5"/>
    <w:rsid w:val="000F12CD"/>
    <w:rsid w:val="000F131F"/>
    <w:rsid w:val="000F132A"/>
    <w:rsid w:val="000F1474"/>
    <w:rsid w:val="000F1586"/>
    <w:rsid w:val="000F15F1"/>
    <w:rsid w:val="000F1650"/>
    <w:rsid w:val="000F171C"/>
    <w:rsid w:val="000F1825"/>
    <w:rsid w:val="000F1856"/>
    <w:rsid w:val="000F18C3"/>
    <w:rsid w:val="000F1957"/>
    <w:rsid w:val="000F196E"/>
    <w:rsid w:val="000F1B50"/>
    <w:rsid w:val="000F1DF7"/>
    <w:rsid w:val="000F2112"/>
    <w:rsid w:val="000F2206"/>
    <w:rsid w:val="000F23A4"/>
    <w:rsid w:val="000F2573"/>
    <w:rsid w:val="000F263A"/>
    <w:rsid w:val="000F2674"/>
    <w:rsid w:val="000F26E0"/>
    <w:rsid w:val="000F28D1"/>
    <w:rsid w:val="000F299D"/>
    <w:rsid w:val="000F2A83"/>
    <w:rsid w:val="000F2C0E"/>
    <w:rsid w:val="000F2F6A"/>
    <w:rsid w:val="000F2FDE"/>
    <w:rsid w:val="000F313B"/>
    <w:rsid w:val="000F32D0"/>
    <w:rsid w:val="000F3447"/>
    <w:rsid w:val="000F3595"/>
    <w:rsid w:val="000F36C0"/>
    <w:rsid w:val="000F3775"/>
    <w:rsid w:val="000F39E1"/>
    <w:rsid w:val="000F3BAE"/>
    <w:rsid w:val="000F3BEF"/>
    <w:rsid w:val="000F3CBE"/>
    <w:rsid w:val="000F3DDC"/>
    <w:rsid w:val="000F3E4C"/>
    <w:rsid w:val="000F4032"/>
    <w:rsid w:val="000F403A"/>
    <w:rsid w:val="000F4295"/>
    <w:rsid w:val="000F4340"/>
    <w:rsid w:val="000F436A"/>
    <w:rsid w:val="000F4611"/>
    <w:rsid w:val="000F46E6"/>
    <w:rsid w:val="000F48A9"/>
    <w:rsid w:val="000F4958"/>
    <w:rsid w:val="000F49B5"/>
    <w:rsid w:val="000F4F72"/>
    <w:rsid w:val="000F504C"/>
    <w:rsid w:val="000F5089"/>
    <w:rsid w:val="000F50A5"/>
    <w:rsid w:val="000F50DE"/>
    <w:rsid w:val="000F5149"/>
    <w:rsid w:val="000F52D5"/>
    <w:rsid w:val="000F54D6"/>
    <w:rsid w:val="000F54DB"/>
    <w:rsid w:val="000F5821"/>
    <w:rsid w:val="000F58FE"/>
    <w:rsid w:val="000F5A95"/>
    <w:rsid w:val="000F5B7E"/>
    <w:rsid w:val="000F5C3E"/>
    <w:rsid w:val="000F5CC2"/>
    <w:rsid w:val="000F5D84"/>
    <w:rsid w:val="000F5EBD"/>
    <w:rsid w:val="000F5F46"/>
    <w:rsid w:val="000F61F3"/>
    <w:rsid w:val="000F65E2"/>
    <w:rsid w:val="000F6679"/>
    <w:rsid w:val="000F675E"/>
    <w:rsid w:val="000F6910"/>
    <w:rsid w:val="000F6937"/>
    <w:rsid w:val="000F694C"/>
    <w:rsid w:val="000F6A97"/>
    <w:rsid w:val="000F6BEA"/>
    <w:rsid w:val="000F6D39"/>
    <w:rsid w:val="000F6D62"/>
    <w:rsid w:val="000F721C"/>
    <w:rsid w:val="000F72E7"/>
    <w:rsid w:val="000F7567"/>
    <w:rsid w:val="000F757F"/>
    <w:rsid w:val="000F798B"/>
    <w:rsid w:val="000F79DE"/>
    <w:rsid w:val="000F7BE4"/>
    <w:rsid w:val="000F7BF0"/>
    <w:rsid w:val="000F7D9B"/>
    <w:rsid w:val="000F7DF9"/>
    <w:rsid w:val="000FAA41"/>
    <w:rsid w:val="00100017"/>
    <w:rsid w:val="0010011E"/>
    <w:rsid w:val="00100214"/>
    <w:rsid w:val="00100257"/>
    <w:rsid w:val="001002ED"/>
    <w:rsid w:val="00100360"/>
    <w:rsid w:val="00100367"/>
    <w:rsid w:val="001006DD"/>
    <w:rsid w:val="001007B6"/>
    <w:rsid w:val="0010086F"/>
    <w:rsid w:val="00100873"/>
    <w:rsid w:val="001008EC"/>
    <w:rsid w:val="00100A44"/>
    <w:rsid w:val="00100B60"/>
    <w:rsid w:val="0010118F"/>
    <w:rsid w:val="00101821"/>
    <w:rsid w:val="00101ACE"/>
    <w:rsid w:val="00101C16"/>
    <w:rsid w:val="00101FEF"/>
    <w:rsid w:val="0010209E"/>
    <w:rsid w:val="001021E4"/>
    <w:rsid w:val="001024C8"/>
    <w:rsid w:val="001025F9"/>
    <w:rsid w:val="0010288D"/>
    <w:rsid w:val="00102923"/>
    <w:rsid w:val="001029AF"/>
    <w:rsid w:val="00102BE9"/>
    <w:rsid w:val="00102C84"/>
    <w:rsid w:val="00102CEB"/>
    <w:rsid w:val="00102CFD"/>
    <w:rsid w:val="00102EAC"/>
    <w:rsid w:val="00102FAA"/>
    <w:rsid w:val="0010318E"/>
    <w:rsid w:val="0010325B"/>
    <w:rsid w:val="00103345"/>
    <w:rsid w:val="00103412"/>
    <w:rsid w:val="0010353D"/>
    <w:rsid w:val="00103582"/>
    <w:rsid w:val="00103698"/>
    <w:rsid w:val="0010373D"/>
    <w:rsid w:val="0010384A"/>
    <w:rsid w:val="001038CD"/>
    <w:rsid w:val="001038F4"/>
    <w:rsid w:val="00103981"/>
    <w:rsid w:val="00103A66"/>
    <w:rsid w:val="00103B61"/>
    <w:rsid w:val="00103C12"/>
    <w:rsid w:val="00103C29"/>
    <w:rsid w:val="00103EBD"/>
    <w:rsid w:val="001042C0"/>
    <w:rsid w:val="001045CD"/>
    <w:rsid w:val="0010469C"/>
    <w:rsid w:val="001049A2"/>
    <w:rsid w:val="001049BC"/>
    <w:rsid w:val="00104A20"/>
    <w:rsid w:val="00104B1C"/>
    <w:rsid w:val="00104C5C"/>
    <w:rsid w:val="00104D08"/>
    <w:rsid w:val="00104D42"/>
    <w:rsid w:val="00104D82"/>
    <w:rsid w:val="00104E04"/>
    <w:rsid w:val="00105050"/>
    <w:rsid w:val="001051C6"/>
    <w:rsid w:val="001051FA"/>
    <w:rsid w:val="00105287"/>
    <w:rsid w:val="00105330"/>
    <w:rsid w:val="0010583F"/>
    <w:rsid w:val="00105882"/>
    <w:rsid w:val="00105CFD"/>
    <w:rsid w:val="00105D98"/>
    <w:rsid w:val="00105F9C"/>
    <w:rsid w:val="00106063"/>
    <w:rsid w:val="00106095"/>
    <w:rsid w:val="00106230"/>
    <w:rsid w:val="00106352"/>
    <w:rsid w:val="00106354"/>
    <w:rsid w:val="001063E7"/>
    <w:rsid w:val="001064E8"/>
    <w:rsid w:val="001065FA"/>
    <w:rsid w:val="0010664B"/>
    <w:rsid w:val="00106677"/>
    <w:rsid w:val="001066E2"/>
    <w:rsid w:val="00106A14"/>
    <w:rsid w:val="00106A35"/>
    <w:rsid w:val="00106A57"/>
    <w:rsid w:val="00106BCB"/>
    <w:rsid w:val="00106CE9"/>
    <w:rsid w:val="00106EAD"/>
    <w:rsid w:val="00106EF1"/>
    <w:rsid w:val="00106F9F"/>
    <w:rsid w:val="0010703C"/>
    <w:rsid w:val="00107056"/>
    <w:rsid w:val="001071AA"/>
    <w:rsid w:val="0010724F"/>
    <w:rsid w:val="001072AD"/>
    <w:rsid w:val="001072BA"/>
    <w:rsid w:val="001077DA"/>
    <w:rsid w:val="00110027"/>
    <w:rsid w:val="0011017B"/>
    <w:rsid w:val="0011030C"/>
    <w:rsid w:val="0011034A"/>
    <w:rsid w:val="0011037C"/>
    <w:rsid w:val="001103F7"/>
    <w:rsid w:val="00110481"/>
    <w:rsid w:val="00110492"/>
    <w:rsid w:val="001104A0"/>
    <w:rsid w:val="001104C6"/>
    <w:rsid w:val="00110635"/>
    <w:rsid w:val="0011070D"/>
    <w:rsid w:val="00110736"/>
    <w:rsid w:val="001108DD"/>
    <w:rsid w:val="001109BB"/>
    <w:rsid w:val="00110B40"/>
    <w:rsid w:val="00110BB1"/>
    <w:rsid w:val="00110EAA"/>
    <w:rsid w:val="001110A8"/>
    <w:rsid w:val="00111170"/>
    <w:rsid w:val="0011125E"/>
    <w:rsid w:val="00111506"/>
    <w:rsid w:val="0011158D"/>
    <w:rsid w:val="001115F5"/>
    <w:rsid w:val="0011174B"/>
    <w:rsid w:val="001117F3"/>
    <w:rsid w:val="0011186E"/>
    <w:rsid w:val="0011188A"/>
    <w:rsid w:val="001118C8"/>
    <w:rsid w:val="00111CF5"/>
    <w:rsid w:val="00111D01"/>
    <w:rsid w:val="00111F3D"/>
    <w:rsid w:val="00111FF2"/>
    <w:rsid w:val="001121C0"/>
    <w:rsid w:val="001124A3"/>
    <w:rsid w:val="00112533"/>
    <w:rsid w:val="00112560"/>
    <w:rsid w:val="00112572"/>
    <w:rsid w:val="0011261E"/>
    <w:rsid w:val="001126B5"/>
    <w:rsid w:val="001128C5"/>
    <w:rsid w:val="00112971"/>
    <w:rsid w:val="00112ACE"/>
    <w:rsid w:val="00112BA2"/>
    <w:rsid w:val="00112BCC"/>
    <w:rsid w:val="00112C79"/>
    <w:rsid w:val="00112CC5"/>
    <w:rsid w:val="00112CF3"/>
    <w:rsid w:val="00112D43"/>
    <w:rsid w:val="00112DD0"/>
    <w:rsid w:val="00112E8E"/>
    <w:rsid w:val="00113125"/>
    <w:rsid w:val="0011312E"/>
    <w:rsid w:val="00113332"/>
    <w:rsid w:val="0011341A"/>
    <w:rsid w:val="001136F6"/>
    <w:rsid w:val="0011370B"/>
    <w:rsid w:val="001137CA"/>
    <w:rsid w:val="001137CC"/>
    <w:rsid w:val="00113865"/>
    <w:rsid w:val="001138E5"/>
    <w:rsid w:val="00113927"/>
    <w:rsid w:val="00113949"/>
    <w:rsid w:val="00113A91"/>
    <w:rsid w:val="00113B62"/>
    <w:rsid w:val="00113B7D"/>
    <w:rsid w:val="00113C29"/>
    <w:rsid w:val="00113D82"/>
    <w:rsid w:val="00113E29"/>
    <w:rsid w:val="00113E9C"/>
    <w:rsid w:val="00113EC6"/>
    <w:rsid w:val="0011403E"/>
    <w:rsid w:val="001141B7"/>
    <w:rsid w:val="001144EA"/>
    <w:rsid w:val="001146B6"/>
    <w:rsid w:val="00114726"/>
    <w:rsid w:val="00114872"/>
    <w:rsid w:val="00114CFE"/>
    <w:rsid w:val="00114EC3"/>
    <w:rsid w:val="00115014"/>
    <w:rsid w:val="0011501B"/>
    <w:rsid w:val="0011516F"/>
    <w:rsid w:val="0011518A"/>
    <w:rsid w:val="001151C5"/>
    <w:rsid w:val="001154FB"/>
    <w:rsid w:val="0011557D"/>
    <w:rsid w:val="0011562F"/>
    <w:rsid w:val="00115670"/>
    <w:rsid w:val="0011567B"/>
    <w:rsid w:val="00115E29"/>
    <w:rsid w:val="00115EEB"/>
    <w:rsid w:val="00116216"/>
    <w:rsid w:val="0011622D"/>
    <w:rsid w:val="0011622E"/>
    <w:rsid w:val="00116370"/>
    <w:rsid w:val="00116415"/>
    <w:rsid w:val="001165D9"/>
    <w:rsid w:val="0011679A"/>
    <w:rsid w:val="00116848"/>
    <w:rsid w:val="001168F1"/>
    <w:rsid w:val="001169ED"/>
    <w:rsid w:val="00116A70"/>
    <w:rsid w:val="00116C11"/>
    <w:rsid w:val="00116CDD"/>
    <w:rsid w:val="00116DB9"/>
    <w:rsid w:val="00116FE9"/>
    <w:rsid w:val="00117075"/>
    <w:rsid w:val="001170E1"/>
    <w:rsid w:val="001171EB"/>
    <w:rsid w:val="001173A8"/>
    <w:rsid w:val="0011756F"/>
    <w:rsid w:val="001176F4"/>
    <w:rsid w:val="00117A29"/>
    <w:rsid w:val="00117CDE"/>
    <w:rsid w:val="00117D64"/>
    <w:rsid w:val="00117E28"/>
    <w:rsid w:val="00117F76"/>
    <w:rsid w:val="001202A8"/>
    <w:rsid w:val="0012067A"/>
    <w:rsid w:val="00120B06"/>
    <w:rsid w:val="00120C40"/>
    <w:rsid w:val="00120C55"/>
    <w:rsid w:val="00120E51"/>
    <w:rsid w:val="00120F47"/>
    <w:rsid w:val="00121062"/>
    <w:rsid w:val="001210F2"/>
    <w:rsid w:val="001211DA"/>
    <w:rsid w:val="00121204"/>
    <w:rsid w:val="00121324"/>
    <w:rsid w:val="001213D4"/>
    <w:rsid w:val="001216DD"/>
    <w:rsid w:val="00121841"/>
    <w:rsid w:val="00121898"/>
    <w:rsid w:val="001219B3"/>
    <w:rsid w:val="00121E82"/>
    <w:rsid w:val="00121E83"/>
    <w:rsid w:val="00121EF9"/>
    <w:rsid w:val="001220E3"/>
    <w:rsid w:val="001222D5"/>
    <w:rsid w:val="0012230E"/>
    <w:rsid w:val="00122535"/>
    <w:rsid w:val="00122615"/>
    <w:rsid w:val="00122841"/>
    <w:rsid w:val="00122AE5"/>
    <w:rsid w:val="00122BFB"/>
    <w:rsid w:val="00122C32"/>
    <w:rsid w:val="00122D7F"/>
    <w:rsid w:val="00122DC6"/>
    <w:rsid w:val="00122DD5"/>
    <w:rsid w:val="00122E22"/>
    <w:rsid w:val="00122F33"/>
    <w:rsid w:val="00122F44"/>
    <w:rsid w:val="00123416"/>
    <w:rsid w:val="0012343F"/>
    <w:rsid w:val="00123495"/>
    <w:rsid w:val="00123573"/>
    <w:rsid w:val="00123883"/>
    <w:rsid w:val="00123DC4"/>
    <w:rsid w:val="00123F1E"/>
    <w:rsid w:val="00123F3E"/>
    <w:rsid w:val="00123FC6"/>
    <w:rsid w:val="00124307"/>
    <w:rsid w:val="001244F4"/>
    <w:rsid w:val="0012453F"/>
    <w:rsid w:val="0012475B"/>
    <w:rsid w:val="00124A48"/>
    <w:rsid w:val="00124BA8"/>
    <w:rsid w:val="00124CC3"/>
    <w:rsid w:val="00124FC4"/>
    <w:rsid w:val="0012514D"/>
    <w:rsid w:val="00125207"/>
    <w:rsid w:val="001252D2"/>
    <w:rsid w:val="001253D0"/>
    <w:rsid w:val="001254BF"/>
    <w:rsid w:val="00125845"/>
    <w:rsid w:val="00125859"/>
    <w:rsid w:val="00125886"/>
    <w:rsid w:val="001258AE"/>
    <w:rsid w:val="00125987"/>
    <w:rsid w:val="00125CAE"/>
    <w:rsid w:val="00125FA3"/>
    <w:rsid w:val="00126183"/>
    <w:rsid w:val="0012618E"/>
    <w:rsid w:val="0012628A"/>
    <w:rsid w:val="001263D0"/>
    <w:rsid w:val="001265A1"/>
    <w:rsid w:val="001266A5"/>
    <w:rsid w:val="001266D1"/>
    <w:rsid w:val="0012681F"/>
    <w:rsid w:val="00126854"/>
    <w:rsid w:val="001268E3"/>
    <w:rsid w:val="0012695B"/>
    <w:rsid w:val="001269C8"/>
    <w:rsid w:val="00126B04"/>
    <w:rsid w:val="00126D8B"/>
    <w:rsid w:val="00126D9A"/>
    <w:rsid w:val="00126DEC"/>
    <w:rsid w:val="00126F04"/>
    <w:rsid w:val="00126FA6"/>
    <w:rsid w:val="001270C2"/>
    <w:rsid w:val="0012715C"/>
    <w:rsid w:val="001271F7"/>
    <w:rsid w:val="0012724D"/>
    <w:rsid w:val="001273C6"/>
    <w:rsid w:val="0012759A"/>
    <w:rsid w:val="00127BCC"/>
    <w:rsid w:val="00127BE9"/>
    <w:rsid w:val="00127BF7"/>
    <w:rsid w:val="00127C7D"/>
    <w:rsid w:val="00127DAC"/>
    <w:rsid w:val="00127E8E"/>
    <w:rsid w:val="00127F5A"/>
    <w:rsid w:val="001301F5"/>
    <w:rsid w:val="00130349"/>
    <w:rsid w:val="001304E0"/>
    <w:rsid w:val="001306E7"/>
    <w:rsid w:val="00130720"/>
    <w:rsid w:val="00130753"/>
    <w:rsid w:val="0013085C"/>
    <w:rsid w:val="001309BB"/>
    <w:rsid w:val="001309D7"/>
    <w:rsid w:val="00130ACC"/>
    <w:rsid w:val="00130C55"/>
    <w:rsid w:val="00130DBA"/>
    <w:rsid w:val="00130FB2"/>
    <w:rsid w:val="0013115F"/>
    <w:rsid w:val="00131521"/>
    <w:rsid w:val="001317AE"/>
    <w:rsid w:val="00131833"/>
    <w:rsid w:val="00131B3F"/>
    <w:rsid w:val="00131B5D"/>
    <w:rsid w:val="00131B71"/>
    <w:rsid w:val="00131D10"/>
    <w:rsid w:val="00131F69"/>
    <w:rsid w:val="001322C4"/>
    <w:rsid w:val="0013232B"/>
    <w:rsid w:val="00132667"/>
    <w:rsid w:val="0013270D"/>
    <w:rsid w:val="001327A1"/>
    <w:rsid w:val="00132848"/>
    <w:rsid w:val="00132973"/>
    <w:rsid w:val="00132B56"/>
    <w:rsid w:val="00132D14"/>
    <w:rsid w:val="00132E83"/>
    <w:rsid w:val="00133008"/>
    <w:rsid w:val="00133022"/>
    <w:rsid w:val="001330A2"/>
    <w:rsid w:val="001330AF"/>
    <w:rsid w:val="00133149"/>
    <w:rsid w:val="0013324D"/>
    <w:rsid w:val="00133411"/>
    <w:rsid w:val="00133748"/>
    <w:rsid w:val="00133942"/>
    <w:rsid w:val="00133B20"/>
    <w:rsid w:val="00133D9C"/>
    <w:rsid w:val="00133E14"/>
    <w:rsid w:val="00134255"/>
    <w:rsid w:val="001342C1"/>
    <w:rsid w:val="001343C3"/>
    <w:rsid w:val="00134409"/>
    <w:rsid w:val="0013461A"/>
    <w:rsid w:val="00134728"/>
    <w:rsid w:val="0013491F"/>
    <w:rsid w:val="00134927"/>
    <w:rsid w:val="00134A33"/>
    <w:rsid w:val="00134A43"/>
    <w:rsid w:val="00134A9A"/>
    <w:rsid w:val="00134D18"/>
    <w:rsid w:val="00134DB6"/>
    <w:rsid w:val="00135423"/>
    <w:rsid w:val="0013542B"/>
    <w:rsid w:val="00135570"/>
    <w:rsid w:val="0013579B"/>
    <w:rsid w:val="00135B6E"/>
    <w:rsid w:val="00135D48"/>
    <w:rsid w:val="00135D65"/>
    <w:rsid w:val="00135F04"/>
    <w:rsid w:val="0013607E"/>
    <w:rsid w:val="00136098"/>
    <w:rsid w:val="0013653B"/>
    <w:rsid w:val="00136565"/>
    <w:rsid w:val="00136608"/>
    <w:rsid w:val="00136638"/>
    <w:rsid w:val="0013692F"/>
    <w:rsid w:val="00136A5F"/>
    <w:rsid w:val="00136A80"/>
    <w:rsid w:val="00136A90"/>
    <w:rsid w:val="00136ABC"/>
    <w:rsid w:val="00136BE7"/>
    <w:rsid w:val="00136CCC"/>
    <w:rsid w:val="00136D19"/>
    <w:rsid w:val="00136E35"/>
    <w:rsid w:val="001374AD"/>
    <w:rsid w:val="001378A1"/>
    <w:rsid w:val="0013795D"/>
    <w:rsid w:val="00137A22"/>
    <w:rsid w:val="00137AB2"/>
    <w:rsid w:val="00140280"/>
    <w:rsid w:val="001403B5"/>
    <w:rsid w:val="001406A0"/>
    <w:rsid w:val="00140714"/>
    <w:rsid w:val="00140770"/>
    <w:rsid w:val="0014078B"/>
    <w:rsid w:val="00140796"/>
    <w:rsid w:val="0014079A"/>
    <w:rsid w:val="001407A5"/>
    <w:rsid w:val="001408AE"/>
    <w:rsid w:val="001408C2"/>
    <w:rsid w:val="00140C0B"/>
    <w:rsid w:val="00140CAC"/>
    <w:rsid w:val="00140D06"/>
    <w:rsid w:val="00140D28"/>
    <w:rsid w:val="00140FF4"/>
    <w:rsid w:val="00141174"/>
    <w:rsid w:val="00141247"/>
    <w:rsid w:val="001412F8"/>
    <w:rsid w:val="00141474"/>
    <w:rsid w:val="0014149E"/>
    <w:rsid w:val="001414CB"/>
    <w:rsid w:val="00141887"/>
    <w:rsid w:val="0014188E"/>
    <w:rsid w:val="001419D4"/>
    <w:rsid w:val="00141B51"/>
    <w:rsid w:val="00141B6C"/>
    <w:rsid w:val="00141C66"/>
    <w:rsid w:val="00141CCC"/>
    <w:rsid w:val="00141FAC"/>
    <w:rsid w:val="00141FCC"/>
    <w:rsid w:val="00142098"/>
    <w:rsid w:val="0014222C"/>
    <w:rsid w:val="001423A9"/>
    <w:rsid w:val="00142686"/>
    <w:rsid w:val="00142692"/>
    <w:rsid w:val="0014272A"/>
    <w:rsid w:val="00142938"/>
    <w:rsid w:val="0014296F"/>
    <w:rsid w:val="00142992"/>
    <w:rsid w:val="001429BB"/>
    <w:rsid w:val="00142A91"/>
    <w:rsid w:val="00142AAF"/>
    <w:rsid w:val="00142E47"/>
    <w:rsid w:val="00142EAE"/>
    <w:rsid w:val="0014302E"/>
    <w:rsid w:val="0014305E"/>
    <w:rsid w:val="00143322"/>
    <w:rsid w:val="00143410"/>
    <w:rsid w:val="0014343E"/>
    <w:rsid w:val="00143515"/>
    <w:rsid w:val="00143559"/>
    <w:rsid w:val="001435A9"/>
    <w:rsid w:val="001436FB"/>
    <w:rsid w:val="001438B5"/>
    <w:rsid w:val="00143981"/>
    <w:rsid w:val="00143B81"/>
    <w:rsid w:val="00143C9D"/>
    <w:rsid w:val="00143CCA"/>
    <w:rsid w:val="00143DBE"/>
    <w:rsid w:val="00144237"/>
    <w:rsid w:val="001444EA"/>
    <w:rsid w:val="001447A9"/>
    <w:rsid w:val="00144902"/>
    <w:rsid w:val="00144DAC"/>
    <w:rsid w:val="00144EDD"/>
    <w:rsid w:val="00144FAD"/>
    <w:rsid w:val="0014514C"/>
    <w:rsid w:val="00145192"/>
    <w:rsid w:val="00145298"/>
    <w:rsid w:val="00145311"/>
    <w:rsid w:val="0014538F"/>
    <w:rsid w:val="0014547A"/>
    <w:rsid w:val="001454B6"/>
    <w:rsid w:val="00145510"/>
    <w:rsid w:val="00145552"/>
    <w:rsid w:val="001456F4"/>
    <w:rsid w:val="00145723"/>
    <w:rsid w:val="00145823"/>
    <w:rsid w:val="00145D80"/>
    <w:rsid w:val="00145DE2"/>
    <w:rsid w:val="00145E54"/>
    <w:rsid w:val="00145E93"/>
    <w:rsid w:val="00146151"/>
    <w:rsid w:val="00146157"/>
    <w:rsid w:val="001461E7"/>
    <w:rsid w:val="00146584"/>
    <w:rsid w:val="00146932"/>
    <w:rsid w:val="00146A64"/>
    <w:rsid w:val="00146B3F"/>
    <w:rsid w:val="00146DD9"/>
    <w:rsid w:val="00146EC8"/>
    <w:rsid w:val="00146EF8"/>
    <w:rsid w:val="0014729E"/>
    <w:rsid w:val="0014754F"/>
    <w:rsid w:val="0014764B"/>
    <w:rsid w:val="0014766B"/>
    <w:rsid w:val="0015007B"/>
    <w:rsid w:val="0015022F"/>
    <w:rsid w:val="00150319"/>
    <w:rsid w:val="0015042D"/>
    <w:rsid w:val="001504A3"/>
    <w:rsid w:val="00150861"/>
    <w:rsid w:val="001509C9"/>
    <w:rsid w:val="00150A6D"/>
    <w:rsid w:val="00150A7B"/>
    <w:rsid w:val="00150AD2"/>
    <w:rsid w:val="00150C51"/>
    <w:rsid w:val="00150DD7"/>
    <w:rsid w:val="00150EB8"/>
    <w:rsid w:val="00150F6D"/>
    <w:rsid w:val="00151046"/>
    <w:rsid w:val="0015123B"/>
    <w:rsid w:val="00151584"/>
    <w:rsid w:val="00151896"/>
    <w:rsid w:val="001518EC"/>
    <w:rsid w:val="00151975"/>
    <w:rsid w:val="00151D24"/>
    <w:rsid w:val="00151E4D"/>
    <w:rsid w:val="00151E5F"/>
    <w:rsid w:val="00152330"/>
    <w:rsid w:val="00152433"/>
    <w:rsid w:val="0015249B"/>
    <w:rsid w:val="001524C1"/>
    <w:rsid w:val="00152667"/>
    <w:rsid w:val="0015269F"/>
    <w:rsid w:val="001528E0"/>
    <w:rsid w:val="00152979"/>
    <w:rsid w:val="00152B54"/>
    <w:rsid w:val="00152D2A"/>
    <w:rsid w:val="00152D6D"/>
    <w:rsid w:val="00152E13"/>
    <w:rsid w:val="00153374"/>
    <w:rsid w:val="001533A9"/>
    <w:rsid w:val="001533C8"/>
    <w:rsid w:val="0015341A"/>
    <w:rsid w:val="00153580"/>
    <w:rsid w:val="00153862"/>
    <w:rsid w:val="00153A66"/>
    <w:rsid w:val="00153A69"/>
    <w:rsid w:val="00153BF1"/>
    <w:rsid w:val="00153D80"/>
    <w:rsid w:val="00153E65"/>
    <w:rsid w:val="00153F2E"/>
    <w:rsid w:val="001542E7"/>
    <w:rsid w:val="001544AC"/>
    <w:rsid w:val="00154556"/>
    <w:rsid w:val="001547FF"/>
    <w:rsid w:val="0015483C"/>
    <w:rsid w:val="00154A6E"/>
    <w:rsid w:val="00154B30"/>
    <w:rsid w:val="00154BD4"/>
    <w:rsid w:val="00154C03"/>
    <w:rsid w:val="00154ED3"/>
    <w:rsid w:val="00154F59"/>
    <w:rsid w:val="00154FF9"/>
    <w:rsid w:val="00155228"/>
    <w:rsid w:val="001553BD"/>
    <w:rsid w:val="001554AC"/>
    <w:rsid w:val="001555C3"/>
    <w:rsid w:val="001556D6"/>
    <w:rsid w:val="00155768"/>
    <w:rsid w:val="0015582E"/>
    <w:rsid w:val="00155843"/>
    <w:rsid w:val="00155920"/>
    <w:rsid w:val="00155962"/>
    <w:rsid w:val="00155A0B"/>
    <w:rsid w:val="00155A26"/>
    <w:rsid w:val="00155DF4"/>
    <w:rsid w:val="00155E10"/>
    <w:rsid w:val="00155F28"/>
    <w:rsid w:val="00155FED"/>
    <w:rsid w:val="00156039"/>
    <w:rsid w:val="00156270"/>
    <w:rsid w:val="001562FF"/>
    <w:rsid w:val="00156384"/>
    <w:rsid w:val="0015643C"/>
    <w:rsid w:val="001564DC"/>
    <w:rsid w:val="0015651A"/>
    <w:rsid w:val="00156658"/>
    <w:rsid w:val="001568D7"/>
    <w:rsid w:val="00156C1C"/>
    <w:rsid w:val="00156C66"/>
    <w:rsid w:val="00156CB2"/>
    <w:rsid w:val="00156D6E"/>
    <w:rsid w:val="00156F2A"/>
    <w:rsid w:val="00156F5B"/>
    <w:rsid w:val="00157045"/>
    <w:rsid w:val="00157295"/>
    <w:rsid w:val="00157533"/>
    <w:rsid w:val="00157745"/>
    <w:rsid w:val="00157843"/>
    <w:rsid w:val="0015787B"/>
    <w:rsid w:val="001578AA"/>
    <w:rsid w:val="00157B75"/>
    <w:rsid w:val="00157C70"/>
    <w:rsid w:val="00157D91"/>
    <w:rsid w:val="00157DC2"/>
    <w:rsid w:val="00157E12"/>
    <w:rsid w:val="00157E8F"/>
    <w:rsid w:val="00157F0B"/>
    <w:rsid w:val="001602C8"/>
    <w:rsid w:val="001602FD"/>
    <w:rsid w:val="0016035A"/>
    <w:rsid w:val="0016037B"/>
    <w:rsid w:val="0016042C"/>
    <w:rsid w:val="00160499"/>
    <w:rsid w:val="0016050C"/>
    <w:rsid w:val="001608CF"/>
    <w:rsid w:val="001608E9"/>
    <w:rsid w:val="001608F2"/>
    <w:rsid w:val="0016097A"/>
    <w:rsid w:val="00160B5B"/>
    <w:rsid w:val="00160C17"/>
    <w:rsid w:val="00160C72"/>
    <w:rsid w:val="00160D50"/>
    <w:rsid w:val="00160E1F"/>
    <w:rsid w:val="00160F14"/>
    <w:rsid w:val="001610C3"/>
    <w:rsid w:val="0016115A"/>
    <w:rsid w:val="00161209"/>
    <w:rsid w:val="00161248"/>
    <w:rsid w:val="001614EC"/>
    <w:rsid w:val="00161527"/>
    <w:rsid w:val="001615CE"/>
    <w:rsid w:val="00161887"/>
    <w:rsid w:val="0016190B"/>
    <w:rsid w:val="00161B21"/>
    <w:rsid w:val="00161CF3"/>
    <w:rsid w:val="00161D2B"/>
    <w:rsid w:val="00161E30"/>
    <w:rsid w:val="00161E7A"/>
    <w:rsid w:val="0016215A"/>
    <w:rsid w:val="001621DA"/>
    <w:rsid w:val="00162416"/>
    <w:rsid w:val="00162446"/>
    <w:rsid w:val="0016244C"/>
    <w:rsid w:val="0016266F"/>
    <w:rsid w:val="0016280F"/>
    <w:rsid w:val="001628C9"/>
    <w:rsid w:val="00162A3A"/>
    <w:rsid w:val="00162D3F"/>
    <w:rsid w:val="00162FBF"/>
    <w:rsid w:val="00162FE0"/>
    <w:rsid w:val="0016300C"/>
    <w:rsid w:val="00163014"/>
    <w:rsid w:val="00163282"/>
    <w:rsid w:val="00163430"/>
    <w:rsid w:val="0016374B"/>
    <w:rsid w:val="001639C6"/>
    <w:rsid w:val="00163A2F"/>
    <w:rsid w:val="00163BD7"/>
    <w:rsid w:val="00163C5A"/>
    <w:rsid w:val="00163D65"/>
    <w:rsid w:val="00163FAB"/>
    <w:rsid w:val="0016444E"/>
    <w:rsid w:val="001647DF"/>
    <w:rsid w:val="0016482B"/>
    <w:rsid w:val="00164B78"/>
    <w:rsid w:val="00164DA4"/>
    <w:rsid w:val="00164E9A"/>
    <w:rsid w:val="00164F43"/>
    <w:rsid w:val="0016519F"/>
    <w:rsid w:val="0016523C"/>
    <w:rsid w:val="0016559F"/>
    <w:rsid w:val="00165631"/>
    <w:rsid w:val="00165655"/>
    <w:rsid w:val="001659F6"/>
    <w:rsid w:val="00165AFC"/>
    <w:rsid w:val="00165E6B"/>
    <w:rsid w:val="00165EBF"/>
    <w:rsid w:val="00165F04"/>
    <w:rsid w:val="00165F93"/>
    <w:rsid w:val="00166257"/>
    <w:rsid w:val="0016626B"/>
    <w:rsid w:val="001662E0"/>
    <w:rsid w:val="0016644A"/>
    <w:rsid w:val="001664FC"/>
    <w:rsid w:val="0016657C"/>
    <w:rsid w:val="001665BA"/>
    <w:rsid w:val="001666C9"/>
    <w:rsid w:val="001667A6"/>
    <w:rsid w:val="001668C2"/>
    <w:rsid w:val="00166DD1"/>
    <w:rsid w:val="001671BA"/>
    <w:rsid w:val="001671C1"/>
    <w:rsid w:val="0016728D"/>
    <w:rsid w:val="001672DD"/>
    <w:rsid w:val="0016739E"/>
    <w:rsid w:val="0016743A"/>
    <w:rsid w:val="001675A0"/>
    <w:rsid w:val="00167712"/>
    <w:rsid w:val="00167786"/>
    <w:rsid w:val="00167C7C"/>
    <w:rsid w:val="00167F10"/>
    <w:rsid w:val="00167FB4"/>
    <w:rsid w:val="00170065"/>
    <w:rsid w:val="001700EB"/>
    <w:rsid w:val="00170116"/>
    <w:rsid w:val="001701F0"/>
    <w:rsid w:val="00170327"/>
    <w:rsid w:val="00170340"/>
    <w:rsid w:val="001704F6"/>
    <w:rsid w:val="00170506"/>
    <w:rsid w:val="001706BE"/>
    <w:rsid w:val="001706CC"/>
    <w:rsid w:val="00170864"/>
    <w:rsid w:val="00170B2B"/>
    <w:rsid w:val="00170B40"/>
    <w:rsid w:val="00170BB7"/>
    <w:rsid w:val="00170C8A"/>
    <w:rsid w:val="00170D1D"/>
    <w:rsid w:val="00170DEE"/>
    <w:rsid w:val="00170F6B"/>
    <w:rsid w:val="00170FE6"/>
    <w:rsid w:val="00170FEF"/>
    <w:rsid w:val="0017100E"/>
    <w:rsid w:val="00171045"/>
    <w:rsid w:val="00171409"/>
    <w:rsid w:val="00171749"/>
    <w:rsid w:val="001718F5"/>
    <w:rsid w:val="0017193F"/>
    <w:rsid w:val="001719F4"/>
    <w:rsid w:val="00171C2A"/>
    <w:rsid w:val="00171D1E"/>
    <w:rsid w:val="00171DCA"/>
    <w:rsid w:val="00171E94"/>
    <w:rsid w:val="00171FF1"/>
    <w:rsid w:val="0017204C"/>
    <w:rsid w:val="00172166"/>
    <w:rsid w:val="001721F1"/>
    <w:rsid w:val="0017227A"/>
    <w:rsid w:val="001723F8"/>
    <w:rsid w:val="0017244A"/>
    <w:rsid w:val="0017267C"/>
    <w:rsid w:val="00172735"/>
    <w:rsid w:val="0017284F"/>
    <w:rsid w:val="00172931"/>
    <w:rsid w:val="00172A57"/>
    <w:rsid w:val="00172C2C"/>
    <w:rsid w:val="00172C2D"/>
    <w:rsid w:val="00172CC2"/>
    <w:rsid w:val="00172E03"/>
    <w:rsid w:val="00173082"/>
    <w:rsid w:val="0017326F"/>
    <w:rsid w:val="001733A4"/>
    <w:rsid w:val="001737C5"/>
    <w:rsid w:val="00173DAE"/>
    <w:rsid w:val="00173E39"/>
    <w:rsid w:val="00174013"/>
    <w:rsid w:val="00174192"/>
    <w:rsid w:val="001741E9"/>
    <w:rsid w:val="00174207"/>
    <w:rsid w:val="00174260"/>
    <w:rsid w:val="001742C2"/>
    <w:rsid w:val="0017474B"/>
    <w:rsid w:val="00174879"/>
    <w:rsid w:val="001748DE"/>
    <w:rsid w:val="00174933"/>
    <w:rsid w:val="00174A73"/>
    <w:rsid w:val="00174B2B"/>
    <w:rsid w:val="00174B79"/>
    <w:rsid w:val="00174C10"/>
    <w:rsid w:val="001750AC"/>
    <w:rsid w:val="001751C6"/>
    <w:rsid w:val="001751EF"/>
    <w:rsid w:val="001752F5"/>
    <w:rsid w:val="00175319"/>
    <w:rsid w:val="00175461"/>
    <w:rsid w:val="001755E0"/>
    <w:rsid w:val="001755EB"/>
    <w:rsid w:val="001756D7"/>
    <w:rsid w:val="001756F7"/>
    <w:rsid w:val="0017571C"/>
    <w:rsid w:val="0017578D"/>
    <w:rsid w:val="00175897"/>
    <w:rsid w:val="0017593C"/>
    <w:rsid w:val="00175B7B"/>
    <w:rsid w:val="00175C46"/>
    <w:rsid w:val="00176053"/>
    <w:rsid w:val="00176141"/>
    <w:rsid w:val="00176153"/>
    <w:rsid w:val="001762FF"/>
    <w:rsid w:val="0017638B"/>
    <w:rsid w:val="001764A6"/>
    <w:rsid w:val="001764C0"/>
    <w:rsid w:val="001765CE"/>
    <w:rsid w:val="001767CD"/>
    <w:rsid w:val="00176886"/>
    <w:rsid w:val="00176913"/>
    <w:rsid w:val="00176A97"/>
    <w:rsid w:val="00176DD3"/>
    <w:rsid w:val="00176F3D"/>
    <w:rsid w:val="0017713E"/>
    <w:rsid w:val="0017725B"/>
    <w:rsid w:val="00177410"/>
    <w:rsid w:val="00177528"/>
    <w:rsid w:val="0017789E"/>
    <w:rsid w:val="00177A02"/>
    <w:rsid w:val="00177A3B"/>
    <w:rsid w:val="00177AD8"/>
    <w:rsid w:val="00177B1C"/>
    <w:rsid w:val="00177DEE"/>
    <w:rsid w:val="00177FE4"/>
    <w:rsid w:val="00180065"/>
    <w:rsid w:val="0018068D"/>
    <w:rsid w:val="00180C3D"/>
    <w:rsid w:val="00180D54"/>
    <w:rsid w:val="00180DD3"/>
    <w:rsid w:val="00180E3D"/>
    <w:rsid w:val="00180F28"/>
    <w:rsid w:val="00180FAA"/>
    <w:rsid w:val="001811F5"/>
    <w:rsid w:val="001812F9"/>
    <w:rsid w:val="00181523"/>
    <w:rsid w:val="001815AA"/>
    <w:rsid w:val="0018184B"/>
    <w:rsid w:val="00181917"/>
    <w:rsid w:val="0018191B"/>
    <w:rsid w:val="001819A1"/>
    <w:rsid w:val="00181BF4"/>
    <w:rsid w:val="00181CF4"/>
    <w:rsid w:val="00181F46"/>
    <w:rsid w:val="00182061"/>
    <w:rsid w:val="00182073"/>
    <w:rsid w:val="00182144"/>
    <w:rsid w:val="001824BB"/>
    <w:rsid w:val="00182501"/>
    <w:rsid w:val="00182545"/>
    <w:rsid w:val="0018254E"/>
    <w:rsid w:val="00182C18"/>
    <w:rsid w:val="00182CBC"/>
    <w:rsid w:val="00182F85"/>
    <w:rsid w:val="00182FB0"/>
    <w:rsid w:val="001830FD"/>
    <w:rsid w:val="00183143"/>
    <w:rsid w:val="001833FB"/>
    <w:rsid w:val="00183666"/>
    <w:rsid w:val="00183726"/>
    <w:rsid w:val="0018373C"/>
    <w:rsid w:val="00183823"/>
    <w:rsid w:val="0018394B"/>
    <w:rsid w:val="00183A67"/>
    <w:rsid w:val="00183AAD"/>
    <w:rsid w:val="00183B40"/>
    <w:rsid w:val="00183D30"/>
    <w:rsid w:val="00183E90"/>
    <w:rsid w:val="00183F98"/>
    <w:rsid w:val="00184127"/>
    <w:rsid w:val="00184197"/>
    <w:rsid w:val="0018436A"/>
    <w:rsid w:val="0018449E"/>
    <w:rsid w:val="0018451B"/>
    <w:rsid w:val="00184538"/>
    <w:rsid w:val="001845CF"/>
    <w:rsid w:val="00184632"/>
    <w:rsid w:val="001847DA"/>
    <w:rsid w:val="0018483B"/>
    <w:rsid w:val="00184A60"/>
    <w:rsid w:val="00184AFA"/>
    <w:rsid w:val="00184B6A"/>
    <w:rsid w:val="00184C6F"/>
    <w:rsid w:val="00185064"/>
    <w:rsid w:val="00185166"/>
    <w:rsid w:val="00185357"/>
    <w:rsid w:val="00185760"/>
    <w:rsid w:val="0018588A"/>
    <w:rsid w:val="001858B9"/>
    <w:rsid w:val="00185B20"/>
    <w:rsid w:val="00185C43"/>
    <w:rsid w:val="00186392"/>
    <w:rsid w:val="00186596"/>
    <w:rsid w:val="001865EF"/>
    <w:rsid w:val="0018679F"/>
    <w:rsid w:val="00186824"/>
    <w:rsid w:val="00186A63"/>
    <w:rsid w:val="00186BB6"/>
    <w:rsid w:val="00186BDF"/>
    <w:rsid w:val="00186C81"/>
    <w:rsid w:val="00186CB5"/>
    <w:rsid w:val="00186D49"/>
    <w:rsid w:val="00186EFF"/>
    <w:rsid w:val="00187035"/>
    <w:rsid w:val="00187098"/>
    <w:rsid w:val="001872DE"/>
    <w:rsid w:val="001874C6"/>
    <w:rsid w:val="001876E9"/>
    <w:rsid w:val="00187913"/>
    <w:rsid w:val="00187B8B"/>
    <w:rsid w:val="00187BCB"/>
    <w:rsid w:val="00187EF7"/>
    <w:rsid w:val="00190228"/>
    <w:rsid w:val="001902C5"/>
    <w:rsid w:val="00190358"/>
    <w:rsid w:val="00190776"/>
    <w:rsid w:val="0019083F"/>
    <w:rsid w:val="00190A44"/>
    <w:rsid w:val="00190FFD"/>
    <w:rsid w:val="001911F0"/>
    <w:rsid w:val="0019128C"/>
    <w:rsid w:val="001912F7"/>
    <w:rsid w:val="0019143B"/>
    <w:rsid w:val="0019159F"/>
    <w:rsid w:val="00191693"/>
    <w:rsid w:val="0019170F"/>
    <w:rsid w:val="00191787"/>
    <w:rsid w:val="00191B0C"/>
    <w:rsid w:val="00191C6C"/>
    <w:rsid w:val="00191F4B"/>
    <w:rsid w:val="0019222B"/>
    <w:rsid w:val="001924BC"/>
    <w:rsid w:val="0019255A"/>
    <w:rsid w:val="0019275F"/>
    <w:rsid w:val="0019281A"/>
    <w:rsid w:val="00192CA6"/>
    <w:rsid w:val="00192F3A"/>
    <w:rsid w:val="00192FFA"/>
    <w:rsid w:val="00193119"/>
    <w:rsid w:val="0019314A"/>
    <w:rsid w:val="00193190"/>
    <w:rsid w:val="00193293"/>
    <w:rsid w:val="00193337"/>
    <w:rsid w:val="00193380"/>
    <w:rsid w:val="0019342A"/>
    <w:rsid w:val="00193636"/>
    <w:rsid w:val="0019369B"/>
    <w:rsid w:val="001936DF"/>
    <w:rsid w:val="001936E5"/>
    <w:rsid w:val="00193853"/>
    <w:rsid w:val="00193965"/>
    <w:rsid w:val="00193B38"/>
    <w:rsid w:val="00193D3F"/>
    <w:rsid w:val="00193EC9"/>
    <w:rsid w:val="00193EEB"/>
    <w:rsid w:val="00193F1E"/>
    <w:rsid w:val="001943B4"/>
    <w:rsid w:val="0019453E"/>
    <w:rsid w:val="00194604"/>
    <w:rsid w:val="0019469E"/>
    <w:rsid w:val="00194B75"/>
    <w:rsid w:val="00194BD1"/>
    <w:rsid w:val="00194C09"/>
    <w:rsid w:val="00194C36"/>
    <w:rsid w:val="00195023"/>
    <w:rsid w:val="00195346"/>
    <w:rsid w:val="0019541C"/>
    <w:rsid w:val="00195495"/>
    <w:rsid w:val="001954C4"/>
    <w:rsid w:val="001954F1"/>
    <w:rsid w:val="001958E7"/>
    <w:rsid w:val="00195965"/>
    <w:rsid w:val="00195A1E"/>
    <w:rsid w:val="00195A98"/>
    <w:rsid w:val="00195B96"/>
    <w:rsid w:val="00195D85"/>
    <w:rsid w:val="00196020"/>
    <w:rsid w:val="00196138"/>
    <w:rsid w:val="001961AB"/>
    <w:rsid w:val="0019620E"/>
    <w:rsid w:val="00196380"/>
    <w:rsid w:val="001964A1"/>
    <w:rsid w:val="001969BB"/>
    <w:rsid w:val="001969FE"/>
    <w:rsid w:val="00196AEB"/>
    <w:rsid w:val="00196B8C"/>
    <w:rsid w:val="00196DD3"/>
    <w:rsid w:val="00196F15"/>
    <w:rsid w:val="00196F2F"/>
    <w:rsid w:val="00196F43"/>
    <w:rsid w:val="00197064"/>
    <w:rsid w:val="0019707D"/>
    <w:rsid w:val="001970EB"/>
    <w:rsid w:val="00197483"/>
    <w:rsid w:val="0019797B"/>
    <w:rsid w:val="001979A9"/>
    <w:rsid w:val="00197A60"/>
    <w:rsid w:val="00197A88"/>
    <w:rsid w:val="00197BA0"/>
    <w:rsid w:val="00197C74"/>
    <w:rsid w:val="00197D08"/>
    <w:rsid w:val="00197DF5"/>
    <w:rsid w:val="001A0010"/>
    <w:rsid w:val="001A022B"/>
    <w:rsid w:val="001A02C2"/>
    <w:rsid w:val="001A02EE"/>
    <w:rsid w:val="001A032B"/>
    <w:rsid w:val="001A04D9"/>
    <w:rsid w:val="001A07AE"/>
    <w:rsid w:val="001A081D"/>
    <w:rsid w:val="001A0855"/>
    <w:rsid w:val="001A08E8"/>
    <w:rsid w:val="001A09D4"/>
    <w:rsid w:val="001A0A32"/>
    <w:rsid w:val="001A0E3D"/>
    <w:rsid w:val="001A108A"/>
    <w:rsid w:val="001A1556"/>
    <w:rsid w:val="001A15A7"/>
    <w:rsid w:val="001A15C2"/>
    <w:rsid w:val="001A1686"/>
    <w:rsid w:val="001A181B"/>
    <w:rsid w:val="001A18FD"/>
    <w:rsid w:val="001A1AEE"/>
    <w:rsid w:val="001A1BC5"/>
    <w:rsid w:val="001A1EB5"/>
    <w:rsid w:val="001A2026"/>
    <w:rsid w:val="001A2058"/>
    <w:rsid w:val="001A205B"/>
    <w:rsid w:val="001A20AE"/>
    <w:rsid w:val="001A20D4"/>
    <w:rsid w:val="001A2128"/>
    <w:rsid w:val="001A212B"/>
    <w:rsid w:val="001A22CE"/>
    <w:rsid w:val="001A23A9"/>
    <w:rsid w:val="001A23F1"/>
    <w:rsid w:val="001A2562"/>
    <w:rsid w:val="001A26C2"/>
    <w:rsid w:val="001A2856"/>
    <w:rsid w:val="001A295D"/>
    <w:rsid w:val="001A2988"/>
    <w:rsid w:val="001A2A99"/>
    <w:rsid w:val="001A2C8E"/>
    <w:rsid w:val="001A2EC5"/>
    <w:rsid w:val="001A2FDA"/>
    <w:rsid w:val="001A3013"/>
    <w:rsid w:val="001A3077"/>
    <w:rsid w:val="001A30C6"/>
    <w:rsid w:val="001A317D"/>
    <w:rsid w:val="001A382A"/>
    <w:rsid w:val="001A3931"/>
    <w:rsid w:val="001A3946"/>
    <w:rsid w:val="001A39A9"/>
    <w:rsid w:val="001A42C1"/>
    <w:rsid w:val="001A42DE"/>
    <w:rsid w:val="001A44E6"/>
    <w:rsid w:val="001A4606"/>
    <w:rsid w:val="001A461A"/>
    <w:rsid w:val="001A4865"/>
    <w:rsid w:val="001A49AD"/>
    <w:rsid w:val="001A4BDB"/>
    <w:rsid w:val="001A4C2F"/>
    <w:rsid w:val="001A4D06"/>
    <w:rsid w:val="001A4D34"/>
    <w:rsid w:val="001A5297"/>
    <w:rsid w:val="001A533E"/>
    <w:rsid w:val="001A53EA"/>
    <w:rsid w:val="001A544A"/>
    <w:rsid w:val="001A5600"/>
    <w:rsid w:val="001A573C"/>
    <w:rsid w:val="001A57C2"/>
    <w:rsid w:val="001A58C2"/>
    <w:rsid w:val="001A5A1D"/>
    <w:rsid w:val="001A5AE0"/>
    <w:rsid w:val="001A5B3B"/>
    <w:rsid w:val="001A5C07"/>
    <w:rsid w:val="001A5CD8"/>
    <w:rsid w:val="001A5D6D"/>
    <w:rsid w:val="001A5EF0"/>
    <w:rsid w:val="001A5F7A"/>
    <w:rsid w:val="001A60E7"/>
    <w:rsid w:val="001A6269"/>
    <w:rsid w:val="001A632F"/>
    <w:rsid w:val="001A6337"/>
    <w:rsid w:val="001A641F"/>
    <w:rsid w:val="001A64E7"/>
    <w:rsid w:val="001A66F9"/>
    <w:rsid w:val="001A6865"/>
    <w:rsid w:val="001A69D9"/>
    <w:rsid w:val="001A6BEA"/>
    <w:rsid w:val="001A6C65"/>
    <w:rsid w:val="001A6ED0"/>
    <w:rsid w:val="001A6FBD"/>
    <w:rsid w:val="001A7119"/>
    <w:rsid w:val="001A713C"/>
    <w:rsid w:val="001A730D"/>
    <w:rsid w:val="001A73FD"/>
    <w:rsid w:val="001A74A5"/>
    <w:rsid w:val="001A74B9"/>
    <w:rsid w:val="001A74CA"/>
    <w:rsid w:val="001A7B28"/>
    <w:rsid w:val="001A7B77"/>
    <w:rsid w:val="001A7B88"/>
    <w:rsid w:val="001A7BFA"/>
    <w:rsid w:val="001A7D7A"/>
    <w:rsid w:val="001B00F3"/>
    <w:rsid w:val="001B0204"/>
    <w:rsid w:val="001B028F"/>
    <w:rsid w:val="001B075A"/>
    <w:rsid w:val="001B0863"/>
    <w:rsid w:val="001B0960"/>
    <w:rsid w:val="001B09CE"/>
    <w:rsid w:val="001B0C61"/>
    <w:rsid w:val="001B134E"/>
    <w:rsid w:val="001B1382"/>
    <w:rsid w:val="001B1503"/>
    <w:rsid w:val="001B157B"/>
    <w:rsid w:val="001B16C2"/>
    <w:rsid w:val="001B1848"/>
    <w:rsid w:val="001B1886"/>
    <w:rsid w:val="001B1CDB"/>
    <w:rsid w:val="001B1D8E"/>
    <w:rsid w:val="001B1E2C"/>
    <w:rsid w:val="001B220E"/>
    <w:rsid w:val="001B2375"/>
    <w:rsid w:val="001B2415"/>
    <w:rsid w:val="001B24DE"/>
    <w:rsid w:val="001B24E8"/>
    <w:rsid w:val="001B2586"/>
    <w:rsid w:val="001B26B8"/>
    <w:rsid w:val="001B2759"/>
    <w:rsid w:val="001B27B5"/>
    <w:rsid w:val="001B292E"/>
    <w:rsid w:val="001B2C37"/>
    <w:rsid w:val="001B2D14"/>
    <w:rsid w:val="001B2D22"/>
    <w:rsid w:val="001B2E46"/>
    <w:rsid w:val="001B2F76"/>
    <w:rsid w:val="001B3060"/>
    <w:rsid w:val="001B3076"/>
    <w:rsid w:val="001B30AE"/>
    <w:rsid w:val="001B312B"/>
    <w:rsid w:val="001B33E7"/>
    <w:rsid w:val="001B3484"/>
    <w:rsid w:val="001B34DA"/>
    <w:rsid w:val="001B359E"/>
    <w:rsid w:val="001B372E"/>
    <w:rsid w:val="001B3963"/>
    <w:rsid w:val="001B3C2F"/>
    <w:rsid w:val="001B3CFF"/>
    <w:rsid w:val="001B405C"/>
    <w:rsid w:val="001B44D8"/>
    <w:rsid w:val="001B465E"/>
    <w:rsid w:val="001B4A36"/>
    <w:rsid w:val="001B4B2E"/>
    <w:rsid w:val="001B4B61"/>
    <w:rsid w:val="001B4FB9"/>
    <w:rsid w:val="001B4FEE"/>
    <w:rsid w:val="001B51F3"/>
    <w:rsid w:val="001B5387"/>
    <w:rsid w:val="001B57EB"/>
    <w:rsid w:val="001B5816"/>
    <w:rsid w:val="001B5863"/>
    <w:rsid w:val="001B587D"/>
    <w:rsid w:val="001B5952"/>
    <w:rsid w:val="001B5BB0"/>
    <w:rsid w:val="001B5C5E"/>
    <w:rsid w:val="001B5D66"/>
    <w:rsid w:val="001B5F47"/>
    <w:rsid w:val="001B60B9"/>
    <w:rsid w:val="001B60E6"/>
    <w:rsid w:val="001B626E"/>
    <w:rsid w:val="001B6547"/>
    <w:rsid w:val="001B68D3"/>
    <w:rsid w:val="001B69C2"/>
    <w:rsid w:val="001B69F7"/>
    <w:rsid w:val="001B6FF5"/>
    <w:rsid w:val="001B7033"/>
    <w:rsid w:val="001B713A"/>
    <w:rsid w:val="001B7384"/>
    <w:rsid w:val="001B75DF"/>
    <w:rsid w:val="001B77D8"/>
    <w:rsid w:val="001B7858"/>
    <w:rsid w:val="001B789F"/>
    <w:rsid w:val="001B78BD"/>
    <w:rsid w:val="001B79A0"/>
    <w:rsid w:val="001B7ABA"/>
    <w:rsid w:val="001B7D5A"/>
    <w:rsid w:val="001B7E24"/>
    <w:rsid w:val="001B7E5D"/>
    <w:rsid w:val="001C0002"/>
    <w:rsid w:val="001C0017"/>
    <w:rsid w:val="001C0057"/>
    <w:rsid w:val="001C00FC"/>
    <w:rsid w:val="001C0221"/>
    <w:rsid w:val="001C0376"/>
    <w:rsid w:val="001C0725"/>
    <w:rsid w:val="001C08A6"/>
    <w:rsid w:val="001C08C4"/>
    <w:rsid w:val="001C0B17"/>
    <w:rsid w:val="001C0B62"/>
    <w:rsid w:val="001C0CCD"/>
    <w:rsid w:val="001C0D9F"/>
    <w:rsid w:val="001C0E69"/>
    <w:rsid w:val="001C0EC1"/>
    <w:rsid w:val="001C0F20"/>
    <w:rsid w:val="001C0FE9"/>
    <w:rsid w:val="001C10EE"/>
    <w:rsid w:val="001C1190"/>
    <w:rsid w:val="001C11DD"/>
    <w:rsid w:val="001C11F9"/>
    <w:rsid w:val="001C13C9"/>
    <w:rsid w:val="001C148C"/>
    <w:rsid w:val="001C15F4"/>
    <w:rsid w:val="001C18FC"/>
    <w:rsid w:val="001C1B35"/>
    <w:rsid w:val="001C1B59"/>
    <w:rsid w:val="001C1B99"/>
    <w:rsid w:val="001C1BAE"/>
    <w:rsid w:val="001C1BD0"/>
    <w:rsid w:val="001C1C11"/>
    <w:rsid w:val="001C1D16"/>
    <w:rsid w:val="001C1EDD"/>
    <w:rsid w:val="001C1F71"/>
    <w:rsid w:val="001C2049"/>
    <w:rsid w:val="001C2526"/>
    <w:rsid w:val="001C27B2"/>
    <w:rsid w:val="001C2A64"/>
    <w:rsid w:val="001C2AAD"/>
    <w:rsid w:val="001C2C8D"/>
    <w:rsid w:val="001C2D51"/>
    <w:rsid w:val="001C2E37"/>
    <w:rsid w:val="001C2F32"/>
    <w:rsid w:val="001C3175"/>
    <w:rsid w:val="001C3256"/>
    <w:rsid w:val="001C3299"/>
    <w:rsid w:val="001C3511"/>
    <w:rsid w:val="001C37AB"/>
    <w:rsid w:val="001C381B"/>
    <w:rsid w:val="001C38C0"/>
    <w:rsid w:val="001C398E"/>
    <w:rsid w:val="001C3C39"/>
    <w:rsid w:val="001C3C3A"/>
    <w:rsid w:val="001C3CD2"/>
    <w:rsid w:val="001C3D28"/>
    <w:rsid w:val="001C3E2E"/>
    <w:rsid w:val="001C4036"/>
    <w:rsid w:val="001C41D5"/>
    <w:rsid w:val="001C42DB"/>
    <w:rsid w:val="001C4349"/>
    <w:rsid w:val="001C441F"/>
    <w:rsid w:val="001C4837"/>
    <w:rsid w:val="001C4965"/>
    <w:rsid w:val="001C49C1"/>
    <w:rsid w:val="001C4AE3"/>
    <w:rsid w:val="001C4B61"/>
    <w:rsid w:val="001C4C3C"/>
    <w:rsid w:val="001C4CA5"/>
    <w:rsid w:val="001C4DD3"/>
    <w:rsid w:val="001C4FA1"/>
    <w:rsid w:val="001C501A"/>
    <w:rsid w:val="001C5362"/>
    <w:rsid w:val="001C53ED"/>
    <w:rsid w:val="001C543A"/>
    <w:rsid w:val="001C5662"/>
    <w:rsid w:val="001C5669"/>
    <w:rsid w:val="001C5A8C"/>
    <w:rsid w:val="001C5BAA"/>
    <w:rsid w:val="001C5E07"/>
    <w:rsid w:val="001C5F31"/>
    <w:rsid w:val="001C5FEF"/>
    <w:rsid w:val="001C6051"/>
    <w:rsid w:val="001C6058"/>
    <w:rsid w:val="001C6122"/>
    <w:rsid w:val="001C61E4"/>
    <w:rsid w:val="001C646D"/>
    <w:rsid w:val="001C652A"/>
    <w:rsid w:val="001C6535"/>
    <w:rsid w:val="001C6590"/>
    <w:rsid w:val="001C6685"/>
    <w:rsid w:val="001C67CE"/>
    <w:rsid w:val="001C684B"/>
    <w:rsid w:val="001C68EC"/>
    <w:rsid w:val="001C6B24"/>
    <w:rsid w:val="001C6D2A"/>
    <w:rsid w:val="001C6E87"/>
    <w:rsid w:val="001C6F7A"/>
    <w:rsid w:val="001C7037"/>
    <w:rsid w:val="001C70C4"/>
    <w:rsid w:val="001C7298"/>
    <w:rsid w:val="001C74E9"/>
    <w:rsid w:val="001C75CE"/>
    <w:rsid w:val="001C75DC"/>
    <w:rsid w:val="001C7799"/>
    <w:rsid w:val="001C77ED"/>
    <w:rsid w:val="001C7896"/>
    <w:rsid w:val="001C79F3"/>
    <w:rsid w:val="001C7CF5"/>
    <w:rsid w:val="001C7DD3"/>
    <w:rsid w:val="001C7F9D"/>
    <w:rsid w:val="001D006A"/>
    <w:rsid w:val="001D0212"/>
    <w:rsid w:val="001D0390"/>
    <w:rsid w:val="001D0926"/>
    <w:rsid w:val="001D0D7F"/>
    <w:rsid w:val="001D0FEA"/>
    <w:rsid w:val="001D1074"/>
    <w:rsid w:val="001D1107"/>
    <w:rsid w:val="001D1147"/>
    <w:rsid w:val="001D11B3"/>
    <w:rsid w:val="001D12DC"/>
    <w:rsid w:val="001D137B"/>
    <w:rsid w:val="001D1384"/>
    <w:rsid w:val="001D143F"/>
    <w:rsid w:val="001D14A0"/>
    <w:rsid w:val="001D1812"/>
    <w:rsid w:val="001D181C"/>
    <w:rsid w:val="001D191B"/>
    <w:rsid w:val="001D196D"/>
    <w:rsid w:val="001D1A09"/>
    <w:rsid w:val="001D1BB9"/>
    <w:rsid w:val="001D1C91"/>
    <w:rsid w:val="001D1D48"/>
    <w:rsid w:val="001D1DFC"/>
    <w:rsid w:val="001D1FD7"/>
    <w:rsid w:val="001D212C"/>
    <w:rsid w:val="001D23A9"/>
    <w:rsid w:val="001D2712"/>
    <w:rsid w:val="001D27BB"/>
    <w:rsid w:val="001D2923"/>
    <w:rsid w:val="001D29C1"/>
    <w:rsid w:val="001D2C39"/>
    <w:rsid w:val="001D2D58"/>
    <w:rsid w:val="001D2F39"/>
    <w:rsid w:val="001D2F45"/>
    <w:rsid w:val="001D34D0"/>
    <w:rsid w:val="001D36F7"/>
    <w:rsid w:val="001D372A"/>
    <w:rsid w:val="001D373F"/>
    <w:rsid w:val="001D3807"/>
    <w:rsid w:val="001D388C"/>
    <w:rsid w:val="001D396B"/>
    <w:rsid w:val="001D3D95"/>
    <w:rsid w:val="001D3FF0"/>
    <w:rsid w:val="001D4082"/>
    <w:rsid w:val="001D4217"/>
    <w:rsid w:val="001D4226"/>
    <w:rsid w:val="001D43FE"/>
    <w:rsid w:val="001D44CB"/>
    <w:rsid w:val="001D456C"/>
    <w:rsid w:val="001D46BF"/>
    <w:rsid w:val="001D470F"/>
    <w:rsid w:val="001D4711"/>
    <w:rsid w:val="001D479F"/>
    <w:rsid w:val="001D4893"/>
    <w:rsid w:val="001D490B"/>
    <w:rsid w:val="001D497E"/>
    <w:rsid w:val="001D49B0"/>
    <w:rsid w:val="001D4BEC"/>
    <w:rsid w:val="001D4CAB"/>
    <w:rsid w:val="001D4CB0"/>
    <w:rsid w:val="001D4D10"/>
    <w:rsid w:val="001D4E15"/>
    <w:rsid w:val="001D4F6B"/>
    <w:rsid w:val="001D5355"/>
    <w:rsid w:val="001D539B"/>
    <w:rsid w:val="001D54A7"/>
    <w:rsid w:val="001D54C9"/>
    <w:rsid w:val="001D574A"/>
    <w:rsid w:val="001D5A20"/>
    <w:rsid w:val="001D5FA7"/>
    <w:rsid w:val="001D60C1"/>
    <w:rsid w:val="001D611D"/>
    <w:rsid w:val="001D6162"/>
    <w:rsid w:val="001D631B"/>
    <w:rsid w:val="001D6397"/>
    <w:rsid w:val="001D6442"/>
    <w:rsid w:val="001D692E"/>
    <w:rsid w:val="001D698B"/>
    <w:rsid w:val="001D69A0"/>
    <w:rsid w:val="001D6BE4"/>
    <w:rsid w:val="001D6DED"/>
    <w:rsid w:val="001D6F01"/>
    <w:rsid w:val="001D7191"/>
    <w:rsid w:val="001D740D"/>
    <w:rsid w:val="001D753B"/>
    <w:rsid w:val="001D7588"/>
    <w:rsid w:val="001D7740"/>
    <w:rsid w:val="001D7751"/>
    <w:rsid w:val="001D78BC"/>
    <w:rsid w:val="001D798D"/>
    <w:rsid w:val="001D7DF0"/>
    <w:rsid w:val="001E00CC"/>
    <w:rsid w:val="001E0431"/>
    <w:rsid w:val="001E0457"/>
    <w:rsid w:val="001E087F"/>
    <w:rsid w:val="001E0A05"/>
    <w:rsid w:val="001E0B91"/>
    <w:rsid w:val="001E0BA9"/>
    <w:rsid w:val="001E0BCA"/>
    <w:rsid w:val="001E0C4D"/>
    <w:rsid w:val="001E170E"/>
    <w:rsid w:val="001E17CE"/>
    <w:rsid w:val="001E17E6"/>
    <w:rsid w:val="001E18DE"/>
    <w:rsid w:val="001E1A50"/>
    <w:rsid w:val="001E1B7C"/>
    <w:rsid w:val="001E1BFD"/>
    <w:rsid w:val="001E1CE3"/>
    <w:rsid w:val="001E1D7B"/>
    <w:rsid w:val="001E1E02"/>
    <w:rsid w:val="001E1E0A"/>
    <w:rsid w:val="001E1E14"/>
    <w:rsid w:val="001E1F24"/>
    <w:rsid w:val="001E2068"/>
    <w:rsid w:val="001E20EE"/>
    <w:rsid w:val="001E21B4"/>
    <w:rsid w:val="001E2463"/>
    <w:rsid w:val="001E251A"/>
    <w:rsid w:val="001E25FA"/>
    <w:rsid w:val="001E2954"/>
    <w:rsid w:val="001E2BBA"/>
    <w:rsid w:val="001E2E8D"/>
    <w:rsid w:val="001E3094"/>
    <w:rsid w:val="001E3144"/>
    <w:rsid w:val="001E32C8"/>
    <w:rsid w:val="001E334D"/>
    <w:rsid w:val="001E3378"/>
    <w:rsid w:val="001E35D6"/>
    <w:rsid w:val="001E3619"/>
    <w:rsid w:val="001E376A"/>
    <w:rsid w:val="001E38AE"/>
    <w:rsid w:val="001E3A6A"/>
    <w:rsid w:val="001E3B39"/>
    <w:rsid w:val="001E3BF7"/>
    <w:rsid w:val="001E3CBF"/>
    <w:rsid w:val="001E3E1E"/>
    <w:rsid w:val="001E449B"/>
    <w:rsid w:val="001E4949"/>
    <w:rsid w:val="001E4A0A"/>
    <w:rsid w:val="001E4CD2"/>
    <w:rsid w:val="001E4CDC"/>
    <w:rsid w:val="001E4CDE"/>
    <w:rsid w:val="001E4DC3"/>
    <w:rsid w:val="001E4EE0"/>
    <w:rsid w:val="001E4F0D"/>
    <w:rsid w:val="001E5022"/>
    <w:rsid w:val="001E50D6"/>
    <w:rsid w:val="001E512A"/>
    <w:rsid w:val="001E51A7"/>
    <w:rsid w:val="001E5269"/>
    <w:rsid w:val="001E54A9"/>
    <w:rsid w:val="001E54EB"/>
    <w:rsid w:val="001E5500"/>
    <w:rsid w:val="001E562D"/>
    <w:rsid w:val="001E56C6"/>
    <w:rsid w:val="001E5755"/>
    <w:rsid w:val="001E582E"/>
    <w:rsid w:val="001E5F23"/>
    <w:rsid w:val="001E610C"/>
    <w:rsid w:val="001E6134"/>
    <w:rsid w:val="001E626F"/>
    <w:rsid w:val="001E62A5"/>
    <w:rsid w:val="001E62DC"/>
    <w:rsid w:val="001E6315"/>
    <w:rsid w:val="001E662C"/>
    <w:rsid w:val="001E66B5"/>
    <w:rsid w:val="001E6966"/>
    <w:rsid w:val="001E6A4D"/>
    <w:rsid w:val="001E6BB4"/>
    <w:rsid w:val="001E6D13"/>
    <w:rsid w:val="001E6D85"/>
    <w:rsid w:val="001E6DD0"/>
    <w:rsid w:val="001E7019"/>
    <w:rsid w:val="001E718D"/>
    <w:rsid w:val="001E7202"/>
    <w:rsid w:val="001E72C0"/>
    <w:rsid w:val="001E73FA"/>
    <w:rsid w:val="001E74A6"/>
    <w:rsid w:val="001E74BC"/>
    <w:rsid w:val="001E756D"/>
    <w:rsid w:val="001E761A"/>
    <w:rsid w:val="001E761F"/>
    <w:rsid w:val="001E7646"/>
    <w:rsid w:val="001E78F0"/>
    <w:rsid w:val="001E7A7C"/>
    <w:rsid w:val="001E7A8A"/>
    <w:rsid w:val="001E7CA7"/>
    <w:rsid w:val="001E7ED0"/>
    <w:rsid w:val="001F0446"/>
    <w:rsid w:val="001F048B"/>
    <w:rsid w:val="001F0524"/>
    <w:rsid w:val="001F0548"/>
    <w:rsid w:val="001F0696"/>
    <w:rsid w:val="001F0E53"/>
    <w:rsid w:val="001F0EB3"/>
    <w:rsid w:val="001F0F61"/>
    <w:rsid w:val="001F1135"/>
    <w:rsid w:val="001F122D"/>
    <w:rsid w:val="001F163B"/>
    <w:rsid w:val="001F1D75"/>
    <w:rsid w:val="001F20DE"/>
    <w:rsid w:val="001F217F"/>
    <w:rsid w:val="001F23D9"/>
    <w:rsid w:val="001F2419"/>
    <w:rsid w:val="001F275D"/>
    <w:rsid w:val="001F27C8"/>
    <w:rsid w:val="001F2899"/>
    <w:rsid w:val="001F2A5B"/>
    <w:rsid w:val="001F2AC2"/>
    <w:rsid w:val="001F2AE9"/>
    <w:rsid w:val="001F2AFF"/>
    <w:rsid w:val="001F2C72"/>
    <w:rsid w:val="001F2D87"/>
    <w:rsid w:val="001F2F45"/>
    <w:rsid w:val="001F2F66"/>
    <w:rsid w:val="001F303D"/>
    <w:rsid w:val="001F3192"/>
    <w:rsid w:val="001F322F"/>
    <w:rsid w:val="001F347A"/>
    <w:rsid w:val="001F3550"/>
    <w:rsid w:val="001F3653"/>
    <w:rsid w:val="001F37D2"/>
    <w:rsid w:val="001F3A92"/>
    <w:rsid w:val="001F3BD1"/>
    <w:rsid w:val="001F3C1A"/>
    <w:rsid w:val="001F3F12"/>
    <w:rsid w:val="001F3FC9"/>
    <w:rsid w:val="001F40E1"/>
    <w:rsid w:val="001F4183"/>
    <w:rsid w:val="001F4261"/>
    <w:rsid w:val="001F42D4"/>
    <w:rsid w:val="001F4506"/>
    <w:rsid w:val="001F453D"/>
    <w:rsid w:val="001F477F"/>
    <w:rsid w:val="001F47AD"/>
    <w:rsid w:val="001F496F"/>
    <w:rsid w:val="001F4ABD"/>
    <w:rsid w:val="001F4AC1"/>
    <w:rsid w:val="001F4B1C"/>
    <w:rsid w:val="001F4B63"/>
    <w:rsid w:val="001F4E5C"/>
    <w:rsid w:val="001F50BC"/>
    <w:rsid w:val="001F51A2"/>
    <w:rsid w:val="001F526B"/>
    <w:rsid w:val="001F539F"/>
    <w:rsid w:val="001F54EE"/>
    <w:rsid w:val="001F5672"/>
    <w:rsid w:val="001F56A8"/>
    <w:rsid w:val="001F5776"/>
    <w:rsid w:val="001F57F2"/>
    <w:rsid w:val="001F598B"/>
    <w:rsid w:val="001F5AF6"/>
    <w:rsid w:val="001F5BC1"/>
    <w:rsid w:val="001F5E1E"/>
    <w:rsid w:val="001F610F"/>
    <w:rsid w:val="001F620B"/>
    <w:rsid w:val="001F630C"/>
    <w:rsid w:val="001F642F"/>
    <w:rsid w:val="001F64F5"/>
    <w:rsid w:val="001F6598"/>
    <w:rsid w:val="001F6C46"/>
    <w:rsid w:val="001F6C88"/>
    <w:rsid w:val="001F6CBC"/>
    <w:rsid w:val="001F6F7E"/>
    <w:rsid w:val="001F70BF"/>
    <w:rsid w:val="001F70C5"/>
    <w:rsid w:val="001F71B1"/>
    <w:rsid w:val="001F72E9"/>
    <w:rsid w:val="001F740C"/>
    <w:rsid w:val="001F77A9"/>
    <w:rsid w:val="001F77F8"/>
    <w:rsid w:val="001F7AD8"/>
    <w:rsid w:val="001F7B98"/>
    <w:rsid w:val="001F7D47"/>
    <w:rsid w:val="001F7E66"/>
    <w:rsid w:val="001F7FD1"/>
    <w:rsid w:val="00200098"/>
    <w:rsid w:val="00200363"/>
    <w:rsid w:val="002004E7"/>
    <w:rsid w:val="002005F6"/>
    <w:rsid w:val="00200704"/>
    <w:rsid w:val="002009B2"/>
    <w:rsid w:val="00200AF4"/>
    <w:rsid w:val="00200C8D"/>
    <w:rsid w:val="00201092"/>
    <w:rsid w:val="002013C2"/>
    <w:rsid w:val="002014E7"/>
    <w:rsid w:val="002015FB"/>
    <w:rsid w:val="00201661"/>
    <w:rsid w:val="00201678"/>
    <w:rsid w:val="00201743"/>
    <w:rsid w:val="002017F8"/>
    <w:rsid w:val="0020184D"/>
    <w:rsid w:val="00201A20"/>
    <w:rsid w:val="00201C68"/>
    <w:rsid w:val="00201E90"/>
    <w:rsid w:val="002022B3"/>
    <w:rsid w:val="002023B5"/>
    <w:rsid w:val="00202952"/>
    <w:rsid w:val="00202CD5"/>
    <w:rsid w:val="00202E8B"/>
    <w:rsid w:val="00202F69"/>
    <w:rsid w:val="00202FC7"/>
    <w:rsid w:val="002031C5"/>
    <w:rsid w:val="0020322E"/>
    <w:rsid w:val="00203310"/>
    <w:rsid w:val="00203448"/>
    <w:rsid w:val="002037B0"/>
    <w:rsid w:val="00203931"/>
    <w:rsid w:val="00203B22"/>
    <w:rsid w:val="00203DEF"/>
    <w:rsid w:val="002040D4"/>
    <w:rsid w:val="00204160"/>
    <w:rsid w:val="00204335"/>
    <w:rsid w:val="002043C0"/>
    <w:rsid w:val="002045EC"/>
    <w:rsid w:val="002047D8"/>
    <w:rsid w:val="00204BB2"/>
    <w:rsid w:val="00204BD5"/>
    <w:rsid w:val="00204E78"/>
    <w:rsid w:val="0020516F"/>
    <w:rsid w:val="002052BB"/>
    <w:rsid w:val="00205434"/>
    <w:rsid w:val="0020555E"/>
    <w:rsid w:val="002056BE"/>
    <w:rsid w:val="00205775"/>
    <w:rsid w:val="00205886"/>
    <w:rsid w:val="0020593F"/>
    <w:rsid w:val="0020598C"/>
    <w:rsid w:val="00205BC3"/>
    <w:rsid w:val="00205EAF"/>
    <w:rsid w:val="00206212"/>
    <w:rsid w:val="0020632E"/>
    <w:rsid w:val="00206367"/>
    <w:rsid w:val="00206463"/>
    <w:rsid w:val="00206571"/>
    <w:rsid w:val="00206573"/>
    <w:rsid w:val="00206636"/>
    <w:rsid w:val="00206642"/>
    <w:rsid w:val="002066E3"/>
    <w:rsid w:val="0020689C"/>
    <w:rsid w:val="0020691B"/>
    <w:rsid w:val="002069D0"/>
    <w:rsid w:val="00206AA7"/>
    <w:rsid w:val="00206B89"/>
    <w:rsid w:val="00206BF0"/>
    <w:rsid w:val="00206E1C"/>
    <w:rsid w:val="00206E21"/>
    <w:rsid w:val="00207330"/>
    <w:rsid w:val="002074C8"/>
    <w:rsid w:val="002076E3"/>
    <w:rsid w:val="0020779E"/>
    <w:rsid w:val="00207B0D"/>
    <w:rsid w:val="00207BF7"/>
    <w:rsid w:val="00207CB9"/>
    <w:rsid w:val="00207CE8"/>
    <w:rsid w:val="00207F73"/>
    <w:rsid w:val="00210094"/>
    <w:rsid w:val="00210182"/>
    <w:rsid w:val="00210198"/>
    <w:rsid w:val="00210443"/>
    <w:rsid w:val="0021052C"/>
    <w:rsid w:val="0021058F"/>
    <w:rsid w:val="00210907"/>
    <w:rsid w:val="00210A05"/>
    <w:rsid w:val="00210AF0"/>
    <w:rsid w:val="00210BBE"/>
    <w:rsid w:val="00210BE9"/>
    <w:rsid w:val="00210C2B"/>
    <w:rsid w:val="00210C31"/>
    <w:rsid w:val="00210FBB"/>
    <w:rsid w:val="0021110A"/>
    <w:rsid w:val="00211145"/>
    <w:rsid w:val="00211175"/>
    <w:rsid w:val="00211252"/>
    <w:rsid w:val="002112D7"/>
    <w:rsid w:val="002114F4"/>
    <w:rsid w:val="002116A3"/>
    <w:rsid w:val="0021178D"/>
    <w:rsid w:val="0021178F"/>
    <w:rsid w:val="00211A8E"/>
    <w:rsid w:val="00211B15"/>
    <w:rsid w:val="00211C24"/>
    <w:rsid w:val="00211E3F"/>
    <w:rsid w:val="00211E99"/>
    <w:rsid w:val="00211F59"/>
    <w:rsid w:val="00212026"/>
    <w:rsid w:val="0021250E"/>
    <w:rsid w:val="00212651"/>
    <w:rsid w:val="00212702"/>
    <w:rsid w:val="00212854"/>
    <w:rsid w:val="00212A67"/>
    <w:rsid w:val="00212A97"/>
    <w:rsid w:val="00212AA2"/>
    <w:rsid w:val="00212CA8"/>
    <w:rsid w:val="00212CAD"/>
    <w:rsid w:val="00212DD6"/>
    <w:rsid w:val="00212E3D"/>
    <w:rsid w:val="00212EFD"/>
    <w:rsid w:val="00212FBC"/>
    <w:rsid w:val="002133F0"/>
    <w:rsid w:val="0021344A"/>
    <w:rsid w:val="00213476"/>
    <w:rsid w:val="00213549"/>
    <w:rsid w:val="00213729"/>
    <w:rsid w:val="00213851"/>
    <w:rsid w:val="00213879"/>
    <w:rsid w:val="00213901"/>
    <w:rsid w:val="0021392C"/>
    <w:rsid w:val="00213AB4"/>
    <w:rsid w:val="00213BDC"/>
    <w:rsid w:val="00213C45"/>
    <w:rsid w:val="00213FA2"/>
    <w:rsid w:val="0021405F"/>
    <w:rsid w:val="00214244"/>
    <w:rsid w:val="002146C5"/>
    <w:rsid w:val="002146DE"/>
    <w:rsid w:val="00214BA9"/>
    <w:rsid w:val="00214F37"/>
    <w:rsid w:val="00215164"/>
    <w:rsid w:val="002151F3"/>
    <w:rsid w:val="00215375"/>
    <w:rsid w:val="00215442"/>
    <w:rsid w:val="00215458"/>
    <w:rsid w:val="00215496"/>
    <w:rsid w:val="002155C2"/>
    <w:rsid w:val="00215836"/>
    <w:rsid w:val="00215870"/>
    <w:rsid w:val="00215986"/>
    <w:rsid w:val="00215A87"/>
    <w:rsid w:val="00215F19"/>
    <w:rsid w:val="00216639"/>
    <w:rsid w:val="002166C3"/>
    <w:rsid w:val="002167F5"/>
    <w:rsid w:val="0021692D"/>
    <w:rsid w:val="00216BF5"/>
    <w:rsid w:val="00216EF3"/>
    <w:rsid w:val="00216F6D"/>
    <w:rsid w:val="0021714C"/>
    <w:rsid w:val="002171FE"/>
    <w:rsid w:val="002176EA"/>
    <w:rsid w:val="00217726"/>
    <w:rsid w:val="00217776"/>
    <w:rsid w:val="002177C1"/>
    <w:rsid w:val="0021780A"/>
    <w:rsid w:val="0021786F"/>
    <w:rsid w:val="00217981"/>
    <w:rsid w:val="00217B75"/>
    <w:rsid w:val="00217BBB"/>
    <w:rsid w:val="00217BC1"/>
    <w:rsid w:val="00217C44"/>
    <w:rsid w:val="00217C90"/>
    <w:rsid w:val="00217FD6"/>
    <w:rsid w:val="00220004"/>
    <w:rsid w:val="00220402"/>
    <w:rsid w:val="0022053A"/>
    <w:rsid w:val="0022056D"/>
    <w:rsid w:val="002207FD"/>
    <w:rsid w:val="002208C2"/>
    <w:rsid w:val="00220ACC"/>
    <w:rsid w:val="00220B75"/>
    <w:rsid w:val="00220C9A"/>
    <w:rsid w:val="00220D61"/>
    <w:rsid w:val="00221005"/>
    <w:rsid w:val="0022109A"/>
    <w:rsid w:val="00221A89"/>
    <w:rsid w:val="00221AC9"/>
    <w:rsid w:val="00221BC7"/>
    <w:rsid w:val="00221C16"/>
    <w:rsid w:val="00221CB4"/>
    <w:rsid w:val="00221CBF"/>
    <w:rsid w:val="00221CD5"/>
    <w:rsid w:val="00221CF6"/>
    <w:rsid w:val="00221D70"/>
    <w:rsid w:val="00221D72"/>
    <w:rsid w:val="00221E5C"/>
    <w:rsid w:val="00221FBD"/>
    <w:rsid w:val="00222000"/>
    <w:rsid w:val="00222185"/>
    <w:rsid w:val="00222320"/>
    <w:rsid w:val="0022236D"/>
    <w:rsid w:val="002226E9"/>
    <w:rsid w:val="002227B4"/>
    <w:rsid w:val="00222947"/>
    <w:rsid w:val="00222989"/>
    <w:rsid w:val="00222DD7"/>
    <w:rsid w:val="00222E28"/>
    <w:rsid w:val="00222E52"/>
    <w:rsid w:val="00222E68"/>
    <w:rsid w:val="00222EDC"/>
    <w:rsid w:val="0022316C"/>
    <w:rsid w:val="002231B6"/>
    <w:rsid w:val="0022323A"/>
    <w:rsid w:val="00223360"/>
    <w:rsid w:val="002237CE"/>
    <w:rsid w:val="00223966"/>
    <w:rsid w:val="002239B0"/>
    <w:rsid w:val="00223B0E"/>
    <w:rsid w:val="00223C55"/>
    <w:rsid w:val="00223C9D"/>
    <w:rsid w:val="00223CAB"/>
    <w:rsid w:val="00223E75"/>
    <w:rsid w:val="00223F25"/>
    <w:rsid w:val="0022407C"/>
    <w:rsid w:val="00224098"/>
    <w:rsid w:val="00224112"/>
    <w:rsid w:val="002241AA"/>
    <w:rsid w:val="0022447A"/>
    <w:rsid w:val="002245BB"/>
    <w:rsid w:val="00224619"/>
    <w:rsid w:val="002246E5"/>
    <w:rsid w:val="002248FD"/>
    <w:rsid w:val="00224929"/>
    <w:rsid w:val="0022494B"/>
    <w:rsid w:val="002249C7"/>
    <w:rsid w:val="00224AA0"/>
    <w:rsid w:val="00224FF5"/>
    <w:rsid w:val="00225028"/>
    <w:rsid w:val="002250F1"/>
    <w:rsid w:val="00225166"/>
    <w:rsid w:val="002251B7"/>
    <w:rsid w:val="0022522C"/>
    <w:rsid w:val="0022529E"/>
    <w:rsid w:val="002252AD"/>
    <w:rsid w:val="002252EB"/>
    <w:rsid w:val="002252F3"/>
    <w:rsid w:val="0022543F"/>
    <w:rsid w:val="0022549F"/>
    <w:rsid w:val="0022553C"/>
    <w:rsid w:val="002258FF"/>
    <w:rsid w:val="00225A51"/>
    <w:rsid w:val="00225BEF"/>
    <w:rsid w:val="00225C3A"/>
    <w:rsid w:val="00225D9A"/>
    <w:rsid w:val="00225DB7"/>
    <w:rsid w:val="00225FEE"/>
    <w:rsid w:val="00226278"/>
    <w:rsid w:val="002262E4"/>
    <w:rsid w:val="002266DA"/>
    <w:rsid w:val="00226932"/>
    <w:rsid w:val="00226B08"/>
    <w:rsid w:val="00226C78"/>
    <w:rsid w:val="00226C7E"/>
    <w:rsid w:val="00226D20"/>
    <w:rsid w:val="00226E46"/>
    <w:rsid w:val="00226E93"/>
    <w:rsid w:val="002270E8"/>
    <w:rsid w:val="00227396"/>
    <w:rsid w:val="002274BA"/>
    <w:rsid w:val="00227573"/>
    <w:rsid w:val="0022780F"/>
    <w:rsid w:val="002279C8"/>
    <w:rsid w:val="00227A2A"/>
    <w:rsid w:val="00227A66"/>
    <w:rsid w:val="00227B05"/>
    <w:rsid w:val="00227D04"/>
    <w:rsid w:val="00227D08"/>
    <w:rsid w:val="00227D86"/>
    <w:rsid w:val="00227DD1"/>
    <w:rsid w:val="00227F74"/>
    <w:rsid w:val="00227FBE"/>
    <w:rsid w:val="00230038"/>
    <w:rsid w:val="0023026C"/>
    <w:rsid w:val="00230361"/>
    <w:rsid w:val="0023039B"/>
    <w:rsid w:val="0023049D"/>
    <w:rsid w:val="0023059C"/>
    <w:rsid w:val="0023071F"/>
    <w:rsid w:val="00230976"/>
    <w:rsid w:val="00230AA2"/>
    <w:rsid w:val="00230B75"/>
    <w:rsid w:val="00230CE4"/>
    <w:rsid w:val="00230E68"/>
    <w:rsid w:val="0023110C"/>
    <w:rsid w:val="002311FC"/>
    <w:rsid w:val="00231667"/>
    <w:rsid w:val="00231A55"/>
    <w:rsid w:val="00231D58"/>
    <w:rsid w:val="00231FC3"/>
    <w:rsid w:val="00232241"/>
    <w:rsid w:val="00232383"/>
    <w:rsid w:val="00232505"/>
    <w:rsid w:val="002326C3"/>
    <w:rsid w:val="00232738"/>
    <w:rsid w:val="0023297A"/>
    <w:rsid w:val="00232BB5"/>
    <w:rsid w:val="00232CE3"/>
    <w:rsid w:val="00232E25"/>
    <w:rsid w:val="00232F08"/>
    <w:rsid w:val="00232FC1"/>
    <w:rsid w:val="00232FD1"/>
    <w:rsid w:val="00233033"/>
    <w:rsid w:val="002330C3"/>
    <w:rsid w:val="0023315D"/>
    <w:rsid w:val="002332AF"/>
    <w:rsid w:val="002332BE"/>
    <w:rsid w:val="00233338"/>
    <w:rsid w:val="00233345"/>
    <w:rsid w:val="00233470"/>
    <w:rsid w:val="002334BC"/>
    <w:rsid w:val="00233556"/>
    <w:rsid w:val="002335A7"/>
    <w:rsid w:val="002336C6"/>
    <w:rsid w:val="00233A37"/>
    <w:rsid w:val="00233B50"/>
    <w:rsid w:val="00233B81"/>
    <w:rsid w:val="00234308"/>
    <w:rsid w:val="0023436C"/>
    <w:rsid w:val="00234391"/>
    <w:rsid w:val="00234521"/>
    <w:rsid w:val="0023453A"/>
    <w:rsid w:val="0023480F"/>
    <w:rsid w:val="002349BE"/>
    <w:rsid w:val="00234CEA"/>
    <w:rsid w:val="00234E94"/>
    <w:rsid w:val="00234ED7"/>
    <w:rsid w:val="00234F11"/>
    <w:rsid w:val="00235028"/>
    <w:rsid w:val="00235437"/>
    <w:rsid w:val="002355EF"/>
    <w:rsid w:val="0023564F"/>
    <w:rsid w:val="002357CD"/>
    <w:rsid w:val="002358D2"/>
    <w:rsid w:val="0023592D"/>
    <w:rsid w:val="00235998"/>
    <w:rsid w:val="00235A15"/>
    <w:rsid w:val="00235A24"/>
    <w:rsid w:val="00235C77"/>
    <w:rsid w:val="00235D7B"/>
    <w:rsid w:val="00235DE6"/>
    <w:rsid w:val="00235E0D"/>
    <w:rsid w:val="00235F30"/>
    <w:rsid w:val="00235F70"/>
    <w:rsid w:val="00236108"/>
    <w:rsid w:val="00236159"/>
    <w:rsid w:val="0023622F"/>
    <w:rsid w:val="00236236"/>
    <w:rsid w:val="00236337"/>
    <w:rsid w:val="0023634D"/>
    <w:rsid w:val="0023653A"/>
    <w:rsid w:val="002365C4"/>
    <w:rsid w:val="00236663"/>
    <w:rsid w:val="00236698"/>
    <w:rsid w:val="0023695E"/>
    <w:rsid w:val="002369BF"/>
    <w:rsid w:val="00236B33"/>
    <w:rsid w:val="00236BE3"/>
    <w:rsid w:val="002370D1"/>
    <w:rsid w:val="0023729E"/>
    <w:rsid w:val="00237329"/>
    <w:rsid w:val="002373AE"/>
    <w:rsid w:val="00237430"/>
    <w:rsid w:val="002375C9"/>
    <w:rsid w:val="002376EE"/>
    <w:rsid w:val="0023773E"/>
    <w:rsid w:val="00237856"/>
    <w:rsid w:val="00237875"/>
    <w:rsid w:val="002379C3"/>
    <w:rsid w:val="00237B94"/>
    <w:rsid w:val="00237BE0"/>
    <w:rsid w:val="00237C9C"/>
    <w:rsid w:val="00237E8A"/>
    <w:rsid w:val="00237E95"/>
    <w:rsid w:val="00240019"/>
    <w:rsid w:val="002401BD"/>
    <w:rsid w:val="00240343"/>
    <w:rsid w:val="002405C4"/>
    <w:rsid w:val="002405C5"/>
    <w:rsid w:val="0024061E"/>
    <w:rsid w:val="00240819"/>
    <w:rsid w:val="002408D5"/>
    <w:rsid w:val="00240924"/>
    <w:rsid w:val="002409A2"/>
    <w:rsid w:val="00240B72"/>
    <w:rsid w:val="00240C47"/>
    <w:rsid w:val="00240DB2"/>
    <w:rsid w:val="00240EBF"/>
    <w:rsid w:val="002410FA"/>
    <w:rsid w:val="00241135"/>
    <w:rsid w:val="00241288"/>
    <w:rsid w:val="00241379"/>
    <w:rsid w:val="002413C6"/>
    <w:rsid w:val="002418B1"/>
    <w:rsid w:val="00241A00"/>
    <w:rsid w:val="00241A50"/>
    <w:rsid w:val="00241CD5"/>
    <w:rsid w:val="00241D30"/>
    <w:rsid w:val="00241D57"/>
    <w:rsid w:val="00241D9A"/>
    <w:rsid w:val="00241DBB"/>
    <w:rsid w:val="00241F3B"/>
    <w:rsid w:val="00241F52"/>
    <w:rsid w:val="00242040"/>
    <w:rsid w:val="0024229B"/>
    <w:rsid w:val="002422ED"/>
    <w:rsid w:val="00242324"/>
    <w:rsid w:val="00242391"/>
    <w:rsid w:val="002423B7"/>
    <w:rsid w:val="0024242B"/>
    <w:rsid w:val="0024248B"/>
    <w:rsid w:val="00242541"/>
    <w:rsid w:val="00242756"/>
    <w:rsid w:val="00242887"/>
    <w:rsid w:val="00242A5E"/>
    <w:rsid w:val="00242EB0"/>
    <w:rsid w:val="002430AD"/>
    <w:rsid w:val="002430E0"/>
    <w:rsid w:val="002431F0"/>
    <w:rsid w:val="002432D2"/>
    <w:rsid w:val="002432E5"/>
    <w:rsid w:val="0024361B"/>
    <w:rsid w:val="00243644"/>
    <w:rsid w:val="0024371B"/>
    <w:rsid w:val="00243A31"/>
    <w:rsid w:val="00243CF9"/>
    <w:rsid w:val="00243EAA"/>
    <w:rsid w:val="00243ED7"/>
    <w:rsid w:val="00243EE2"/>
    <w:rsid w:val="0024404E"/>
    <w:rsid w:val="0024406D"/>
    <w:rsid w:val="002443D3"/>
    <w:rsid w:val="002443DD"/>
    <w:rsid w:val="00244401"/>
    <w:rsid w:val="00244651"/>
    <w:rsid w:val="00244671"/>
    <w:rsid w:val="0024490C"/>
    <w:rsid w:val="00244A76"/>
    <w:rsid w:val="00244B03"/>
    <w:rsid w:val="00244D3E"/>
    <w:rsid w:val="00244D5B"/>
    <w:rsid w:val="00244DE5"/>
    <w:rsid w:val="00244F99"/>
    <w:rsid w:val="00244FE7"/>
    <w:rsid w:val="0024508C"/>
    <w:rsid w:val="0024515C"/>
    <w:rsid w:val="002451C5"/>
    <w:rsid w:val="00245217"/>
    <w:rsid w:val="002452FB"/>
    <w:rsid w:val="0024534C"/>
    <w:rsid w:val="002454AF"/>
    <w:rsid w:val="002455AD"/>
    <w:rsid w:val="002457C2"/>
    <w:rsid w:val="002459CB"/>
    <w:rsid w:val="00245B7F"/>
    <w:rsid w:val="00245BB6"/>
    <w:rsid w:val="00245DB6"/>
    <w:rsid w:val="00246029"/>
    <w:rsid w:val="002460F2"/>
    <w:rsid w:val="002462CE"/>
    <w:rsid w:val="0024632D"/>
    <w:rsid w:val="002463FB"/>
    <w:rsid w:val="00246451"/>
    <w:rsid w:val="002464DA"/>
    <w:rsid w:val="002464F2"/>
    <w:rsid w:val="002466DB"/>
    <w:rsid w:val="002466ED"/>
    <w:rsid w:val="0024697B"/>
    <w:rsid w:val="00246D9A"/>
    <w:rsid w:val="00246EAA"/>
    <w:rsid w:val="00247183"/>
    <w:rsid w:val="0024728D"/>
    <w:rsid w:val="00247344"/>
    <w:rsid w:val="002473F0"/>
    <w:rsid w:val="0024742F"/>
    <w:rsid w:val="002474A4"/>
    <w:rsid w:val="00247554"/>
    <w:rsid w:val="0024766C"/>
    <w:rsid w:val="0024768E"/>
    <w:rsid w:val="002478CF"/>
    <w:rsid w:val="00247AB7"/>
    <w:rsid w:val="00247B0B"/>
    <w:rsid w:val="00247C1B"/>
    <w:rsid w:val="00247CB4"/>
    <w:rsid w:val="00247D56"/>
    <w:rsid w:val="00247F1C"/>
    <w:rsid w:val="00250413"/>
    <w:rsid w:val="0025046C"/>
    <w:rsid w:val="002505C9"/>
    <w:rsid w:val="00250652"/>
    <w:rsid w:val="0025069E"/>
    <w:rsid w:val="002507A9"/>
    <w:rsid w:val="0025081C"/>
    <w:rsid w:val="0025087B"/>
    <w:rsid w:val="002508A8"/>
    <w:rsid w:val="00250961"/>
    <w:rsid w:val="0025098B"/>
    <w:rsid w:val="00250DA9"/>
    <w:rsid w:val="00250EE8"/>
    <w:rsid w:val="002510EF"/>
    <w:rsid w:val="00251124"/>
    <w:rsid w:val="002511CC"/>
    <w:rsid w:val="0025122A"/>
    <w:rsid w:val="002513FB"/>
    <w:rsid w:val="00251492"/>
    <w:rsid w:val="0025174A"/>
    <w:rsid w:val="002517CB"/>
    <w:rsid w:val="00251B38"/>
    <w:rsid w:val="00251B7C"/>
    <w:rsid w:val="00251D2B"/>
    <w:rsid w:val="00251D8E"/>
    <w:rsid w:val="00251E09"/>
    <w:rsid w:val="00251EBB"/>
    <w:rsid w:val="00251FD6"/>
    <w:rsid w:val="00252103"/>
    <w:rsid w:val="00252537"/>
    <w:rsid w:val="002525FC"/>
    <w:rsid w:val="00252638"/>
    <w:rsid w:val="00252941"/>
    <w:rsid w:val="00252EEA"/>
    <w:rsid w:val="00252FB3"/>
    <w:rsid w:val="00252FF2"/>
    <w:rsid w:val="0025305B"/>
    <w:rsid w:val="002531A2"/>
    <w:rsid w:val="0025322D"/>
    <w:rsid w:val="0025344C"/>
    <w:rsid w:val="002534A3"/>
    <w:rsid w:val="00253772"/>
    <w:rsid w:val="002537A6"/>
    <w:rsid w:val="002538E1"/>
    <w:rsid w:val="002539CC"/>
    <w:rsid w:val="002539F1"/>
    <w:rsid w:val="00253A76"/>
    <w:rsid w:val="00253D2D"/>
    <w:rsid w:val="00253DBE"/>
    <w:rsid w:val="00253DD8"/>
    <w:rsid w:val="002540A6"/>
    <w:rsid w:val="002541EC"/>
    <w:rsid w:val="002543C0"/>
    <w:rsid w:val="002545D9"/>
    <w:rsid w:val="0025464C"/>
    <w:rsid w:val="00254760"/>
    <w:rsid w:val="00254965"/>
    <w:rsid w:val="00254A27"/>
    <w:rsid w:val="00254DC0"/>
    <w:rsid w:val="00254F52"/>
    <w:rsid w:val="00255163"/>
    <w:rsid w:val="002551DA"/>
    <w:rsid w:val="00255217"/>
    <w:rsid w:val="00255667"/>
    <w:rsid w:val="0025572F"/>
    <w:rsid w:val="00255746"/>
    <w:rsid w:val="0025585E"/>
    <w:rsid w:val="002558BC"/>
    <w:rsid w:val="00255AC7"/>
    <w:rsid w:val="00255D6C"/>
    <w:rsid w:val="00255E2E"/>
    <w:rsid w:val="00255ED8"/>
    <w:rsid w:val="00255F88"/>
    <w:rsid w:val="00256141"/>
    <w:rsid w:val="00256378"/>
    <w:rsid w:val="002563E7"/>
    <w:rsid w:val="002564AF"/>
    <w:rsid w:val="002564C8"/>
    <w:rsid w:val="002564F9"/>
    <w:rsid w:val="002565C9"/>
    <w:rsid w:val="002566E4"/>
    <w:rsid w:val="00256767"/>
    <w:rsid w:val="0025678E"/>
    <w:rsid w:val="002567E4"/>
    <w:rsid w:val="00256861"/>
    <w:rsid w:val="002568E0"/>
    <w:rsid w:val="00256D20"/>
    <w:rsid w:val="00256D69"/>
    <w:rsid w:val="00256D6F"/>
    <w:rsid w:val="00256D82"/>
    <w:rsid w:val="00256E38"/>
    <w:rsid w:val="002570AD"/>
    <w:rsid w:val="00257170"/>
    <w:rsid w:val="002571C3"/>
    <w:rsid w:val="002573D9"/>
    <w:rsid w:val="00257410"/>
    <w:rsid w:val="002575BE"/>
    <w:rsid w:val="0025765C"/>
    <w:rsid w:val="002579F9"/>
    <w:rsid w:val="00257BA2"/>
    <w:rsid w:val="00257C8D"/>
    <w:rsid w:val="00257CEF"/>
    <w:rsid w:val="00257D07"/>
    <w:rsid w:val="00257D67"/>
    <w:rsid w:val="00257EA6"/>
    <w:rsid w:val="002600A8"/>
    <w:rsid w:val="002601BF"/>
    <w:rsid w:val="002602A6"/>
    <w:rsid w:val="002604A1"/>
    <w:rsid w:val="0026050F"/>
    <w:rsid w:val="002605D3"/>
    <w:rsid w:val="002605F3"/>
    <w:rsid w:val="002607CF"/>
    <w:rsid w:val="002607DB"/>
    <w:rsid w:val="00260896"/>
    <w:rsid w:val="00260AD4"/>
    <w:rsid w:val="00260EEE"/>
    <w:rsid w:val="002611B6"/>
    <w:rsid w:val="00261240"/>
    <w:rsid w:val="0026126E"/>
    <w:rsid w:val="002612E3"/>
    <w:rsid w:val="00261535"/>
    <w:rsid w:val="00261578"/>
    <w:rsid w:val="00261589"/>
    <w:rsid w:val="00261638"/>
    <w:rsid w:val="00261A74"/>
    <w:rsid w:val="00261B26"/>
    <w:rsid w:val="00261BD2"/>
    <w:rsid w:val="00261E1E"/>
    <w:rsid w:val="00261F92"/>
    <w:rsid w:val="002623B2"/>
    <w:rsid w:val="002625E0"/>
    <w:rsid w:val="002626E4"/>
    <w:rsid w:val="00262762"/>
    <w:rsid w:val="002627F5"/>
    <w:rsid w:val="00262816"/>
    <w:rsid w:val="002628EE"/>
    <w:rsid w:val="00262A18"/>
    <w:rsid w:val="00262A1A"/>
    <w:rsid w:val="00262B46"/>
    <w:rsid w:val="00262C4B"/>
    <w:rsid w:val="00262C79"/>
    <w:rsid w:val="00262CA3"/>
    <w:rsid w:val="00262CA6"/>
    <w:rsid w:val="00262DFA"/>
    <w:rsid w:val="00262F37"/>
    <w:rsid w:val="00262FF1"/>
    <w:rsid w:val="00263257"/>
    <w:rsid w:val="002634BD"/>
    <w:rsid w:val="00263685"/>
    <w:rsid w:val="0026368B"/>
    <w:rsid w:val="002636FB"/>
    <w:rsid w:val="0026381F"/>
    <w:rsid w:val="0026385F"/>
    <w:rsid w:val="002638FF"/>
    <w:rsid w:val="00263E27"/>
    <w:rsid w:val="00263F18"/>
    <w:rsid w:val="0026413A"/>
    <w:rsid w:val="00264509"/>
    <w:rsid w:val="002645AF"/>
    <w:rsid w:val="00264689"/>
    <w:rsid w:val="002646FC"/>
    <w:rsid w:val="002647EE"/>
    <w:rsid w:val="00264900"/>
    <w:rsid w:val="00264923"/>
    <w:rsid w:val="00264B9F"/>
    <w:rsid w:val="00264D31"/>
    <w:rsid w:val="00264E35"/>
    <w:rsid w:val="00264F62"/>
    <w:rsid w:val="002651F7"/>
    <w:rsid w:val="002653FA"/>
    <w:rsid w:val="0026545D"/>
    <w:rsid w:val="0026547A"/>
    <w:rsid w:val="00265523"/>
    <w:rsid w:val="00265610"/>
    <w:rsid w:val="002659C7"/>
    <w:rsid w:val="00265B9A"/>
    <w:rsid w:val="00265BFA"/>
    <w:rsid w:val="00265D9B"/>
    <w:rsid w:val="00266015"/>
    <w:rsid w:val="002661A3"/>
    <w:rsid w:val="002661E2"/>
    <w:rsid w:val="0026675C"/>
    <w:rsid w:val="002667EA"/>
    <w:rsid w:val="002668F4"/>
    <w:rsid w:val="00266CD0"/>
    <w:rsid w:val="00266D18"/>
    <w:rsid w:val="00266DC5"/>
    <w:rsid w:val="00266E52"/>
    <w:rsid w:val="00266E60"/>
    <w:rsid w:val="002671B7"/>
    <w:rsid w:val="002672FD"/>
    <w:rsid w:val="002674D9"/>
    <w:rsid w:val="002675D3"/>
    <w:rsid w:val="00267676"/>
    <w:rsid w:val="0027007E"/>
    <w:rsid w:val="00270102"/>
    <w:rsid w:val="00270324"/>
    <w:rsid w:val="00270382"/>
    <w:rsid w:val="00270606"/>
    <w:rsid w:val="00270727"/>
    <w:rsid w:val="002707FF"/>
    <w:rsid w:val="002708E2"/>
    <w:rsid w:val="0027091D"/>
    <w:rsid w:val="00270934"/>
    <w:rsid w:val="00270B96"/>
    <w:rsid w:val="00270DD2"/>
    <w:rsid w:val="00270E8A"/>
    <w:rsid w:val="00270EF0"/>
    <w:rsid w:val="00271028"/>
    <w:rsid w:val="0027110D"/>
    <w:rsid w:val="00271153"/>
    <w:rsid w:val="00271246"/>
    <w:rsid w:val="002712A5"/>
    <w:rsid w:val="002712EC"/>
    <w:rsid w:val="002712F2"/>
    <w:rsid w:val="00271776"/>
    <w:rsid w:val="002717E2"/>
    <w:rsid w:val="002718CB"/>
    <w:rsid w:val="00271B7F"/>
    <w:rsid w:val="00271BF7"/>
    <w:rsid w:val="00271E9C"/>
    <w:rsid w:val="00271F7C"/>
    <w:rsid w:val="00272095"/>
    <w:rsid w:val="00272183"/>
    <w:rsid w:val="00272543"/>
    <w:rsid w:val="0027260F"/>
    <w:rsid w:val="00272624"/>
    <w:rsid w:val="00272698"/>
    <w:rsid w:val="0027289F"/>
    <w:rsid w:val="00272A79"/>
    <w:rsid w:val="00272AC7"/>
    <w:rsid w:val="00272B38"/>
    <w:rsid w:val="00272BF4"/>
    <w:rsid w:val="00272CE2"/>
    <w:rsid w:val="00272D3A"/>
    <w:rsid w:val="00272D8E"/>
    <w:rsid w:val="00272DA6"/>
    <w:rsid w:val="00272EEA"/>
    <w:rsid w:val="00272F3A"/>
    <w:rsid w:val="00272F62"/>
    <w:rsid w:val="00272F92"/>
    <w:rsid w:val="00273087"/>
    <w:rsid w:val="002731EB"/>
    <w:rsid w:val="0027324A"/>
    <w:rsid w:val="00273342"/>
    <w:rsid w:val="0027376D"/>
    <w:rsid w:val="00273CC9"/>
    <w:rsid w:val="00273F0C"/>
    <w:rsid w:val="00273F28"/>
    <w:rsid w:val="002742B0"/>
    <w:rsid w:val="002745E8"/>
    <w:rsid w:val="002746ED"/>
    <w:rsid w:val="00274724"/>
    <w:rsid w:val="00274783"/>
    <w:rsid w:val="0027486E"/>
    <w:rsid w:val="002748F8"/>
    <w:rsid w:val="0027491E"/>
    <w:rsid w:val="0027492D"/>
    <w:rsid w:val="00274A05"/>
    <w:rsid w:val="00274B27"/>
    <w:rsid w:val="00274BCE"/>
    <w:rsid w:val="00274BEA"/>
    <w:rsid w:val="00274E49"/>
    <w:rsid w:val="00274F8F"/>
    <w:rsid w:val="002750CF"/>
    <w:rsid w:val="002751B4"/>
    <w:rsid w:val="002753DD"/>
    <w:rsid w:val="002756A7"/>
    <w:rsid w:val="002756B0"/>
    <w:rsid w:val="002758C0"/>
    <w:rsid w:val="00275B25"/>
    <w:rsid w:val="00275B47"/>
    <w:rsid w:val="00275E16"/>
    <w:rsid w:val="00275F27"/>
    <w:rsid w:val="00275F28"/>
    <w:rsid w:val="0027618B"/>
    <w:rsid w:val="0027646C"/>
    <w:rsid w:val="0027647D"/>
    <w:rsid w:val="00276484"/>
    <w:rsid w:val="002764A0"/>
    <w:rsid w:val="0027658A"/>
    <w:rsid w:val="002765CE"/>
    <w:rsid w:val="00276667"/>
    <w:rsid w:val="00276753"/>
    <w:rsid w:val="00276807"/>
    <w:rsid w:val="0027699D"/>
    <w:rsid w:val="002769E0"/>
    <w:rsid w:val="00276ACF"/>
    <w:rsid w:val="00276AD4"/>
    <w:rsid w:val="00276D24"/>
    <w:rsid w:val="00276E01"/>
    <w:rsid w:val="0027732C"/>
    <w:rsid w:val="0027746B"/>
    <w:rsid w:val="0027759F"/>
    <w:rsid w:val="0027769F"/>
    <w:rsid w:val="002776D5"/>
    <w:rsid w:val="002779DF"/>
    <w:rsid w:val="00277A0F"/>
    <w:rsid w:val="00277D70"/>
    <w:rsid w:val="00277DAF"/>
    <w:rsid w:val="00277DD7"/>
    <w:rsid w:val="00277EA7"/>
    <w:rsid w:val="002806FD"/>
    <w:rsid w:val="0028080C"/>
    <w:rsid w:val="00280873"/>
    <w:rsid w:val="00280A91"/>
    <w:rsid w:val="00280AAE"/>
    <w:rsid w:val="00280B29"/>
    <w:rsid w:val="00280B4D"/>
    <w:rsid w:val="00280C44"/>
    <w:rsid w:val="00280E33"/>
    <w:rsid w:val="00280EDA"/>
    <w:rsid w:val="00280EEF"/>
    <w:rsid w:val="00280F7E"/>
    <w:rsid w:val="00281030"/>
    <w:rsid w:val="00281353"/>
    <w:rsid w:val="00281378"/>
    <w:rsid w:val="00281439"/>
    <w:rsid w:val="0028177A"/>
    <w:rsid w:val="002817B2"/>
    <w:rsid w:val="002818C9"/>
    <w:rsid w:val="00281969"/>
    <w:rsid w:val="00281A8A"/>
    <w:rsid w:val="00281B80"/>
    <w:rsid w:val="00281D71"/>
    <w:rsid w:val="00281F1D"/>
    <w:rsid w:val="00282318"/>
    <w:rsid w:val="00282405"/>
    <w:rsid w:val="0028268C"/>
    <w:rsid w:val="002826CA"/>
    <w:rsid w:val="00282A0D"/>
    <w:rsid w:val="00282BEE"/>
    <w:rsid w:val="00282F25"/>
    <w:rsid w:val="00282FB8"/>
    <w:rsid w:val="002830EB"/>
    <w:rsid w:val="002831EB"/>
    <w:rsid w:val="00283261"/>
    <w:rsid w:val="00283299"/>
    <w:rsid w:val="00283636"/>
    <w:rsid w:val="002836CA"/>
    <w:rsid w:val="00283885"/>
    <w:rsid w:val="0028393C"/>
    <w:rsid w:val="0028397E"/>
    <w:rsid w:val="00283BF4"/>
    <w:rsid w:val="00283C64"/>
    <w:rsid w:val="00283EAD"/>
    <w:rsid w:val="00283EBD"/>
    <w:rsid w:val="00283F05"/>
    <w:rsid w:val="00283FA3"/>
    <w:rsid w:val="002840DC"/>
    <w:rsid w:val="00284250"/>
    <w:rsid w:val="0028493C"/>
    <w:rsid w:val="002849C8"/>
    <w:rsid w:val="002849E8"/>
    <w:rsid w:val="002849EB"/>
    <w:rsid w:val="00284A8A"/>
    <w:rsid w:val="00285021"/>
    <w:rsid w:val="002852AC"/>
    <w:rsid w:val="0028530A"/>
    <w:rsid w:val="00285327"/>
    <w:rsid w:val="00285888"/>
    <w:rsid w:val="002858B9"/>
    <w:rsid w:val="002858C6"/>
    <w:rsid w:val="00285B15"/>
    <w:rsid w:val="00285C25"/>
    <w:rsid w:val="00285C43"/>
    <w:rsid w:val="00285E17"/>
    <w:rsid w:val="00285EC0"/>
    <w:rsid w:val="00285EE5"/>
    <w:rsid w:val="00285EEE"/>
    <w:rsid w:val="00286351"/>
    <w:rsid w:val="002864B4"/>
    <w:rsid w:val="00286524"/>
    <w:rsid w:val="002866CA"/>
    <w:rsid w:val="0028676E"/>
    <w:rsid w:val="0028678D"/>
    <w:rsid w:val="00286834"/>
    <w:rsid w:val="00286966"/>
    <w:rsid w:val="0028714C"/>
    <w:rsid w:val="002871F6"/>
    <w:rsid w:val="00287392"/>
    <w:rsid w:val="0028755F"/>
    <w:rsid w:val="002875ED"/>
    <w:rsid w:val="002876B9"/>
    <w:rsid w:val="0028793C"/>
    <w:rsid w:val="0028798B"/>
    <w:rsid w:val="00287A66"/>
    <w:rsid w:val="00287BE2"/>
    <w:rsid w:val="00287C02"/>
    <w:rsid w:val="00287EFF"/>
    <w:rsid w:val="00287F06"/>
    <w:rsid w:val="00290114"/>
    <w:rsid w:val="00290256"/>
    <w:rsid w:val="002903A1"/>
    <w:rsid w:val="002903BA"/>
    <w:rsid w:val="0029042A"/>
    <w:rsid w:val="00290484"/>
    <w:rsid w:val="0029048F"/>
    <w:rsid w:val="002906A4"/>
    <w:rsid w:val="002906E7"/>
    <w:rsid w:val="0029070D"/>
    <w:rsid w:val="00290848"/>
    <w:rsid w:val="00290A25"/>
    <w:rsid w:val="00290CF9"/>
    <w:rsid w:val="00290DF6"/>
    <w:rsid w:val="00290E24"/>
    <w:rsid w:val="00290FBF"/>
    <w:rsid w:val="00290FED"/>
    <w:rsid w:val="00290FF5"/>
    <w:rsid w:val="002912E3"/>
    <w:rsid w:val="00291357"/>
    <w:rsid w:val="00291387"/>
    <w:rsid w:val="002913BE"/>
    <w:rsid w:val="0029143F"/>
    <w:rsid w:val="00291459"/>
    <w:rsid w:val="00291484"/>
    <w:rsid w:val="00291AB8"/>
    <w:rsid w:val="00291B30"/>
    <w:rsid w:val="00291BDB"/>
    <w:rsid w:val="00291D5E"/>
    <w:rsid w:val="00291F50"/>
    <w:rsid w:val="0029203A"/>
    <w:rsid w:val="0029204D"/>
    <w:rsid w:val="002921DB"/>
    <w:rsid w:val="0029223A"/>
    <w:rsid w:val="002923B7"/>
    <w:rsid w:val="0029255B"/>
    <w:rsid w:val="0029255E"/>
    <w:rsid w:val="00292608"/>
    <w:rsid w:val="00292698"/>
    <w:rsid w:val="00292922"/>
    <w:rsid w:val="00292A2D"/>
    <w:rsid w:val="00292B6A"/>
    <w:rsid w:val="00292C01"/>
    <w:rsid w:val="00292C41"/>
    <w:rsid w:val="00292FA1"/>
    <w:rsid w:val="002932A3"/>
    <w:rsid w:val="00293343"/>
    <w:rsid w:val="0029334F"/>
    <w:rsid w:val="0029348C"/>
    <w:rsid w:val="002934F8"/>
    <w:rsid w:val="00293BA6"/>
    <w:rsid w:val="00293ED2"/>
    <w:rsid w:val="00293F6E"/>
    <w:rsid w:val="00293F85"/>
    <w:rsid w:val="00293FF7"/>
    <w:rsid w:val="00294031"/>
    <w:rsid w:val="00294105"/>
    <w:rsid w:val="00294197"/>
    <w:rsid w:val="0029478F"/>
    <w:rsid w:val="00294806"/>
    <w:rsid w:val="0029494D"/>
    <w:rsid w:val="002949A7"/>
    <w:rsid w:val="00294F1F"/>
    <w:rsid w:val="00294F9E"/>
    <w:rsid w:val="00294FA0"/>
    <w:rsid w:val="00294FB2"/>
    <w:rsid w:val="0029506D"/>
    <w:rsid w:val="00295337"/>
    <w:rsid w:val="00295378"/>
    <w:rsid w:val="002954AE"/>
    <w:rsid w:val="002954CC"/>
    <w:rsid w:val="0029551C"/>
    <w:rsid w:val="00295550"/>
    <w:rsid w:val="002955E6"/>
    <w:rsid w:val="002956E2"/>
    <w:rsid w:val="002957A0"/>
    <w:rsid w:val="0029594A"/>
    <w:rsid w:val="00295C40"/>
    <w:rsid w:val="00295C52"/>
    <w:rsid w:val="00295F17"/>
    <w:rsid w:val="00296004"/>
    <w:rsid w:val="002960AA"/>
    <w:rsid w:val="00296248"/>
    <w:rsid w:val="0029643B"/>
    <w:rsid w:val="002964F4"/>
    <w:rsid w:val="0029651A"/>
    <w:rsid w:val="0029667E"/>
    <w:rsid w:val="00296897"/>
    <w:rsid w:val="00296A18"/>
    <w:rsid w:val="00296C5A"/>
    <w:rsid w:val="00296E66"/>
    <w:rsid w:val="00296EB1"/>
    <w:rsid w:val="002970A6"/>
    <w:rsid w:val="00297458"/>
    <w:rsid w:val="0029758A"/>
    <w:rsid w:val="002978BB"/>
    <w:rsid w:val="002978E5"/>
    <w:rsid w:val="00297952"/>
    <w:rsid w:val="00297AEA"/>
    <w:rsid w:val="00297B2C"/>
    <w:rsid w:val="00297C1B"/>
    <w:rsid w:val="00297D0C"/>
    <w:rsid w:val="00297D33"/>
    <w:rsid w:val="00297E72"/>
    <w:rsid w:val="00297E9D"/>
    <w:rsid w:val="00297FA1"/>
    <w:rsid w:val="002A013C"/>
    <w:rsid w:val="002A035E"/>
    <w:rsid w:val="002A045E"/>
    <w:rsid w:val="002A04EB"/>
    <w:rsid w:val="002A05A7"/>
    <w:rsid w:val="002A0697"/>
    <w:rsid w:val="002A073A"/>
    <w:rsid w:val="002A09C5"/>
    <w:rsid w:val="002A0BFD"/>
    <w:rsid w:val="002A0C5E"/>
    <w:rsid w:val="002A0DA7"/>
    <w:rsid w:val="002A0EFF"/>
    <w:rsid w:val="002A0F7E"/>
    <w:rsid w:val="002A1088"/>
    <w:rsid w:val="002A1194"/>
    <w:rsid w:val="002A1214"/>
    <w:rsid w:val="002A124A"/>
    <w:rsid w:val="002A15C4"/>
    <w:rsid w:val="002A1B53"/>
    <w:rsid w:val="002A1BA4"/>
    <w:rsid w:val="002A1BFA"/>
    <w:rsid w:val="002A1C9A"/>
    <w:rsid w:val="002A1CA3"/>
    <w:rsid w:val="002A1D9F"/>
    <w:rsid w:val="002A201B"/>
    <w:rsid w:val="002A207B"/>
    <w:rsid w:val="002A2241"/>
    <w:rsid w:val="002A26F9"/>
    <w:rsid w:val="002A2716"/>
    <w:rsid w:val="002A2722"/>
    <w:rsid w:val="002A28BD"/>
    <w:rsid w:val="002A290A"/>
    <w:rsid w:val="002A2A64"/>
    <w:rsid w:val="002A2B73"/>
    <w:rsid w:val="002A2B77"/>
    <w:rsid w:val="002A2D0F"/>
    <w:rsid w:val="002A2DD1"/>
    <w:rsid w:val="002A2E6F"/>
    <w:rsid w:val="002A3025"/>
    <w:rsid w:val="002A30E4"/>
    <w:rsid w:val="002A33C5"/>
    <w:rsid w:val="002A3416"/>
    <w:rsid w:val="002A34FC"/>
    <w:rsid w:val="002A3529"/>
    <w:rsid w:val="002A36DA"/>
    <w:rsid w:val="002A37D9"/>
    <w:rsid w:val="002A3AAA"/>
    <w:rsid w:val="002A3D67"/>
    <w:rsid w:val="002A3DC6"/>
    <w:rsid w:val="002A3EEC"/>
    <w:rsid w:val="002A4062"/>
    <w:rsid w:val="002A411A"/>
    <w:rsid w:val="002A4223"/>
    <w:rsid w:val="002A477C"/>
    <w:rsid w:val="002A4AC4"/>
    <w:rsid w:val="002A4B3B"/>
    <w:rsid w:val="002A4B44"/>
    <w:rsid w:val="002A4C14"/>
    <w:rsid w:val="002A4D80"/>
    <w:rsid w:val="002A4EF0"/>
    <w:rsid w:val="002A4F8A"/>
    <w:rsid w:val="002A4FBD"/>
    <w:rsid w:val="002A500B"/>
    <w:rsid w:val="002A5042"/>
    <w:rsid w:val="002A512B"/>
    <w:rsid w:val="002A5222"/>
    <w:rsid w:val="002A5346"/>
    <w:rsid w:val="002A53C8"/>
    <w:rsid w:val="002A55E2"/>
    <w:rsid w:val="002A5659"/>
    <w:rsid w:val="002A566B"/>
    <w:rsid w:val="002A5802"/>
    <w:rsid w:val="002A58A8"/>
    <w:rsid w:val="002A58B1"/>
    <w:rsid w:val="002A5AB4"/>
    <w:rsid w:val="002A5B05"/>
    <w:rsid w:val="002A5FFA"/>
    <w:rsid w:val="002A6040"/>
    <w:rsid w:val="002A623E"/>
    <w:rsid w:val="002A632D"/>
    <w:rsid w:val="002A6451"/>
    <w:rsid w:val="002A64AF"/>
    <w:rsid w:val="002A652C"/>
    <w:rsid w:val="002A6546"/>
    <w:rsid w:val="002A65A4"/>
    <w:rsid w:val="002A65F8"/>
    <w:rsid w:val="002A6671"/>
    <w:rsid w:val="002A66E0"/>
    <w:rsid w:val="002A66F2"/>
    <w:rsid w:val="002A66FE"/>
    <w:rsid w:val="002A6ADB"/>
    <w:rsid w:val="002A6B18"/>
    <w:rsid w:val="002A6C8E"/>
    <w:rsid w:val="002A6D43"/>
    <w:rsid w:val="002A6D61"/>
    <w:rsid w:val="002A718D"/>
    <w:rsid w:val="002A7215"/>
    <w:rsid w:val="002A7401"/>
    <w:rsid w:val="002A74C5"/>
    <w:rsid w:val="002A756A"/>
    <w:rsid w:val="002A758A"/>
    <w:rsid w:val="002A7890"/>
    <w:rsid w:val="002A78A0"/>
    <w:rsid w:val="002A78F3"/>
    <w:rsid w:val="002A7911"/>
    <w:rsid w:val="002A7A74"/>
    <w:rsid w:val="002A7B6D"/>
    <w:rsid w:val="002A7CEC"/>
    <w:rsid w:val="002A7D8F"/>
    <w:rsid w:val="002A7EF3"/>
    <w:rsid w:val="002B0099"/>
    <w:rsid w:val="002B00AC"/>
    <w:rsid w:val="002B0103"/>
    <w:rsid w:val="002B0175"/>
    <w:rsid w:val="002B0220"/>
    <w:rsid w:val="002B0235"/>
    <w:rsid w:val="002B026B"/>
    <w:rsid w:val="002B032C"/>
    <w:rsid w:val="002B0535"/>
    <w:rsid w:val="002B05C9"/>
    <w:rsid w:val="002B08B3"/>
    <w:rsid w:val="002B08E8"/>
    <w:rsid w:val="002B0B67"/>
    <w:rsid w:val="002B0CE7"/>
    <w:rsid w:val="002B0EB5"/>
    <w:rsid w:val="002B0F1D"/>
    <w:rsid w:val="002B103B"/>
    <w:rsid w:val="002B10CC"/>
    <w:rsid w:val="002B124B"/>
    <w:rsid w:val="002B13A4"/>
    <w:rsid w:val="002B1436"/>
    <w:rsid w:val="002B145D"/>
    <w:rsid w:val="002B14D4"/>
    <w:rsid w:val="002B164E"/>
    <w:rsid w:val="002B172D"/>
    <w:rsid w:val="002B1750"/>
    <w:rsid w:val="002B17D4"/>
    <w:rsid w:val="002B1ABB"/>
    <w:rsid w:val="002B1C82"/>
    <w:rsid w:val="002B1D4D"/>
    <w:rsid w:val="002B1F0B"/>
    <w:rsid w:val="002B23F7"/>
    <w:rsid w:val="002B243B"/>
    <w:rsid w:val="002B25CD"/>
    <w:rsid w:val="002B25D0"/>
    <w:rsid w:val="002B25FF"/>
    <w:rsid w:val="002B2638"/>
    <w:rsid w:val="002B27D1"/>
    <w:rsid w:val="002B27FD"/>
    <w:rsid w:val="002B2819"/>
    <w:rsid w:val="002B2877"/>
    <w:rsid w:val="002B2924"/>
    <w:rsid w:val="002B2AE0"/>
    <w:rsid w:val="002B2AF4"/>
    <w:rsid w:val="002B2B9E"/>
    <w:rsid w:val="002B2E10"/>
    <w:rsid w:val="002B2F07"/>
    <w:rsid w:val="002B3229"/>
    <w:rsid w:val="002B32AF"/>
    <w:rsid w:val="002B3333"/>
    <w:rsid w:val="002B360A"/>
    <w:rsid w:val="002B38FD"/>
    <w:rsid w:val="002B3B93"/>
    <w:rsid w:val="002B3DAE"/>
    <w:rsid w:val="002B3EC0"/>
    <w:rsid w:val="002B3F34"/>
    <w:rsid w:val="002B3FCE"/>
    <w:rsid w:val="002B409B"/>
    <w:rsid w:val="002B41B0"/>
    <w:rsid w:val="002B43DD"/>
    <w:rsid w:val="002B44C5"/>
    <w:rsid w:val="002B44D0"/>
    <w:rsid w:val="002B4588"/>
    <w:rsid w:val="002B4A1B"/>
    <w:rsid w:val="002B4AAF"/>
    <w:rsid w:val="002B4B79"/>
    <w:rsid w:val="002B4D66"/>
    <w:rsid w:val="002B4E40"/>
    <w:rsid w:val="002B50B8"/>
    <w:rsid w:val="002B50E1"/>
    <w:rsid w:val="002B528E"/>
    <w:rsid w:val="002B535B"/>
    <w:rsid w:val="002B53F8"/>
    <w:rsid w:val="002B5510"/>
    <w:rsid w:val="002B5615"/>
    <w:rsid w:val="002B5660"/>
    <w:rsid w:val="002B5757"/>
    <w:rsid w:val="002B592D"/>
    <w:rsid w:val="002B5A58"/>
    <w:rsid w:val="002B5B1F"/>
    <w:rsid w:val="002B5C39"/>
    <w:rsid w:val="002B5EB8"/>
    <w:rsid w:val="002B5EDC"/>
    <w:rsid w:val="002B5FE6"/>
    <w:rsid w:val="002B60D8"/>
    <w:rsid w:val="002B6196"/>
    <w:rsid w:val="002B638B"/>
    <w:rsid w:val="002B65CA"/>
    <w:rsid w:val="002B6813"/>
    <w:rsid w:val="002B6955"/>
    <w:rsid w:val="002B69E2"/>
    <w:rsid w:val="002B6C99"/>
    <w:rsid w:val="002B6F8E"/>
    <w:rsid w:val="002B7087"/>
    <w:rsid w:val="002B72D8"/>
    <w:rsid w:val="002B72EB"/>
    <w:rsid w:val="002B72F6"/>
    <w:rsid w:val="002B7365"/>
    <w:rsid w:val="002B74B7"/>
    <w:rsid w:val="002B74F2"/>
    <w:rsid w:val="002B7643"/>
    <w:rsid w:val="002B77A3"/>
    <w:rsid w:val="002B79B2"/>
    <w:rsid w:val="002B7A03"/>
    <w:rsid w:val="002B7AE9"/>
    <w:rsid w:val="002B7E20"/>
    <w:rsid w:val="002B7E22"/>
    <w:rsid w:val="002B7F12"/>
    <w:rsid w:val="002C01EF"/>
    <w:rsid w:val="002C024E"/>
    <w:rsid w:val="002C0334"/>
    <w:rsid w:val="002C034D"/>
    <w:rsid w:val="002C0372"/>
    <w:rsid w:val="002C03D8"/>
    <w:rsid w:val="002C043B"/>
    <w:rsid w:val="002C09E3"/>
    <w:rsid w:val="002C0B9C"/>
    <w:rsid w:val="002C0F59"/>
    <w:rsid w:val="002C10EB"/>
    <w:rsid w:val="002C13C3"/>
    <w:rsid w:val="002C1456"/>
    <w:rsid w:val="002C149A"/>
    <w:rsid w:val="002C1637"/>
    <w:rsid w:val="002C1684"/>
    <w:rsid w:val="002C1788"/>
    <w:rsid w:val="002C1C50"/>
    <w:rsid w:val="002C1C73"/>
    <w:rsid w:val="002C1C7B"/>
    <w:rsid w:val="002C1C8B"/>
    <w:rsid w:val="002C1CB9"/>
    <w:rsid w:val="002C1D02"/>
    <w:rsid w:val="002C1ED3"/>
    <w:rsid w:val="002C1FCB"/>
    <w:rsid w:val="002C207C"/>
    <w:rsid w:val="002C227B"/>
    <w:rsid w:val="002C256C"/>
    <w:rsid w:val="002C2964"/>
    <w:rsid w:val="002C2A3D"/>
    <w:rsid w:val="002C2A97"/>
    <w:rsid w:val="002C2B71"/>
    <w:rsid w:val="002C2BC5"/>
    <w:rsid w:val="002C2C48"/>
    <w:rsid w:val="002C2D6E"/>
    <w:rsid w:val="002C2D88"/>
    <w:rsid w:val="002C2ED2"/>
    <w:rsid w:val="002C2F98"/>
    <w:rsid w:val="002C3069"/>
    <w:rsid w:val="002C307C"/>
    <w:rsid w:val="002C3081"/>
    <w:rsid w:val="002C318F"/>
    <w:rsid w:val="002C328F"/>
    <w:rsid w:val="002C344D"/>
    <w:rsid w:val="002C344F"/>
    <w:rsid w:val="002C347D"/>
    <w:rsid w:val="002C34B1"/>
    <w:rsid w:val="002C34B4"/>
    <w:rsid w:val="002C3564"/>
    <w:rsid w:val="002C380B"/>
    <w:rsid w:val="002C3925"/>
    <w:rsid w:val="002C3A49"/>
    <w:rsid w:val="002C3ABF"/>
    <w:rsid w:val="002C3F01"/>
    <w:rsid w:val="002C3F08"/>
    <w:rsid w:val="002C3FD4"/>
    <w:rsid w:val="002C4044"/>
    <w:rsid w:val="002C404A"/>
    <w:rsid w:val="002C40B5"/>
    <w:rsid w:val="002C4272"/>
    <w:rsid w:val="002C42A4"/>
    <w:rsid w:val="002C452A"/>
    <w:rsid w:val="002C469A"/>
    <w:rsid w:val="002C47A0"/>
    <w:rsid w:val="002C47F9"/>
    <w:rsid w:val="002C4834"/>
    <w:rsid w:val="002C48A9"/>
    <w:rsid w:val="002C4AE7"/>
    <w:rsid w:val="002C4BCA"/>
    <w:rsid w:val="002C4CD0"/>
    <w:rsid w:val="002C4CFA"/>
    <w:rsid w:val="002C4D96"/>
    <w:rsid w:val="002C508B"/>
    <w:rsid w:val="002C50F6"/>
    <w:rsid w:val="002C512E"/>
    <w:rsid w:val="002C5270"/>
    <w:rsid w:val="002C58E9"/>
    <w:rsid w:val="002C59D8"/>
    <w:rsid w:val="002C5A23"/>
    <w:rsid w:val="002C5B16"/>
    <w:rsid w:val="002C5BEB"/>
    <w:rsid w:val="002C5D9F"/>
    <w:rsid w:val="002C5DEF"/>
    <w:rsid w:val="002C61E8"/>
    <w:rsid w:val="002C625D"/>
    <w:rsid w:val="002C6281"/>
    <w:rsid w:val="002C62D4"/>
    <w:rsid w:val="002C6468"/>
    <w:rsid w:val="002C6647"/>
    <w:rsid w:val="002C6A57"/>
    <w:rsid w:val="002C6B59"/>
    <w:rsid w:val="002C6B7C"/>
    <w:rsid w:val="002C6C66"/>
    <w:rsid w:val="002C6D47"/>
    <w:rsid w:val="002C6E79"/>
    <w:rsid w:val="002C6F29"/>
    <w:rsid w:val="002C6F97"/>
    <w:rsid w:val="002C709B"/>
    <w:rsid w:val="002C722A"/>
    <w:rsid w:val="002C7279"/>
    <w:rsid w:val="002C74F5"/>
    <w:rsid w:val="002C754F"/>
    <w:rsid w:val="002C7898"/>
    <w:rsid w:val="002C7953"/>
    <w:rsid w:val="002C79EF"/>
    <w:rsid w:val="002C7A09"/>
    <w:rsid w:val="002C7EA7"/>
    <w:rsid w:val="002C7FA4"/>
    <w:rsid w:val="002D00C1"/>
    <w:rsid w:val="002D0118"/>
    <w:rsid w:val="002D06D0"/>
    <w:rsid w:val="002D07C4"/>
    <w:rsid w:val="002D07D3"/>
    <w:rsid w:val="002D0A4E"/>
    <w:rsid w:val="002D0B26"/>
    <w:rsid w:val="002D0C38"/>
    <w:rsid w:val="002D0FAA"/>
    <w:rsid w:val="002D11C9"/>
    <w:rsid w:val="002D1317"/>
    <w:rsid w:val="002D150D"/>
    <w:rsid w:val="002D19FB"/>
    <w:rsid w:val="002D1F31"/>
    <w:rsid w:val="002D1F8C"/>
    <w:rsid w:val="002D2055"/>
    <w:rsid w:val="002D20E2"/>
    <w:rsid w:val="002D20ED"/>
    <w:rsid w:val="002D232D"/>
    <w:rsid w:val="002D23D6"/>
    <w:rsid w:val="002D24C3"/>
    <w:rsid w:val="002D29A7"/>
    <w:rsid w:val="002D2A39"/>
    <w:rsid w:val="002D2DC0"/>
    <w:rsid w:val="002D2DDD"/>
    <w:rsid w:val="002D2E6C"/>
    <w:rsid w:val="002D2ED5"/>
    <w:rsid w:val="002D3076"/>
    <w:rsid w:val="002D3607"/>
    <w:rsid w:val="002D3618"/>
    <w:rsid w:val="002D3668"/>
    <w:rsid w:val="002D366A"/>
    <w:rsid w:val="002D3867"/>
    <w:rsid w:val="002D3A0A"/>
    <w:rsid w:val="002D3A68"/>
    <w:rsid w:val="002D3AC9"/>
    <w:rsid w:val="002D3B41"/>
    <w:rsid w:val="002D3DE6"/>
    <w:rsid w:val="002D3F49"/>
    <w:rsid w:val="002D4102"/>
    <w:rsid w:val="002D42C8"/>
    <w:rsid w:val="002D439C"/>
    <w:rsid w:val="002D4850"/>
    <w:rsid w:val="002D48FF"/>
    <w:rsid w:val="002D49AA"/>
    <w:rsid w:val="002D4C21"/>
    <w:rsid w:val="002D4CA6"/>
    <w:rsid w:val="002D4DC9"/>
    <w:rsid w:val="002D4E6D"/>
    <w:rsid w:val="002D5033"/>
    <w:rsid w:val="002D50B7"/>
    <w:rsid w:val="002D5370"/>
    <w:rsid w:val="002D5472"/>
    <w:rsid w:val="002D55C9"/>
    <w:rsid w:val="002D576E"/>
    <w:rsid w:val="002D5977"/>
    <w:rsid w:val="002D5ACB"/>
    <w:rsid w:val="002D5B5C"/>
    <w:rsid w:val="002D5C6B"/>
    <w:rsid w:val="002D6120"/>
    <w:rsid w:val="002D6388"/>
    <w:rsid w:val="002D63D2"/>
    <w:rsid w:val="002D6528"/>
    <w:rsid w:val="002D655A"/>
    <w:rsid w:val="002D6741"/>
    <w:rsid w:val="002D67B4"/>
    <w:rsid w:val="002D6807"/>
    <w:rsid w:val="002D68C4"/>
    <w:rsid w:val="002D6A18"/>
    <w:rsid w:val="002D6A80"/>
    <w:rsid w:val="002D6B7B"/>
    <w:rsid w:val="002D6C7A"/>
    <w:rsid w:val="002D6E1F"/>
    <w:rsid w:val="002D6F2D"/>
    <w:rsid w:val="002D6FAE"/>
    <w:rsid w:val="002D7173"/>
    <w:rsid w:val="002D719B"/>
    <w:rsid w:val="002D7375"/>
    <w:rsid w:val="002D7478"/>
    <w:rsid w:val="002D748C"/>
    <w:rsid w:val="002D74B7"/>
    <w:rsid w:val="002D74F4"/>
    <w:rsid w:val="002D7632"/>
    <w:rsid w:val="002D7687"/>
    <w:rsid w:val="002D7792"/>
    <w:rsid w:val="002D7795"/>
    <w:rsid w:val="002D790E"/>
    <w:rsid w:val="002D793A"/>
    <w:rsid w:val="002D7BF6"/>
    <w:rsid w:val="002D7C23"/>
    <w:rsid w:val="002D7D39"/>
    <w:rsid w:val="002D7E44"/>
    <w:rsid w:val="002D7F9E"/>
    <w:rsid w:val="002E012C"/>
    <w:rsid w:val="002E0227"/>
    <w:rsid w:val="002E031F"/>
    <w:rsid w:val="002E04C2"/>
    <w:rsid w:val="002E06BC"/>
    <w:rsid w:val="002E0712"/>
    <w:rsid w:val="002E080B"/>
    <w:rsid w:val="002E0A00"/>
    <w:rsid w:val="002E0B67"/>
    <w:rsid w:val="002E0C99"/>
    <w:rsid w:val="002E0D9B"/>
    <w:rsid w:val="002E0F17"/>
    <w:rsid w:val="002E0FEA"/>
    <w:rsid w:val="002E1057"/>
    <w:rsid w:val="002E107F"/>
    <w:rsid w:val="002E11E0"/>
    <w:rsid w:val="002E1366"/>
    <w:rsid w:val="002E13C4"/>
    <w:rsid w:val="002E1471"/>
    <w:rsid w:val="002E1508"/>
    <w:rsid w:val="002E150A"/>
    <w:rsid w:val="002E1782"/>
    <w:rsid w:val="002E1927"/>
    <w:rsid w:val="002E1F55"/>
    <w:rsid w:val="002E20A2"/>
    <w:rsid w:val="002E23B6"/>
    <w:rsid w:val="002E23DE"/>
    <w:rsid w:val="002E241F"/>
    <w:rsid w:val="002E2428"/>
    <w:rsid w:val="002E248F"/>
    <w:rsid w:val="002E2542"/>
    <w:rsid w:val="002E26A6"/>
    <w:rsid w:val="002E26E7"/>
    <w:rsid w:val="002E2709"/>
    <w:rsid w:val="002E2A31"/>
    <w:rsid w:val="002E2A51"/>
    <w:rsid w:val="002E2C21"/>
    <w:rsid w:val="002E2C74"/>
    <w:rsid w:val="002E2CF0"/>
    <w:rsid w:val="002E2D2E"/>
    <w:rsid w:val="002E2D81"/>
    <w:rsid w:val="002E2F1F"/>
    <w:rsid w:val="002E31AF"/>
    <w:rsid w:val="002E31D9"/>
    <w:rsid w:val="002E36B0"/>
    <w:rsid w:val="002E36D1"/>
    <w:rsid w:val="002E3815"/>
    <w:rsid w:val="002E388F"/>
    <w:rsid w:val="002E38C9"/>
    <w:rsid w:val="002E3F2D"/>
    <w:rsid w:val="002E4163"/>
    <w:rsid w:val="002E4185"/>
    <w:rsid w:val="002E4367"/>
    <w:rsid w:val="002E4379"/>
    <w:rsid w:val="002E445C"/>
    <w:rsid w:val="002E44F3"/>
    <w:rsid w:val="002E4562"/>
    <w:rsid w:val="002E4656"/>
    <w:rsid w:val="002E4B32"/>
    <w:rsid w:val="002E4CE8"/>
    <w:rsid w:val="002E4D41"/>
    <w:rsid w:val="002E4E90"/>
    <w:rsid w:val="002E4EFB"/>
    <w:rsid w:val="002E4F2F"/>
    <w:rsid w:val="002E52B2"/>
    <w:rsid w:val="002E580A"/>
    <w:rsid w:val="002E5A54"/>
    <w:rsid w:val="002E5CF3"/>
    <w:rsid w:val="002E5D77"/>
    <w:rsid w:val="002E5DA5"/>
    <w:rsid w:val="002E5E81"/>
    <w:rsid w:val="002E5EB9"/>
    <w:rsid w:val="002E5F83"/>
    <w:rsid w:val="002E630A"/>
    <w:rsid w:val="002E6401"/>
    <w:rsid w:val="002E6512"/>
    <w:rsid w:val="002E65C1"/>
    <w:rsid w:val="002E65E0"/>
    <w:rsid w:val="002E67AE"/>
    <w:rsid w:val="002E6891"/>
    <w:rsid w:val="002E6978"/>
    <w:rsid w:val="002E698B"/>
    <w:rsid w:val="002E69F1"/>
    <w:rsid w:val="002E6A3F"/>
    <w:rsid w:val="002E6B48"/>
    <w:rsid w:val="002E6E3C"/>
    <w:rsid w:val="002E6E43"/>
    <w:rsid w:val="002E6F52"/>
    <w:rsid w:val="002E71E0"/>
    <w:rsid w:val="002E76C0"/>
    <w:rsid w:val="002E773A"/>
    <w:rsid w:val="002E775F"/>
    <w:rsid w:val="002E786B"/>
    <w:rsid w:val="002E793C"/>
    <w:rsid w:val="002E7954"/>
    <w:rsid w:val="002E7DEF"/>
    <w:rsid w:val="002E7EB5"/>
    <w:rsid w:val="002F0296"/>
    <w:rsid w:val="002F04D6"/>
    <w:rsid w:val="002F04DF"/>
    <w:rsid w:val="002F0673"/>
    <w:rsid w:val="002F0724"/>
    <w:rsid w:val="002F07E6"/>
    <w:rsid w:val="002F0915"/>
    <w:rsid w:val="002F0964"/>
    <w:rsid w:val="002F0CCF"/>
    <w:rsid w:val="002F0F10"/>
    <w:rsid w:val="002F1189"/>
    <w:rsid w:val="002F1197"/>
    <w:rsid w:val="002F119D"/>
    <w:rsid w:val="002F1233"/>
    <w:rsid w:val="002F12B7"/>
    <w:rsid w:val="002F140C"/>
    <w:rsid w:val="002F1417"/>
    <w:rsid w:val="002F148E"/>
    <w:rsid w:val="002F17F6"/>
    <w:rsid w:val="002F1853"/>
    <w:rsid w:val="002F18D4"/>
    <w:rsid w:val="002F1925"/>
    <w:rsid w:val="002F19B1"/>
    <w:rsid w:val="002F1EE0"/>
    <w:rsid w:val="002F1F3D"/>
    <w:rsid w:val="002F2066"/>
    <w:rsid w:val="002F2097"/>
    <w:rsid w:val="002F2248"/>
    <w:rsid w:val="002F238D"/>
    <w:rsid w:val="002F2579"/>
    <w:rsid w:val="002F2730"/>
    <w:rsid w:val="002F27C5"/>
    <w:rsid w:val="002F2880"/>
    <w:rsid w:val="002F28FF"/>
    <w:rsid w:val="002F2CEF"/>
    <w:rsid w:val="002F2D25"/>
    <w:rsid w:val="002F2D6F"/>
    <w:rsid w:val="002F2F82"/>
    <w:rsid w:val="002F2FEF"/>
    <w:rsid w:val="002F304F"/>
    <w:rsid w:val="002F3064"/>
    <w:rsid w:val="002F3425"/>
    <w:rsid w:val="002F3466"/>
    <w:rsid w:val="002F35C8"/>
    <w:rsid w:val="002F35E7"/>
    <w:rsid w:val="002F3B7E"/>
    <w:rsid w:val="002F3BCA"/>
    <w:rsid w:val="002F3C50"/>
    <w:rsid w:val="002F3C60"/>
    <w:rsid w:val="002F3CF6"/>
    <w:rsid w:val="002F3F06"/>
    <w:rsid w:val="002F3F52"/>
    <w:rsid w:val="002F3F5A"/>
    <w:rsid w:val="002F4060"/>
    <w:rsid w:val="002F4268"/>
    <w:rsid w:val="002F42A0"/>
    <w:rsid w:val="002F42FA"/>
    <w:rsid w:val="002F4401"/>
    <w:rsid w:val="002F4421"/>
    <w:rsid w:val="002F46BE"/>
    <w:rsid w:val="002F4A9C"/>
    <w:rsid w:val="002F4B38"/>
    <w:rsid w:val="002F4C11"/>
    <w:rsid w:val="002F4CC9"/>
    <w:rsid w:val="002F4CE0"/>
    <w:rsid w:val="002F50BA"/>
    <w:rsid w:val="002F51F7"/>
    <w:rsid w:val="002F522B"/>
    <w:rsid w:val="002F5310"/>
    <w:rsid w:val="002F5345"/>
    <w:rsid w:val="002F5582"/>
    <w:rsid w:val="002F565B"/>
    <w:rsid w:val="002F5AA8"/>
    <w:rsid w:val="002F5B82"/>
    <w:rsid w:val="002F5BD3"/>
    <w:rsid w:val="002F5C62"/>
    <w:rsid w:val="002F6038"/>
    <w:rsid w:val="002F6097"/>
    <w:rsid w:val="002F60A8"/>
    <w:rsid w:val="002F618B"/>
    <w:rsid w:val="002F619A"/>
    <w:rsid w:val="002F64DC"/>
    <w:rsid w:val="002F65A9"/>
    <w:rsid w:val="002F6608"/>
    <w:rsid w:val="002F67E6"/>
    <w:rsid w:val="002F67F8"/>
    <w:rsid w:val="002F68C8"/>
    <w:rsid w:val="002F6AF1"/>
    <w:rsid w:val="002F6B51"/>
    <w:rsid w:val="002F6C31"/>
    <w:rsid w:val="002F6C78"/>
    <w:rsid w:val="002F6C93"/>
    <w:rsid w:val="002F6D34"/>
    <w:rsid w:val="002F6FB5"/>
    <w:rsid w:val="002F7224"/>
    <w:rsid w:val="002F7363"/>
    <w:rsid w:val="002F759C"/>
    <w:rsid w:val="002F77A6"/>
    <w:rsid w:val="002F7812"/>
    <w:rsid w:val="002F7C16"/>
    <w:rsid w:val="002F7CDD"/>
    <w:rsid w:val="002F7D11"/>
    <w:rsid w:val="00300046"/>
    <w:rsid w:val="003001E8"/>
    <w:rsid w:val="0030046E"/>
    <w:rsid w:val="003005DC"/>
    <w:rsid w:val="003005F1"/>
    <w:rsid w:val="003006D0"/>
    <w:rsid w:val="003006DB"/>
    <w:rsid w:val="003006E2"/>
    <w:rsid w:val="00300863"/>
    <w:rsid w:val="00300A60"/>
    <w:rsid w:val="00300DDF"/>
    <w:rsid w:val="00300E13"/>
    <w:rsid w:val="00300E62"/>
    <w:rsid w:val="00300F0C"/>
    <w:rsid w:val="00301143"/>
    <w:rsid w:val="00301234"/>
    <w:rsid w:val="00301259"/>
    <w:rsid w:val="003017DC"/>
    <w:rsid w:val="003017E3"/>
    <w:rsid w:val="0030182F"/>
    <w:rsid w:val="00301856"/>
    <w:rsid w:val="00301DA5"/>
    <w:rsid w:val="00302697"/>
    <w:rsid w:val="00302748"/>
    <w:rsid w:val="003028AE"/>
    <w:rsid w:val="003028CA"/>
    <w:rsid w:val="00302A5E"/>
    <w:rsid w:val="00302BB0"/>
    <w:rsid w:val="00302BEF"/>
    <w:rsid w:val="00302BF3"/>
    <w:rsid w:val="00302DF3"/>
    <w:rsid w:val="00303080"/>
    <w:rsid w:val="003030E7"/>
    <w:rsid w:val="00303124"/>
    <w:rsid w:val="003033F7"/>
    <w:rsid w:val="00303415"/>
    <w:rsid w:val="003034B2"/>
    <w:rsid w:val="00303537"/>
    <w:rsid w:val="003035C0"/>
    <w:rsid w:val="0030370B"/>
    <w:rsid w:val="003038A0"/>
    <w:rsid w:val="003038C3"/>
    <w:rsid w:val="00303DD2"/>
    <w:rsid w:val="00303F9A"/>
    <w:rsid w:val="0030404E"/>
    <w:rsid w:val="003042A8"/>
    <w:rsid w:val="00304300"/>
    <w:rsid w:val="003045CC"/>
    <w:rsid w:val="0030464F"/>
    <w:rsid w:val="0030469F"/>
    <w:rsid w:val="0030482E"/>
    <w:rsid w:val="00304887"/>
    <w:rsid w:val="00304934"/>
    <w:rsid w:val="003049E4"/>
    <w:rsid w:val="00304AE5"/>
    <w:rsid w:val="00304B08"/>
    <w:rsid w:val="00304C1E"/>
    <w:rsid w:val="00304DAA"/>
    <w:rsid w:val="00304DB8"/>
    <w:rsid w:val="00304DCC"/>
    <w:rsid w:val="00305112"/>
    <w:rsid w:val="003052C5"/>
    <w:rsid w:val="003056B0"/>
    <w:rsid w:val="00305713"/>
    <w:rsid w:val="003058DC"/>
    <w:rsid w:val="003059FE"/>
    <w:rsid w:val="00305A36"/>
    <w:rsid w:val="00305D2A"/>
    <w:rsid w:val="00305F06"/>
    <w:rsid w:val="00305F46"/>
    <w:rsid w:val="00305F92"/>
    <w:rsid w:val="00306250"/>
    <w:rsid w:val="003062C5"/>
    <w:rsid w:val="0030635B"/>
    <w:rsid w:val="00306418"/>
    <w:rsid w:val="0030644D"/>
    <w:rsid w:val="003064CA"/>
    <w:rsid w:val="0030652C"/>
    <w:rsid w:val="00306589"/>
    <w:rsid w:val="003066AE"/>
    <w:rsid w:val="003066D2"/>
    <w:rsid w:val="00306803"/>
    <w:rsid w:val="00306936"/>
    <w:rsid w:val="003069A9"/>
    <w:rsid w:val="00306A9C"/>
    <w:rsid w:val="00306BFC"/>
    <w:rsid w:val="00306C50"/>
    <w:rsid w:val="00306D01"/>
    <w:rsid w:val="00306DEA"/>
    <w:rsid w:val="00306E38"/>
    <w:rsid w:val="00306EC0"/>
    <w:rsid w:val="00306FFE"/>
    <w:rsid w:val="0030722A"/>
    <w:rsid w:val="003074A2"/>
    <w:rsid w:val="0030750C"/>
    <w:rsid w:val="00307915"/>
    <w:rsid w:val="0030796D"/>
    <w:rsid w:val="00307A96"/>
    <w:rsid w:val="00307D4C"/>
    <w:rsid w:val="00307DA1"/>
    <w:rsid w:val="00307E33"/>
    <w:rsid w:val="00307E65"/>
    <w:rsid w:val="003100E8"/>
    <w:rsid w:val="003101C4"/>
    <w:rsid w:val="003102D1"/>
    <w:rsid w:val="003102DA"/>
    <w:rsid w:val="00310801"/>
    <w:rsid w:val="00310B91"/>
    <w:rsid w:val="00310D78"/>
    <w:rsid w:val="00310E52"/>
    <w:rsid w:val="00310E86"/>
    <w:rsid w:val="00310EA7"/>
    <w:rsid w:val="00310FAE"/>
    <w:rsid w:val="00311207"/>
    <w:rsid w:val="0031147F"/>
    <w:rsid w:val="0031177E"/>
    <w:rsid w:val="003117D2"/>
    <w:rsid w:val="00311AA4"/>
    <w:rsid w:val="00311AB7"/>
    <w:rsid w:val="00311AED"/>
    <w:rsid w:val="00311AF4"/>
    <w:rsid w:val="00311D08"/>
    <w:rsid w:val="00311D0C"/>
    <w:rsid w:val="00311D3F"/>
    <w:rsid w:val="00311F4C"/>
    <w:rsid w:val="00311F88"/>
    <w:rsid w:val="0031202D"/>
    <w:rsid w:val="0031216D"/>
    <w:rsid w:val="003121AB"/>
    <w:rsid w:val="0031228F"/>
    <w:rsid w:val="0031248D"/>
    <w:rsid w:val="0031251E"/>
    <w:rsid w:val="0031253A"/>
    <w:rsid w:val="003128C6"/>
    <w:rsid w:val="00312B85"/>
    <w:rsid w:val="00312BD2"/>
    <w:rsid w:val="00312DCF"/>
    <w:rsid w:val="0031302E"/>
    <w:rsid w:val="00313042"/>
    <w:rsid w:val="00313061"/>
    <w:rsid w:val="003130CE"/>
    <w:rsid w:val="00313548"/>
    <w:rsid w:val="00313687"/>
    <w:rsid w:val="0031382D"/>
    <w:rsid w:val="00313851"/>
    <w:rsid w:val="00313890"/>
    <w:rsid w:val="003139E0"/>
    <w:rsid w:val="00313B8E"/>
    <w:rsid w:val="00313F45"/>
    <w:rsid w:val="0031407A"/>
    <w:rsid w:val="00314243"/>
    <w:rsid w:val="003142E4"/>
    <w:rsid w:val="003143A6"/>
    <w:rsid w:val="0031441F"/>
    <w:rsid w:val="003144FF"/>
    <w:rsid w:val="0031453F"/>
    <w:rsid w:val="003147D5"/>
    <w:rsid w:val="00314B0F"/>
    <w:rsid w:val="00314BEC"/>
    <w:rsid w:val="00314D74"/>
    <w:rsid w:val="00314DCF"/>
    <w:rsid w:val="00314F9D"/>
    <w:rsid w:val="00315157"/>
    <w:rsid w:val="00315199"/>
    <w:rsid w:val="0031531E"/>
    <w:rsid w:val="003153CD"/>
    <w:rsid w:val="003153D8"/>
    <w:rsid w:val="00315437"/>
    <w:rsid w:val="003156E8"/>
    <w:rsid w:val="003158F3"/>
    <w:rsid w:val="003159CE"/>
    <w:rsid w:val="00315A75"/>
    <w:rsid w:val="00315AD0"/>
    <w:rsid w:val="00315AF6"/>
    <w:rsid w:val="00315B66"/>
    <w:rsid w:val="00315BAA"/>
    <w:rsid w:val="00315C50"/>
    <w:rsid w:val="00315D40"/>
    <w:rsid w:val="003161CC"/>
    <w:rsid w:val="0031640C"/>
    <w:rsid w:val="0031640F"/>
    <w:rsid w:val="0031667D"/>
    <w:rsid w:val="003168A8"/>
    <w:rsid w:val="003168FF"/>
    <w:rsid w:val="0031695B"/>
    <w:rsid w:val="00316BA1"/>
    <w:rsid w:val="00316DD3"/>
    <w:rsid w:val="00316E98"/>
    <w:rsid w:val="00316F10"/>
    <w:rsid w:val="003172A5"/>
    <w:rsid w:val="003172C5"/>
    <w:rsid w:val="003172CF"/>
    <w:rsid w:val="00317322"/>
    <w:rsid w:val="0031732C"/>
    <w:rsid w:val="003173B4"/>
    <w:rsid w:val="00317424"/>
    <w:rsid w:val="0031749B"/>
    <w:rsid w:val="0031762C"/>
    <w:rsid w:val="00317715"/>
    <w:rsid w:val="0031780E"/>
    <w:rsid w:val="00317A32"/>
    <w:rsid w:val="00317EF3"/>
    <w:rsid w:val="00317F29"/>
    <w:rsid w:val="00317FD2"/>
    <w:rsid w:val="003200AA"/>
    <w:rsid w:val="003203AB"/>
    <w:rsid w:val="00320420"/>
    <w:rsid w:val="00320448"/>
    <w:rsid w:val="00320687"/>
    <w:rsid w:val="003206CA"/>
    <w:rsid w:val="003206FB"/>
    <w:rsid w:val="00320974"/>
    <w:rsid w:val="003209D0"/>
    <w:rsid w:val="00320A08"/>
    <w:rsid w:val="00320C0A"/>
    <w:rsid w:val="00320C8C"/>
    <w:rsid w:val="00320CFD"/>
    <w:rsid w:val="00320D41"/>
    <w:rsid w:val="00320D53"/>
    <w:rsid w:val="00320DCC"/>
    <w:rsid w:val="00320F92"/>
    <w:rsid w:val="0032118F"/>
    <w:rsid w:val="00321226"/>
    <w:rsid w:val="003213E5"/>
    <w:rsid w:val="00321454"/>
    <w:rsid w:val="0032150B"/>
    <w:rsid w:val="0032171F"/>
    <w:rsid w:val="00321720"/>
    <w:rsid w:val="00321A7B"/>
    <w:rsid w:val="00321F7B"/>
    <w:rsid w:val="00321FD3"/>
    <w:rsid w:val="003221C7"/>
    <w:rsid w:val="003223B4"/>
    <w:rsid w:val="003225FD"/>
    <w:rsid w:val="00322683"/>
    <w:rsid w:val="003227DB"/>
    <w:rsid w:val="003228B6"/>
    <w:rsid w:val="003228BC"/>
    <w:rsid w:val="00322A88"/>
    <w:rsid w:val="00322B6B"/>
    <w:rsid w:val="00322BC3"/>
    <w:rsid w:val="00322C72"/>
    <w:rsid w:val="00322CF6"/>
    <w:rsid w:val="00322D4E"/>
    <w:rsid w:val="00322F3D"/>
    <w:rsid w:val="003230B0"/>
    <w:rsid w:val="00323112"/>
    <w:rsid w:val="0032314F"/>
    <w:rsid w:val="00323352"/>
    <w:rsid w:val="003234DF"/>
    <w:rsid w:val="0032363D"/>
    <w:rsid w:val="00323A14"/>
    <w:rsid w:val="00323D48"/>
    <w:rsid w:val="003241CF"/>
    <w:rsid w:val="00324383"/>
    <w:rsid w:val="003243D8"/>
    <w:rsid w:val="00324563"/>
    <w:rsid w:val="0032461B"/>
    <w:rsid w:val="0032463A"/>
    <w:rsid w:val="00324923"/>
    <w:rsid w:val="0032493E"/>
    <w:rsid w:val="00324A8D"/>
    <w:rsid w:val="00324AA0"/>
    <w:rsid w:val="00324C78"/>
    <w:rsid w:val="00324CEF"/>
    <w:rsid w:val="00325100"/>
    <w:rsid w:val="00325101"/>
    <w:rsid w:val="0032515C"/>
    <w:rsid w:val="003252AC"/>
    <w:rsid w:val="003252E7"/>
    <w:rsid w:val="00325545"/>
    <w:rsid w:val="003255A3"/>
    <w:rsid w:val="00325776"/>
    <w:rsid w:val="00325822"/>
    <w:rsid w:val="003258C4"/>
    <w:rsid w:val="003259D7"/>
    <w:rsid w:val="00325B7D"/>
    <w:rsid w:val="00325C63"/>
    <w:rsid w:val="00325D34"/>
    <w:rsid w:val="00325F83"/>
    <w:rsid w:val="00326020"/>
    <w:rsid w:val="00326236"/>
    <w:rsid w:val="00326285"/>
    <w:rsid w:val="003262D4"/>
    <w:rsid w:val="0032631A"/>
    <w:rsid w:val="003263DF"/>
    <w:rsid w:val="003263E9"/>
    <w:rsid w:val="00326493"/>
    <w:rsid w:val="00326673"/>
    <w:rsid w:val="003266AF"/>
    <w:rsid w:val="00326835"/>
    <w:rsid w:val="0032685F"/>
    <w:rsid w:val="0032696E"/>
    <w:rsid w:val="003269EE"/>
    <w:rsid w:val="00326BA4"/>
    <w:rsid w:val="00326BAB"/>
    <w:rsid w:val="00326C03"/>
    <w:rsid w:val="00326C2D"/>
    <w:rsid w:val="00326E0B"/>
    <w:rsid w:val="00326ED5"/>
    <w:rsid w:val="00327019"/>
    <w:rsid w:val="00327312"/>
    <w:rsid w:val="00327476"/>
    <w:rsid w:val="00327AF7"/>
    <w:rsid w:val="00327BAE"/>
    <w:rsid w:val="00327C89"/>
    <w:rsid w:val="00327D24"/>
    <w:rsid w:val="00327E41"/>
    <w:rsid w:val="00327F1C"/>
    <w:rsid w:val="003302B7"/>
    <w:rsid w:val="00330374"/>
    <w:rsid w:val="00330385"/>
    <w:rsid w:val="00330792"/>
    <w:rsid w:val="00330859"/>
    <w:rsid w:val="00330950"/>
    <w:rsid w:val="00330BAC"/>
    <w:rsid w:val="00330C28"/>
    <w:rsid w:val="00330CE8"/>
    <w:rsid w:val="00330D56"/>
    <w:rsid w:val="00330DEE"/>
    <w:rsid w:val="00331445"/>
    <w:rsid w:val="0033148D"/>
    <w:rsid w:val="003314C6"/>
    <w:rsid w:val="0033162D"/>
    <w:rsid w:val="003316F4"/>
    <w:rsid w:val="00331788"/>
    <w:rsid w:val="003319E7"/>
    <w:rsid w:val="00331D79"/>
    <w:rsid w:val="00331F04"/>
    <w:rsid w:val="0033228F"/>
    <w:rsid w:val="00332304"/>
    <w:rsid w:val="0033271E"/>
    <w:rsid w:val="003327DC"/>
    <w:rsid w:val="00332AC7"/>
    <w:rsid w:val="00332BD2"/>
    <w:rsid w:val="00332C72"/>
    <w:rsid w:val="00332C7A"/>
    <w:rsid w:val="00332CC0"/>
    <w:rsid w:val="00332D11"/>
    <w:rsid w:val="00332D5F"/>
    <w:rsid w:val="00332D8F"/>
    <w:rsid w:val="00332DD5"/>
    <w:rsid w:val="0033314D"/>
    <w:rsid w:val="0033324F"/>
    <w:rsid w:val="003332BD"/>
    <w:rsid w:val="00333395"/>
    <w:rsid w:val="003333FB"/>
    <w:rsid w:val="003334F9"/>
    <w:rsid w:val="0033367A"/>
    <w:rsid w:val="003336CF"/>
    <w:rsid w:val="003336EB"/>
    <w:rsid w:val="003337AE"/>
    <w:rsid w:val="003337BF"/>
    <w:rsid w:val="003337F9"/>
    <w:rsid w:val="00333857"/>
    <w:rsid w:val="00333884"/>
    <w:rsid w:val="003338C8"/>
    <w:rsid w:val="00333B11"/>
    <w:rsid w:val="00333E26"/>
    <w:rsid w:val="00333ED3"/>
    <w:rsid w:val="00333F47"/>
    <w:rsid w:val="00333F84"/>
    <w:rsid w:val="00333FC5"/>
    <w:rsid w:val="003340B5"/>
    <w:rsid w:val="0033416D"/>
    <w:rsid w:val="00334319"/>
    <w:rsid w:val="0033432A"/>
    <w:rsid w:val="003344EC"/>
    <w:rsid w:val="00334B27"/>
    <w:rsid w:val="00334D5C"/>
    <w:rsid w:val="00334F07"/>
    <w:rsid w:val="00334FC6"/>
    <w:rsid w:val="003351B0"/>
    <w:rsid w:val="003353DE"/>
    <w:rsid w:val="00335516"/>
    <w:rsid w:val="00335523"/>
    <w:rsid w:val="00335553"/>
    <w:rsid w:val="003355F6"/>
    <w:rsid w:val="003356A6"/>
    <w:rsid w:val="00335702"/>
    <w:rsid w:val="003358BF"/>
    <w:rsid w:val="00335A34"/>
    <w:rsid w:val="00335AC0"/>
    <w:rsid w:val="00335B07"/>
    <w:rsid w:val="00335B67"/>
    <w:rsid w:val="00335F58"/>
    <w:rsid w:val="00335F62"/>
    <w:rsid w:val="00336062"/>
    <w:rsid w:val="00336067"/>
    <w:rsid w:val="003363F5"/>
    <w:rsid w:val="0033660C"/>
    <w:rsid w:val="003366AA"/>
    <w:rsid w:val="0033684C"/>
    <w:rsid w:val="00336873"/>
    <w:rsid w:val="0033688E"/>
    <w:rsid w:val="00336B13"/>
    <w:rsid w:val="00336D74"/>
    <w:rsid w:val="00336D9B"/>
    <w:rsid w:val="00336F55"/>
    <w:rsid w:val="003370DB"/>
    <w:rsid w:val="00337461"/>
    <w:rsid w:val="003374AE"/>
    <w:rsid w:val="0033757B"/>
    <w:rsid w:val="00337637"/>
    <w:rsid w:val="00337669"/>
    <w:rsid w:val="0033772B"/>
    <w:rsid w:val="00337774"/>
    <w:rsid w:val="003377C8"/>
    <w:rsid w:val="0033795C"/>
    <w:rsid w:val="00337A19"/>
    <w:rsid w:val="00337ABF"/>
    <w:rsid w:val="00337EB2"/>
    <w:rsid w:val="00337F18"/>
    <w:rsid w:val="00337F27"/>
    <w:rsid w:val="00337FD8"/>
    <w:rsid w:val="00340181"/>
    <w:rsid w:val="00340449"/>
    <w:rsid w:val="0034076C"/>
    <w:rsid w:val="00340A0B"/>
    <w:rsid w:val="00340AC2"/>
    <w:rsid w:val="00340B56"/>
    <w:rsid w:val="00340C75"/>
    <w:rsid w:val="00340E7E"/>
    <w:rsid w:val="003411EF"/>
    <w:rsid w:val="003411F3"/>
    <w:rsid w:val="0034152F"/>
    <w:rsid w:val="00341539"/>
    <w:rsid w:val="003419BC"/>
    <w:rsid w:val="00341AA2"/>
    <w:rsid w:val="00341AF0"/>
    <w:rsid w:val="00341C2F"/>
    <w:rsid w:val="00342189"/>
    <w:rsid w:val="0034224F"/>
    <w:rsid w:val="003422CC"/>
    <w:rsid w:val="0034241E"/>
    <w:rsid w:val="003426D1"/>
    <w:rsid w:val="00342974"/>
    <w:rsid w:val="00342B5F"/>
    <w:rsid w:val="00342C50"/>
    <w:rsid w:val="00342E03"/>
    <w:rsid w:val="00343291"/>
    <w:rsid w:val="003433B4"/>
    <w:rsid w:val="003433FD"/>
    <w:rsid w:val="0034355D"/>
    <w:rsid w:val="00343575"/>
    <w:rsid w:val="003436FE"/>
    <w:rsid w:val="00343D4B"/>
    <w:rsid w:val="00343DD0"/>
    <w:rsid w:val="00344026"/>
    <w:rsid w:val="003443A5"/>
    <w:rsid w:val="00344695"/>
    <w:rsid w:val="00344715"/>
    <w:rsid w:val="0034476D"/>
    <w:rsid w:val="00344856"/>
    <w:rsid w:val="00344B1B"/>
    <w:rsid w:val="00344C57"/>
    <w:rsid w:val="00344DFA"/>
    <w:rsid w:val="003452F2"/>
    <w:rsid w:val="003453D3"/>
    <w:rsid w:val="003454E4"/>
    <w:rsid w:val="003457E2"/>
    <w:rsid w:val="00345833"/>
    <w:rsid w:val="00345A6B"/>
    <w:rsid w:val="00345B3A"/>
    <w:rsid w:val="00345B40"/>
    <w:rsid w:val="00345E0E"/>
    <w:rsid w:val="00345E97"/>
    <w:rsid w:val="00345EF1"/>
    <w:rsid w:val="00346253"/>
    <w:rsid w:val="003462FD"/>
    <w:rsid w:val="00346422"/>
    <w:rsid w:val="003467B2"/>
    <w:rsid w:val="0034686D"/>
    <w:rsid w:val="00346B80"/>
    <w:rsid w:val="00346B8C"/>
    <w:rsid w:val="00346C4B"/>
    <w:rsid w:val="00346D1F"/>
    <w:rsid w:val="00346E1E"/>
    <w:rsid w:val="00346E6F"/>
    <w:rsid w:val="00346EB4"/>
    <w:rsid w:val="00346EF6"/>
    <w:rsid w:val="00347031"/>
    <w:rsid w:val="0034733B"/>
    <w:rsid w:val="003478A8"/>
    <w:rsid w:val="003478B7"/>
    <w:rsid w:val="00347BB0"/>
    <w:rsid w:val="00347BB3"/>
    <w:rsid w:val="00347C0C"/>
    <w:rsid w:val="00347C27"/>
    <w:rsid w:val="00347CB4"/>
    <w:rsid w:val="00347E3B"/>
    <w:rsid w:val="00347F30"/>
    <w:rsid w:val="00347F75"/>
    <w:rsid w:val="00347F90"/>
    <w:rsid w:val="00347FA5"/>
    <w:rsid w:val="00350023"/>
    <w:rsid w:val="00350155"/>
    <w:rsid w:val="003501D6"/>
    <w:rsid w:val="00350249"/>
    <w:rsid w:val="003505F2"/>
    <w:rsid w:val="003507C4"/>
    <w:rsid w:val="00350928"/>
    <w:rsid w:val="0035093E"/>
    <w:rsid w:val="00350993"/>
    <w:rsid w:val="00350A6E"/>
    <w:rsid w:val="00350B0D"/>
    <w:rsid w:val="00350C41"/>
    <w:rsid w:val="00350E8B"/>
    <w:rsid w:val="003510AC"/>
    <w:rsid w:val="00351125"/>
    <w:rsid w:val="00351153"/>
    <w:rsid w:val="00351261"/>
    <w:rsid w:val="003514A7"/>
    <w:rsid w:val="00351515"/>
    <w:rsid w:val="003515AA"/>
    <w:rsid w:val="003516D0"/>
    <w:rsid w:val="00351784"/>
    <w:rsid w:val="003519FA"/>
    <w:rsid w:val="00351BA6"/>
    <w:rsid w:val="00351BE3"/>
    <w:rsid w:val="00351E2C"/>
    <w:rsid w:val="003520AD"/>
    <w:rsid w:val="003521DC"/>
    <w:rsid w:val="003521E0"/>
    <w:rsid w:val="0035259B"/>
    <w:rsid w:val="00352746"/>
    <w:rsid w:val="00352800"/>
    <w:rsid w:val="003529CA"/>
    <w:rsid w:val="00352D35"/>
    <w:rsid w:val="00352D59"/>
    <w:rsid w:val="00352FF7"/>
    <w:rsid w:val="0035301C"/>
    <w:rsid w:val="00353107"/>
    <w:rsid w:val="00353109"/>
    <w:rsid w:val="00353225"/>
    <w:rsid w:val="003536E2"/>
    <w:rsid w:val="00353787"/>
    <w:rsid w:val="003538FA"/>
    <w:rsid w:val="003539CA"/>
    <w:rsid w:val="003539FA"/>
    <w:rsid w:val="00353A1E"/>
    <w:rsid w:val="00353AAC"/>
    <w:rsid w:val="00353AFF"/>
    <w:rsid w:val="00353B25"/>
    <w:rsid w:val="00353C73"/>
    <w:rsid w:val="00353CB2"/>
    <w:rsid w:val="00353DB7"/>
    <w:rsid w:val="00353DBF"/>
    <w:rsid w:val="00353E30"/>
    <w:rsid w:val="00353EA7"/>
    <w:rsid w:val="00353EB4"/>
    <w:rsid w:val="00353F96"/>
    <w:rsid w:val="00353F97"/>
    <w:rsid w:val="0035411E"/>
    <w:rsid w:val="0035429E"/>
    <w:rsid w:val="00354319"/>
    <w:rsid w:val="00354891"/>
    <w:rsid w:val="00354BD8"/>
    <w:rsid w:val="00354C06"/>
    <w:rsid w:val="00355050"/>
    <w:rsid w:val="00355130"/>
    <w:rsid w:val="00355136"/>
    <w:rsid w:val="003551E5"/>
    <w:rsid w:val="003552CA"/>
    <w:rsid w:val="0035561B"/>
    <w:rsid w:val="00355737"/>
    <w:rsid w:val="003557DC"/>
    <w:rsid w:val="0035581A"/>
    <w:rsid w:val="00355835"/>
    <w:rsid w:val="0035593E"/>
    <w:rsid w:val="00355CFA"/>
    <w:rsid w:val="00355D06"/>
    <w:rsid w:val="00355D9E"/>
    <w:rsid w:val="0035627D"/>
    <w:rsid w:val="00356565"/>
    <w:rsid w:val="00356893"/>
    <w:rsid w:val="00356A16"/>
    <w:rsid w:val="00356B8F"/>
    <w:rsid w:val="00356CBD"/>
    <w:rsid w:val="00356EE2"/>
    <w:rsid w:val="0035703F"/>
    <w:rsid w:val="00357262"/>
    <w:rsid w:val="00357269"/>
    <w:rsid w:val="00357452"/>
    <w:rsid w:val="00357545"/>
    <w:rsid w:val="0035762A"/>
    <w:rsid w:val="00357638"/>
    <w:rsid w:val="00357656"/>
    <w:rsid w:val="003578B9"/>
    <w:rsid w:val="00357963"/>
    <w:rsid w:val="003579CD"/>
    <w:rsid w:val="00357AA5"/>
    <w:rsid w:val="00357C86"/>
    <w:rsid w:val="00357E7A"/>
    <w:rsid w:val="00357FAE"/>
    <w:rsid w:val="003600B0"/>
    <w:rsid w:val="00360208"/>
    <w:rsid w:val="0036060E"/>
    <w:rsid w:val="003606E9"/>
    <w:rsid w:val="00360766"/>
    <w:rsid w:val="00360883"/>
    <w:rsid w:val="003608AA"/>
    <w:rsid w:val="00360C92"/>
    <w:rsid w:val="00360E38"/>
    <w:rsid w:val="00360E3F"/>
    <w:rsid w:val="00360F5E"/>
    <w:rsid w:val="0036101D"/>
    <w:rsid w:val="00361352"/>
    <w:rsid w:val="00361722"/>
    <w:rsid w:val="003617C7"/>
    <w:rsid w:val="003617CD"/>
    <w:rsid w:val="00361833"/>
    <w:rsid w:val="003619CF"/>
    <w:rsid w:val="00361AC0"/>
    <w:rsid w:val="00361E4F"/>
    <w:rsid w:val="00361F87"/>
    <w:rsid w:val="00362052"/>
    <w:rsid w:val="00362077"/>
    <w:rsid w:val="003620D2"/>
    <w:rsid w:val="00362185"/>
    <w:rsid w:val="00362192"/>
    <w:rsid w:val="00362402"/>
    <w:rsid w:val="0036246E"/>
    <w:rsid w:val="003624F9"/>
    <w:rsid w:val="003625AA"/>
    <w:rsid w:val="00362A79"/>
    <w:rsid w:val="00362B8E"/>
    <w:rsid w:val="00362BE6"/>
    <w:rsid w:val="00362D08"/>
    <w:rsid w:val="00362EB1"/>
    <w:rsid w:val="003632E2"/>
    <w:rsid w:val="003633B9"/>
    <w:rsid w:val="00363612"/>
    <w:rsid w:val="00363785"/>
    <w:rsid w:val="003637C1"/>
    <w:rsid w:val="003637D0"/>
    <w:rsid w:val="003637E7"/>
    <w:rsid w:val="00363842"/>
    <w:rsid w:val="00363941"/>
    <w:rsid w:val="00363AEB"/>
    <w:rsid w:val="00363B1B"/>
    <w:rsid w:val="00363DB5"/>
    <w:rsid w:val="00363DCE"/>
    <w:rsid w:val="00363E22"/>
    <w:rsid w:val="00363F1E"/>
    <w:rsid w:val="00364015"/>
    <w:rsid w:val="00364067"/>
    <w:rsid w:val="00364114"/>
    <w:rsid w:val="00364431"/>
    <w:rsid w:val="00364573"/>
    <w:rsid w:val="0036458B"/>
    <w:rsid w:val="00364831"/>
    <w:rsid w:val="00364A05"/>
    <w:rsid w:val="00364AA3"/>
    <w:rsid w:val="00364BBD"/>
    <w:rsid w:val="00364D6A"/>
    <w:rsid w:val="00364FDD"/>
    <w:rsid w:val="00365381"/>
    <w:rsid w:val="003654F9"/>
    <w:rsid w:val="0036552D"/>
    <w:rsid w:val="003655D2"/>
    <w:rsid w:val="0036563E"/>
    <w:rsid w:val="003656D7"/>
    <w:rsid w:val="003656E1"/>
    <w:rsid w:val="003656FB"/>
    <w:rsid w:val="00365B17"/>
    <w:rsid w:val="00365DE7"/>
    <w:rsid w:val="00365E78"/>
    <w:rsid w:val="00366169"/>
    <w:rsid w:val="003661FD"/>
    <w:rsid w:val="0036626A"/>
    <w:rsid w:val="003663FC"/>
    <w:rsid w:val="003665FA"/>
    <w:rsid w:val="0036664F"/>
    <w:rsid w:val="00366806"/>
    <w:rsid w:val="003668F7"/>
    <w:rsid w:val="00366994"/>
    <w:rsid w:val="00366A24"/>
    <w:rsid w:val="00366AE5"/>
    <w:rsid w:val="00366D0A"/>
    <w:rsid w:val="003670C5"/>
    <w:rsid w:val="003672AB"/>
    <w:rsid w:val="003672B3"/>
    <w:rsid w:val="00367488"/>
    <w:rsid w:val="00367528"/>
    <w:rsid w:val="00367581"/>
    <w:rsid w:val="003677AB"/>
    <w:rsid w:val="003679BE"/>
    <w:rsid w:val="00367BC1"/>
    <w:rsid w:val="00367C12"/>
    <w:rsid w:val="00367D0F"/>
    <w:rsid w:val="00367D2B"/>
    <w:rsid w:val="00367D58"/>
    <w:rsid w:val="00367E01"/>
    <w:rsid w:val="0037000C"/>
    <w:rsid w:val="0037006C"/>
    <w:rsid w:val="00370122"/>
    <w:rsid w:val="0037012E"/>
    <w:rsid w:val="0037018A"/>
    <w:rsid w:val="00370619"/>
    <w:rsid w:val="00370796"/>
    <w:rsid w:val="00370A04"/>
    <w:rsid w:val="00370D6C"/>
    <w:rsid w:val="00370DBB"/>
    <w:rsid w:val="00370DD9"/>
    <w:rsid w:val="00370DE5"/>
    <w:rsid w:val="00370DF8"/>
    <w:rsid w:val="00370F0F"/>
    <w:rsid w:val="00370F40"/>
    <w:rsid w:val="00370FA3"/>
    <w:rsid w:val="00371006"/>
    <w:rsid w:val="003710A2"/>
    <w:rsid w:val="0037110B"/>
    <w:rsid w:val="00371172"/>
    <w:rsid w:val="003712E9"/>
    <w:rsid w:val="003714C9"/>
    <w:rsid w:val="003714E1"/>
    <w:rsid w:val="00371562"/>
    <w:rsid w:val="00371721"/>
    <w:rsid w:val="00371BBA"/>
    <w:rsid w:val="00371BFB"/>
    <w:rsid w:val="00371BFD"/>
    <w:rsid w:val="00371EFF"/>
    <w:rsid w:val="003723C5"/>
    <w:rsid w:val="0037255C"/>
    <w:rsid w:val="00372632"/>
    <w:rsid w:val="0037289C"/>
    <w:rsid w:val="003729DF"/>
    <w:rsid w:val="00372A71"/>
    <w:rsid w:val="00372B31"/>
    <w:rsid w:val="00372BE9"/>
    <w:rsid w:val="00372BED"/>
    <w:rsid w:val="00372D60"/>
    <w:rsid w:val="00372E80"/>
    <w:rsid w:val="00372F90"/>
    <w:rsid w:val="0037310B"/>
    <w:rsid w:val="00373203"/>
    <w:rsid w:val="0037328B"/>
    <w:rsid w:val="003732D2"/>
    <w:rsid w:val="00373366"/>
    <w:rsid w:val="0037338D"/>
    <w:rsid w:val="003737C7"/>
    <w:rsid w:val="00373807"/>
    <w:rsid w:val="00373859"/>
    <w:rsid w:val="00373A0B"/>
    <w:rsid w:val="00373F5D"/>
    <w:rsid w:val="00373FC1"/>
    <w:rsid w:val="0037415C"/>
    <w:rsid w:val="003742E5"/>
    <w:rsid w:val="0037442B"/>
    <w:rsid w:val="003745DF"/>
    <w:rsid w:val="00374634"/>
    <w:rsid w:val="003746B5"/>
    <w:rsid w:val="003746C9"/>
    <w:rsid w:val="003747ED"/>
    <w:rsid w:val="003748D7"/>
    <w:rsid w:val="00374ACC"/>
    <w:rsid w:val="00374FC6"/>
    <w:rsid w:val="00375289"/>
    <w:rsid w:val="00375394"/>
    <w:rsid w:val="003753F0"/>
    <w:rsid w:val="003754C3"/>
    <w:rsid w:val="00375628"/>
    <w:rsid w:val="00375776"/>
    <w:rsid w:val="00375941"/>
    <w:rsid w:val="00375A37"/>
    <w:rsid w:val="00375AA3"/>
    <w:rsid w:val="00375BC1"/>
    <w:rsid w:val="00375CC0"/>
    <w:rsid w:val="00375D3A"/>
    <w:rsid w:val="003763D7"/>
    <w:rsid w:val="0037667E"/>
    <w:rsid w:val="00376E35"/>
    <w:rsid w:val="00376ECF"/>
    <w:rsid w:val="003772FA"/>
    <w:rsid w:val="00377308"/>
    <w:rsid w:val="00377411"/>
    <w:rsid w:val="00377645"/>
    <w:rsid w:val="003776D0"/>
    <w:rsid w:val="0037777E"/>
    <w:rsid w:val="00377882"/>
    <w:rsid w:val="0037799B"/>
    <w:rsid w:val="003779E0"/>
    <w:rsid w:val="00377A21"/>
    <w:rsid w:val="00377AE3"/>
    <w:rsid w:val="00377AE5"/>
    <w:rsid w:val="00377BD1"/>
    <w:rsid w:val="00377D73"/>
    <w:rsid w:val="00377DE9"/>
    <w:rsid w:val="00377FBE"/>
    <w:rsid w:val="00380030"/>
    <w:rsid w:val="003800D0"/>
    <w:rsid w:val="00380145"/>
    <w:rsid w:val="00380236"/>
    <w:rsid w:val="00380721"/>
    <w:rsid w:val="003809A0"/>
    <w:rsid w:val="003809B7"/>
    <w:rsid w:val="00380A90"/>
    <w:rsid w:val="00380BE2"/>
    <w:rsid w:val="00380BF8"/>
    <w:rsid w:val="00380C9A"/>
    <w:rsid w:val="00380CBD"/>
    <w:rsid w:val="00381201"/>
    <w:rsid w:val="0038128D"/>
    <w:rsid w:val="0038146B"/>
    <w:rsid w:val="00381487"/>
    <w:rsid w:val="00381723"/>
    <w:rsid w:val="0038178B"/>
    <w:rsid w:val="003817C3"/>
    <w:rsid w:val="00381A61"/>
    <w:rsid w:val="00381ACC"/>
    <w:rsid w:val="00381AE0"/>
    <w:rsid w:val="00381BE2"/>
    <w:rsid w:val="00381EBA"/>
    <w:rsid w:val="00382305"/>
    <w:rsid w:val="0038257A"/>
    <w:rsid w:val="0038260D"/>
    <w:rsid w:val="00382694"/>
    <w:rsid w:val="00382873"/>
    <w:rsid w:val="00382883"/>
    <w:rsid w:val="00382A6E"/>
    <w:rsid w:val="00382A85"/>
    <w:rsid w:val="00382C9F"/>
    <w:rsid w:val="00382D68"/>
    <w:rsid w:val="00382E3E"/>
    <w:rsid w:val="00382E5A"/>
    <w:rsid w:val="00382EA3"/>
    <w:rsid w:val="00382EA4"/>
    <w:rsid w:val="003838DF"/>
    <w:rsid w:val="00383907"/>
    <w:rsid w:val="00383D0B"/>
    <w:rsid w:val="00383D29"/>
    <w:rsid w:val="00383EF7"/>
    <w:rsid w:val="00383F62"/>
    <w:rsid w:val="00383FF8"/>
    <w:rsid w:val="003840D0"/>
    <w:rsid w:val="00384357"/>
    <w:rsid w:val="00384438"/>
    <w:rsid w:val="00384574"/>
    <w:rsid w:val="00384702"/>
    <w:rsid w:val="00384776"/>
    <w:rsid w:val="003847DF"/>
    <w:rsid w:val="003848E7"/>
    <w:rsid w:val="00384BCF"/>
    <w:rsid w:val="00384EFF"/>
    <w:rsid w:val="0038500D"/>
    <w:rsid w:val="00385337"/>
    <w:rsid w:val="00385362"/>
    <w:rsid w:val="0038557F"/>
    <w:rsid w:val="00385627"/>
    <w:rsid w:val="0038574C"/>
    <w:rsid w:val="00385916"/>
    <w:rsid w:val="00385936"/>
    <w:rsid w:val="00385AEB"/>
    <w:rsid w:val="00385AFF"/>
    <w:rsid w:val="00385C4D"/>
    <w:rsid w:val="00385C72"/>
    <w:rsid w:val="00385CE8"/>
    <w:rsid w:val="00385E3D"/>
    <w:rsid w:val="00386003"/>
    <w:rsid w:val="00386099"/>
    <w:rsid w:val="003860F6"/>
    <w:rsid w:val="0038628A"/>
    <w:rsid w:val="0038631B"/>
    <w:rsid w:val="003865A9"/>
    <w:rsid w:val="003866D8"/>
    <w:rsid w:val="0038671D"/>
    <w:rsid w:val="0038698C"/>
    <w:rsid w:val="00386A2A"/>
    <w:rsid w:val="00386A57"/>
    <w:rsid w:val="00386A99"/>
    <w:rsid w:val="00386AFE"/>
    <w:rsid w:val="00386D13"/>
    <w:rsid w:val="00386DF4"/>
    <w:rsid w:val="00386EF5"/>
    <w:rsid w:val="00386FAE"/>
    <w:rsid w:val="0038718F"/>
    <w:rsid w:val="00387192"/>
    <w:rsid w:val="0038721F"/>
    <w:rsid w:val="0038739B"/>
    <w:rsid w:val="00387622"/>
    <w:rsid w:val="00387640"/>
    <w:rsid w:val="003876A9"/>
    <w:rsid w:val="00387714"/>
    <w:rsid w:val="003877C5"/>
    <w:rsid w:val="0038792C"/>
    <w:rsid w:val="00387A24"/>
    <w:rsid w:val="00387AF5"/>
    <w:rsid w:val="00387D05"/>
    <w:rsid w:val="00387E21"/>
    <w:rsid w:val="00387E7F"/>
    <w:rsid w:val="00387F06"/>
    <w:rsid w:val="00387F2C"/>
    <w:rsid w:val="00387F61"/>
    <w:rsid w:val="00387FDA"/>
    <w:rsid w:val="0039004B"/>
    <w:rsid w:val="00390127"/>
    <w:rsid w:val="0039015C"/>
    <w:rsid w:val="0039040B"/>
    <w:rsid w:val="003904D7"/>
    <w:rsid w:val="00390639"/>
    <w:rsid w:val="00390707"/>
    <w:rsid w:val="00390720"/>
    <w:rsid w:val="00390816"/>
    <w:rsid w:val="003908A1"/>
    <w:rsid w:val="003908ED"/>
    <w:rsid w:val="003909BD"/>
    <w:rsid w:val="00390ADF"/>
    <w:rsid w:val="00390B04"/>
    <w:rsid w:val="00390B7D"/>
    <w:rsid w:val="00390C53"/>
    <w:rsid w:val="00390D47"/>
    <w:rsid w:val="00390DC5"/>
    <w:rsid w:val="00390F35"/>
    <w:rsid w:val="00390F95"/>
    <w:rsid w:val="00390FA6"/>
    <w:rsid w:val="00391110"/>
    <w:rsid w:val="00391123"/>
    <w:rsid w:val="00391288"/>
    <w:rsid w:val="0039139C"/>
    <w:rsid w:val="003913FB"/>
    <w:rsid w:val="003917B6"/>
    <w:rsid w:val="003917EA"/>
    <w:rsid w:val="00391880"/>
    <w:rsid w:val="0039189C"/>
    <w:rsid w:val="003918A2"/>
    <w:rsid w:val="003919B4"/>
    <w:rsid w:val="00391A29"/>
    <w:rsid w:val="00391A31"/>
    <w:rsid w:val="00391B78"/>
    <w:rsid w:val="00391BAD"/>
    <w:rsid w:val="00391CF3"/>
    <w:rsid w:val="00391D8F"/>
    <w:rsid w:val="00391F00"/>
    <w:rsid w:val="00392034"/>
    <w:rsid w:val="003926F1"/>
    <w:rsid w:val="00392989"/>
    <w:rsid w:val="00392BA2"/>
    <w:rsid w:val="00392C80"/>
    <w:rsid w:val="00392CE3"/>
    <w:rsid w:val="00392CF1"/>
    <w:rsid w:val="00392D29"/>
    <w:rsid w:val="00392D50"/>
    <w:rsid w:val="00392D71"/>
    <w:rsid w:val="003932B9"/>
    <w:rsid w:val="003932D6"/>
    <w:rsid w:val="0039351E"/>
    <w:rsid w:val="00393540"/>
    <w:rsid w:val="003936E6"/>
    <w:rsid w:val="003937F5"/>
    <w:rsid w:val="00393AEC"/>
    <w:rsid w:val="00393C25"/>
    <w:rsid w:val="00393DCE"/>
    <w:rsid w:val="00393EFB"/>
    <w:rsid w:val="00393F7F"/>
    <w:rsid w:val="00394321"/>
    <w:rsid w:val="00394576"/>
    <w:rsid w:val="00394916"/>
    <w:rsid w:val="00394968"/>
    <w:rsid w:val="0039499B"/>
    <w:rsid w:val="00394A2B"/>
    <w:rsid w:val="00394A6A"/>
    <w:rsid w:val="00394B08"/>
    <w:rsid w:val="00394DF6"/>
    <w:rsid w:val="00394F14"/>
    <w:rsid w:val="00394FF5"/>
    <w:rsid w:val="003950DA"/>
    <w:rsid w:val="0039513A"/>
    <w:rsid w:val="00395299"/>
    <w:rsid w:val="003952A2"/>
    <w:rsid w:val="003953E3"/>
    <w:rsid w:val="00395805"/>
    <w:rsid w:val="00395814"/>
    <w:rsid w:val="00395AF5"/>
    <w:rsid w:val="00395B6E"/>
    <w:rsid w:val="00395BD4"/>
    <w:rsid w:val="00395BDF"/>
    <w:rsid w:val="00395CE5"/>
    <w:rsid w:val="00395D90"/>
    <w:rsid w:val="00395EC7"/>
    <w:rsid w:val="00395F57"/>
    <w:rsid w:val="00396146"/>
    <w:rsid w:val="00396183"/>
    <w:rsid w:val="0039621C"/>
    <w:rsid w:val="0039656A"/>
    <w:rsid w:val="003965F5"/>
    <w:rsid w:val="00396650"/>
    <w:rsid w:val="00396753"/>
    <w:rsid w:val="00396823"/>
    <w:rsid w:val="0039693D"/>
    <w:rsid w:val="00396B06"/>
    <w:rsid w:val="00396B51"/>
    <w:rsid w:val="00397178"/>
    <w:rsid w:val="00397303"/>
    <w:rsid w:val="003973AB"/>
    <w:rsid w:val="00397601"/>
    <w:rsid w:val="00397951"/>
    <w:rsid w:val="0039795A"/>
    <w:rsid w:val="00397A1B"/>
    <w:rsid w:val="00397A81"/>
    <w:rsid w:val="00397AB0"/>
    <w:rsid w:val="00397B7D"/>
    <w:rsid w:val="00397C1A"/>
    <w:rsid w:val="00397C42"/>
    <w:rsid w:val="00397D05"/>
    <w:rsid w:val="00397DFD"/>
    <w:rsid w:val="003A0070"/>
    <w:rsid w:val="003A043B"/>
    <w:rsid w:val="003A04E6"/>
    <w:rsid w:val="003A0508"/>
    <w:rsid w:val="003A06B7"/>
    <w:rsid w:val="003A075E"/>
    <w:rsid w:val="003A0795"/>
    <w:rsid w:val="003A08DE"/>
    <w:rsid w:val="003A0A90"/>
    <w:rsid w:val="003A0AA0"/>
    <w:rsid w:val="003A0AB0"/>
    <w:rsid w:val="003A0BC3"/>
    <w:rsid w:val="003A0BED"/>
    <w:rsid w:val="003A0CF1"/>
    <w:rsid w:val="003A0D63"/>
    <w:rsid w:val="003A0DDD"/>
    <w:rsid w:val="003A0E2B"/>
    <w:rsid w:val="003A0EF3"/>
    <w:rsid w:val="003A0F43"/>
    <w:rsid w:val="003A112A"/>
    <w:rsid w:val="003A1179"/>
    <w:rsid w:val="003A13F1"/>
    <w:rsid w:val="003A1435"/>
    <w:rsid w:val="003A156F"/>
    <w:rsid w:val="003A163E"/>
    <w:rsid w:val="003A1669"/>
    <w:rsid w:val="003A17E3"/>
    <w:rsid w:val="003A1941"/>
    <w:rsid w:val="003A194C"/>
    <w:rsid w:val="003A1AF7"/>
    <w:rsid w:val="003A1B0F"/>
    <w:rsid w:val="003A1C18"/>
    <w:rsid w:val="003A1DA9"/>
    <w:rsid w:val="003A1E65"/>
    <w:rsid w:val="003A1E7C"/>
    <w:rsid w:val="003A1F46"/>
    <w:rsid w:val="003A1FA1"/>
    <w:rsid w:val="003A2033"/>
    <w:rsid w:val="003A20BC"/>
    <w:rsid w:val="003A22D1"/>
    <w:rsid w:val="003A2330"/>
    <w:rsid w:val="003A2567"/>
    <w:rsid w:val="003A259C"/>
    <w:rsid w:val="003A25A0"/>
    <w:rsid w:val="003A25E7"/>
    <w:rsid w:val="003A26C3"/>
    <w:rsid w:val="003A26DD"/>
    <w:rsid w:val="003A2706"/>
    <w:rsid w:val="003A27D1"/>
    <w:rsid w:val="003A2A44"/>
    <w:rsid w:val="003A2A93"/>
    <w:rsid w:val="003A2AFA"/>
    <w:rsid w:val="003A2B9A"/>
    <w:rsid w:val="003A2CDB"/>
    <w:rsid w:val="003A2DEE"/>
    <w:rsid w:val="003A2E4C"/>
    <w:rsid w:val="003A2FBB"/>
    <w:rsid w:val="003A3380"/>
    <w:rsid w:val="003A3458"/>
    <w:rsid w:val="003A34AF"/>
    <w:rsid w:val="003A36A4"/>
    <w:rsid w:val="003A38A8"/>
    <w:rsid w:val="003A39FB"/>
    <w:rsid w:val="003A3AC1"/>
    <w:rsid w:val="003A3CCF"/>
    <w:rsid w:val="003A40A1"/>
    <w:rsid w:val="003A40BA"/>
    <w:rsid w:val="003A40E7"/>
    <w:rsid w:val="003A4276"/>
    <w:rsid w:val="003A43EF"/>
    <w:rsid w:val="003A4444"/>
    <w:rsid w:val="003A4566"/>
    <w:rsid w:val="003A48BA"/>
    <w:rsid w:val="003A498C"/>
    <w:rsid w:val="003A4A64"/>
    <w:rsid w:val="003A4B03"/>
    <w:rsid w:val="003A4B19"/>
    <w:rsid w:val="003A4BB5"/>
    <w:rsid w:val="003A4C04"/>
    <w:rsid w:val="003A4C56"/>
    <w:rsid w:val="003A4DA7"/>
    <w:rsid w:val="003A50BC"/>
    <w:rsid w:val="003A5419"/>
    <w:rsid w:val="003A54C0"/>
    <w:rsid w:val="003A578F"/>
    <w:rsid w:val="003A5C44"/>
    <w:rsid w:val="003A61F3"/>
    <w:rsid w:val="003A6400"/>
    <w:rsid w:val="003A64C2"/>
    <w:rsid w:val="003A6560"/>
    <w:rsid w:val="003A6633"/>
    <w:rsid w:val="003A67C6"/>
    <w:rsid w:val="003A69E4"/>
    <w:rsid w:val="003A6ACE"/>
    <w:rsid w:val="003A6D0B"/>
    <w:rsid w:val="003A6DB7"/>
    <w:rsid w:val="003A707C"/>
    <w:rsid w:val="003A71E3"/>
    <w:rsid w:val="003A7215"/>
    <w:rsid w:val="003A76FC"/>
    <w:rsid w:val="003A77A2"/>
    <w:rsid w:val="003A78D3"/>
    <w:rsid w:val="003A7A3C"/>
    <w:rsid w:val="003A7A77"/>
    <w:rsid w:val="003A7B04"/>
    <w:rsid w:val="003A7BE9"/>
    <w:rsid w:val="003A7C33"/>
    <w:rsid w:val="003A7F18"/>
    <w:rsid w:val="003B0265"/>
    <w:rsid w:val="003B03D4"/>
    <w:rsid w:val="003B0638"/>
    <w:rsid w:val="003B0658"/>
    <w:rsid w:val="003B067D"/>
    <w:rsid w:val="003B08DA"/>
    <w:rsid w:val="003B0A44"/>
    <w:rsid w:val="003B0AB5"/>
    <w:rsid w:val="003B0C41"/>
    <w:rsid w:val="003B0D9A"/>
    <w:rsid w:val="003B0DB3"/>
    <w:rsid w:val="003B0E21"/>
    <w:rsid w:val="003B105A"/>
    <w:rsid w:val="003B1103"/>
    <w:rsid w:val="003B110D"/>
    <w:rsid w:val="003B116D"/>
    <w:rsid w:val="003B11A1"/>
    <w:rsid w:val="003B1682"/>
    <w:rsid w:val="003B17DA"/>
    <w:rsid w:val="003B1D53"/>
    <w:rsid w:val="003B1DAF"/>
    <w:rsid w:val="003B20C8"/>
    <w:rsid w:val="003B2109"/>
    <w:rsid w:val="003B21E3"/>
    <w:rsid w:val="003B22FD"/>
    <w:rsid w:val="003B2386"/>
    <w:rsid w:val="003B2481"/>
    <w:rsid w:val="003B24EA"/>
    <w:rsid w:val="003B25B4"/>
    <w:rsid w:val="003B289C"/>
    <w:rsid w:val="003B28E6"/>
    <w:rsid w:val="003B294E"/>
    <w:rsid w:val="003B29B2"/>
    <w:rsid w:val="003B29FD"/>
    <w:rsid w:val="003B2A47"/>
    <w:rsid w:val="003B2B69"/>
    <w:rsid w:val="003B2DFB"/>
    <w:rsid w:val="003B2F1A"/>
    <w:rsid w:val="003B2F1C"/>
    <w:rsid w:val="003B32A9"/>
    <w:rsid w:val="003B338B"/>
    <w:rsid w:val="003B3490"/>
    <w:rsid w:val="003B3798"/>
    <w:rsid w:val="003B37F4"/>
    <w:rsid w:val="003B38B9"/>
    <w:rsid w:val="003B3948"/>
    <w:rsid w:val="003B3C94"/>
    <w:rsid w:val="003B3E71"/>
    <w:rsid w:val="003B3FC5"/>
    <w:rsid w:val="003B3FE1"/>
    <w:rsid w:val="003B403D"/>
    <w:rsid w:val="003B4077"/>
    <w:rsid w:val="003B411E"/>
    <w:rsid w:val="003B415F"/>
    <w:rsid w:val="003B4171"/>
    <w:rsid w:val="003B4175"/>
    <w:rsid w:val="003B42DE"/>
    <w:rsid w:val="003B4392"/>
    <w:rsid w:val="003B45A6"/>
    <w:rsid w:val="003B4674"/>
    <w:rsid w:val="003B46EB"/>
    <w:rsid w:val="003B4757"/>
    <w:rsid w:val="003B489D"/>
    <w:rsid w:val="003B49F9"/>
    <w:rsid w:val="003B4A59"/>
    <w:rsid w:val="003B4CF1"/>
    <w:rsid w:val="003B4FD4"/>
    <w:rsid w:val="003B4FE8"/>
    <w:rsid w:val="003B500B"/>
    <w:rsid w:val="003B518B"/>
    <w:rsid w:val="003B52FE"/>
    <w:rsid w:val="003B5785"/>
    <w:rsid w:val="003B5B08"/>
    <w:rsid w:val="003B5F0E"/>
    <w:rsid w:val="003B5FE5"/>
    <w:rsid w:val="003B5FF4"/>
    <w:rsid w:val="003B609C"/>
    <w:rsid w:val="003B6509"/>
    <w:rsid w:val="003B65DA"/>
    <w:rsid w:val="003B684C"/>
    <w:rsid w:val="003B69B9"/>
    <w:rsid w:val="003B69FE"/>
    <w:rsid w:val="003B6A53"/>
    <w:rsid w:val="003B6A5A"/>
    <w:rsid w:val="003B6B5E"/>
    <w:rsid w:val="003B6B65"/>
    <w:rsid w:val="003B6CF7"/>
    <w:rsid w:val="003B6D4D"/>
    <w:rsid w:val="003B6DDC"/>
    <w:rsid w:val="003B6F46"/>
    <w:rsid w:val="003B6F65"/>
    <w:rsid w:val="003B741C"/>
    <w:rsid w:val="003B74F9"/>
    <w:rsid w:val="003B775B"/>
    <w:rsid w:val="003B77AF"/>
    <w:rsid w:val="003B7A2D"/>
    <w:rsid w:val="003B7A9A"/>
    <w:rsid w:val="003B7B5B"/>
    <w:rsid w:val="003B7E54"/>
    <w:rsid w:val="003C000E"/>
    <w:rsid w:val="003C0547"/>
    <w:rsid w:val="003C060E"/>
    <w:rsid w:val="003C067F"/>
    <w:rsid w:val="003C0717"/>
    <w:rsid w:val="003C0A43"/>
    <w:rsid w:val="003C0B38"/>
    <w:rsid w:val="003C0DA2"/>
    <w:rsid w:val="003C0DB7"/>
    <w:rsid w:val="003C0E5F"/>
    <w:rsid w:val="003C0F6C"/>
    <w:rsid w:val="003C1167"/>
    <w:rsid w:val="003C1349"/>
    <w:rsid w:val="003C160D"/>
    <w:rsid w:val="003C1667"/>
    <w:rsid w:val="003C1766"/>
    <w:rsid w:val="003C17B5"/>
    <w:rsid w:val="003C19DD"/>
    <w:rsid w:val="003C1AAB"/>
    <w:rsid w:val="003C1C53"/>
    <w:rsid w:val="003C1D34"/>
    <w:rsid w:val="003C1E7B"/>
    <w:rsid w:val="003C20BB"/>
    <w:rsid w:val="003C20FB"/>
    <w:rsid w:val="003C231C"/>
    <w:rsid w:val="003C24BE"/>
    <w:rsid w:val="003C25AA"/>
    <w:rsid w:val="003C2615"/>
    <w:rsid w:val="003C261B"/>
    <w:rsid w:val="003C292A"/>
    <w:rsid w:val="003C2A15"/>
    <w:rsid w:val="003C2A4D"/>
    <w:rsid w:val="003C2C08"/>
    <w:rsid w:val="003C2C2F"/>
    <w:rsid w:val="003C2CAB"/>
    <w:rsid w:val="003C2CF2"/>
    <w:rsid w:val="003C2E37"/>
    <w:rsid w:val="003C303A"/>
    <w:rsid w:val="003C3067"/>
    <w:rsid w:val="003C3200"/>
    <w:rsid w:val="003C3211"/>
    <w:rsid w:val="003C33FD"/>
    <w:rsid w:val="003C34DF"/>
    <w:rsid w:val="003C350B"/>
    <w:rsid w:val="003C36EE"/>
    <w:rsid w:val="003C390E"/>
    <w:rsid w:val="003C3BAD"/>
    <w:rsid w:val="003C3E2D"/>
    <w:rsid w:val="003C3F48"/>
    <w:rsid w:val="003C40B3"/>
    <w:rsid w:val="003C428C"/>
    <w:rsid w:val="003C4336"/>
    <w:rsid w:val="003C43F3"/>
    <w:rsid w:val="003C43FC"/>
    <w:rsid w:val="003C4508"/>
    <w:rsid w:val="003C46F6"/>
    <w:rsid w:val="003C4AD6"/>
    <w:rsid w:val="003C4B54"/>
    <w:rsid w:val="003C4BFC"/>
    <w:rsid w:val="003C4C02"/>
    <w:rsid w:val="003C4C3E"/>
    <w:rsid w:val="003C4E08"/>
    <w:rsid w:val="003C4FCB"/>
    <w:rsid w:val="003C5257"/>
    <w:rsid w:val="003C53B7"/>
    <w:rsid w:val="003C5532"/>
    <w:rsid w:val="003C55AC"/>
    <w:rsid w:val="003C55D0"/>
    <w:rsid w:val="003C55FF"/>
    <w:rsid w:val="003C5A2B"/>
    <w:rsid w:val="003C5ADC"/>
    <w:rsid w:val="003C5BF5"/>
    <w:rsid w:val="003C5E66"/>
    <w:rsid w:val="003C5FB0"/>
    <w:rsid w:val="003C6036"/>
    <w:rsid w:val="003C6076"/>
    <w:rsid w:val="003C6089"/>
    <w:rsid w:val="003C60F7"/>
    <w:rsid w:val="003C6174"/>
    <w:rsid w:val="003C6236"/>
    <w:rsid w:val="003C6495"/>
    <w:rsid w:val="003C64A5"/>
    <w:rsid w:val="003C65F7"/>
    <w:rsid w:val="003C66A8"/>
    <w:rsid w:val="003C6A10"/>
    <w:rsid w:val="003C6BAF"/>
    <w:rsid w:val="003C6BDF"/>
    <w:rsid w:val="003C6F44"/>
    <w:rsid w:val="003C6F95"/>
    <w:rsid w:val="003C7094"/>
    <w:rsid w:val="003C727A"/>
    <w:rsid w:val="003C7382"/>
    <w:rsid w:val="003C7574"/>
    <w:rsid w:val="003C766E"/>
    <w:rsid w:val="003C7A3B"/>
    <w:rsid w:val="003C7A5D"/>
    <w:rsid w:val="003C7A75"/>
    <w:rsid w:val="003C7C83"/>
    <w:rsid w:val="003C7DEE"/>
    <w:rsid w:val="003C7F75"/>
    <w:rsid w:val="003D0046"/>
    <w:rsid w:val="003D023E"/>
    <w:rsid w:val="003D0257"/>
    <w:rsid w:val="003D04AA"/>
    <w:rsid w:val="003D04EE"/>
    <w:rsid w:val="003D05C7"/>
    <w:rsid w:val="003D060E"/>
    <w:rsid w:val="003D0780"/>
    <w:rsid w:val="003D0951"/>
    <w:rsid w:val="003D0A2D"/>
    <w:rsid w:val="003D0DF8"/>
    <w:rsid w:val="003D0EA9"/>
    <w:rsid w:val="003D0EC3"/>
    <w:rsid w:val="003D1056"/>
    <w:rsid w:val="003D10B1"/>
    <w:rsid w:val="003D1315"/>
    <w:rsid w:val="003D14DB"/>
    <w:rsid w:val="003D1595"/>
    <w:rsid w:val="003D1610"/>
    <w:rsid w:val="003D1725"/>
    <w:rsid w:val="003D1731"/>
    <w:rsid w:val="003D1782"/>
    <w:rsid w:val="003D18CD"/>
    <w:rsid w:val="003D190B"/>
    <w:rsid w:val="003D19C9"/>
    <w:rsid w:val="003D1C4F"/>
    <w:rsid w:val="003D223B"/>
    <w:rsid w:val="003D2316"/>
    <w:rsid w:val="003D2435"/>
    <w:rsid w:val="003D243C"/>
    <w:rsid w:val="003D2500"/>
    <w:rsid w:val="003D25A3"/>
    <w:rsid w:val="003D2694"/>
    <w:rsid w:val="003D2752"/>
    <w:rsid w:val="003D277E"/>
    <w:rsid w:val="003D2784"/>
    <w:rsid w:val="003D2937"/>
    <w:rsid w:val="003D2AC5"/>
    <w:rsid w:val="003D2CDD"/>
    <w:rsid w:val="003D2CFE"/>
    <w:rsid w:val="003D2DDD"/>
    <w:rsid w:val="003D2E42"/>
    <w:rsid w:val="003D2E8A"/>
    <w:rsid w:val="003D3447"/>
    <w:rsid w:val="003D3685"/>
    <w:rsid w:val="003D378B"/>
    <w:rsid w:val="003D38A7"/>
    <w:rsid w:val="003D39F9"/>
    <w:rsid w:val="003D3B02"/>
    <w:rsid w:val="003D3B21"/>
    <w:rsid w:val="003D3CD5"/>
    <w:rsid w:val="003D3D36"/>
    <w:rsid w:val="003D3E20"/>
    <w:rsid w:val="003D3EB3"/>
    <w:rsid w:val="003D4002"/>
    <w:rsid w:val="003D4161"/>
    <w:rsid w:val="003D41D3"/>
    <w:rsid w:val="003D4271"/>
    <w:rsid w:val="003D4711"/>
    <w:rsid w:val="003D4844"/>
    <w:rsid w:val="003D4A43"/>
    <w:rsid w:val="003D4A81"/>
    <w:rsid w:val="003D4A9B"/>
    <w:rsid w:val="003D4AAA"/>
    <w:rsid w:val="003D4AD9"/>
    <w:rsid w:val="003D4B41"/>
    <w:rsid w:val="003D4C08"/>
    <w:rsid w:val="003D4DB0"/>
    <w:rsid w:val="003D4E36"/>
    <w:rsid w:val="003D4F70"/>
    <w:rsid w:val="003D5058"/>
    <w:rsid w:val="003D513C"/>
    <w:rsid w:val="003D52BB"/>
    <w:rsid w:val="003D53AE"/>
    <w:rsid w:val="003D5518"/>
    <w:rsid w:val="003D56FE"/>
    <w:rsid w:val="003D589A"/>
    <w:rsid w:val="003D5C51"/>
    <w:rsid w:val="003D6012"/>
    <w:rsid w:val="003D60BF"/>
    <w:rsid w:val="003D61BB"/>
    <w:rsid w:val="003D650A"/>
    <w:rsid w:val="003D65F5"/>
    <w:rsid w:val="003D6797"/>
    <w:rsid w:val="003D67C0"/>
    <w:rsid w:val="003D6C27"/>
    <w:rsid w:val="003D6CF6"/>
    <w:rsid w:val="003D6E23"/>
    <w:rsid w:val="003D6E8C"/>
    <w:rsid w:val="003D6F91"/>
    <w:rsid w:val="003D70E2"/>
    <w:rsid w:val="003D71E0"/>
    <w:rsid w:val="003D733F"/>
    <w:rsid w:val="003D74F1"/>
    <w:rsid w:val="003D75B0"/>
    <w:rsid w:val="003D75C2"/>
    <w:rsid w:val="003D7826"/>
    <w:rsid w:val="003D7E06"/>
    <w:rsid w:val="003D7F7F"/>
    <w:rsid w:val="003D7F94"/>
    <w:rsid w:val="003E01EE"/>
    <w:rsid w:val="003E0257"/>
    <w:rsid w:val="003E027A"/>
    <w:rsid w:val="003E033E"/>
    <w:rsid w:val="003E04D8"/>
    <w:rsid w:val="003E063C"/>
    <w:rsid w:val="003E0792"/>
    <w:rsid w:val="003E0A40"/>
    <w:rsid w:val="003E0A56"/>
    <w:rsid w:val="003E0BB3"/>
    <w:rsid w:val="003E0C4B"/>
    <w:rsid w:val="003E0CA5"/>
    <w:rsid w:val="003E0CC3"/>
    <w:rsid w:val="003E0F0D"/>
    <w:rsid w:val="003E0FB5"/>
    <w:rsid w:val="003E1059"/>
    <w:rsid w:val="003E10B2"/>
    <w:rsid w:val="003E10CB"/>
    <w:rsid w:val="003E1123"/>
    <w:rsid w:val="003E113A"/>
    <w:rsid w:val="003E1143"/>
    <w:rsid w:val="003E1292"/>
    <w:rsid w:val="003E12B0"/>
    <w:rsid w:val="003E12B8"/>
    <w:rsid w:val="003E1321"/>
    <w:rsid w:val="003E1696"/>
    <w:rsid w:val="003E16BC"/>
    <w:rsid w:val="003E1714"/>
    <w:rsid w:val="003E1791"/>
    <w:rsid w:val="003E18E0"/>
    <w:rsid w:val="003E1964"/>
    <w:rsid w:val="003E1982"/>
    <w:rsid w:val="003E1A0A"/>
    <w:rsid w:val="003E1A19"/>
    <w:rsid w:val="003E1C78"/>
    <w:rsid w:val="003E1CFB"/>
    <w:rsid w:val="003E1DE6"/>
    <w:rsid w:val="003E1E00"/>
    <w:rsid w:val="003E1E9B"/>
    <w:rsid w:val="003E2030"/>
    <w:rsid w:val="003E22CA"/>
    <w:rsid w:val="003E22E1"/>
    <w:rsid w:val="003E2459"/>
    <w:rsid w:val="003E24A7"/>
    <w:rsid w:val="003E261F"/>
    <w:rsid w:val="003E263E"/>
    <w:rsid w:val="003E289D"/>
    <w:rsid w:val="003E293C"/>
    <w:rsid w:val="003E2CF9"/>
    <w:rsid w:val="003E2ECB"/>
    <w:rsid w:val="003E2F53"/>
    <w:rsid w:val="003E3181"/>
    <w:rsid w:val="003E3331"/>
    <w:rsid w:val="003E3361"/>
    <w:rsid w:val="003E35E6"/>
    <w:rsid w:val="003E3629"/>
    <w:rsid w:val="003E380C"/>
    <w:rsid w:val="003E3D4E"/>
    <w:rsid w:val="003E4102"/>
    <w:rsid w:val="003E4225"/>
    <w:rsid w:val="003E422D"/>
    <w:rsid w:val="003E4376"/>
    <w:rsid w:val="003E43DC"/>
    <w:rsid w:val="003E48A0"/>
    <w:rsid w:val="003E497E"/>
    <w:rsid w:val="003E4B32"/>
    <w:rsid w:val="003E5024"/>
    <w:rsid w:val="003E508D"/>
    <w:rsid w:val="003E518C"/>
    <w:rsid w:val="003E5277"/>
    <w:rsid w:val="003E5665"/>
    <w:rsid w:val="003E56BD"/>
    <w:rsid w:val="003E5703"/>
    <w:rsid w:val="003E576F"/>
    <w:rsid w:val="003E58EC"/>
    <w:rsid w:val="003E5BF2"/>
    <w:rsid w:val="003E5DE1"/>
    <w:rsid w:val="003E5E48"/>
    <w:rsid w:val="003E5F1F"/>
    <w:rsid w:val="003E607D"/>
    <w:rsid w:val="003E6267"/>
    <w:rsid w:val="003E629C"/>
    <w:rsid w:val="003E62D5"/>
    <w:rsid w:val="003E6425"/>
    <w:rsid w:val="003E656F"/>
    <w:rsid w:val="003E65AE"/>
    <w:rsid w:val="003E679B"/>
    <w:rsid w:val="003E6808"/>
    <w:rsid w:val="003E6A1C"/>
    <w:rsid w:val="003E6B41"/>
    <w:rsid w:val="003E6DB9"/>
    <w:rsid w:val="003E6E19"/>
    <w:rsid w:val="003E6E44"/>
    <w:rsid w:val="003E6F14"/>
    <w:rsid w:val="003E6F76"/>
    <w:rsid w:val="003E710C"/>
    <w:rsid w:val="003E71F7"/>
    <w:rsid w:val="003E7308"/>
    <w:rsid w:val="003E748F"/>
    <w:rsid w:val="003E7498"/>
    <w:rsid w:val="003E76F9"/>
    <w:rsid w:val="003E7890"/>
    <w:rsid w:val="003E797A"/>
    <w:rsid w:val="003E7B0B"/>
    <w:rsid w:val="003E7CC8"/>
    <w:rsid w:val="003E7D25"/>
    <w:rsid w:val="003E7DDE"/>
    <w:rsid w:val="003E7EE2"/>
    <w:rsid w:val="003F0360"/>
    <w:rsid w:val="003F05F0"/>
    <w:rsid w:val="003F07D5"/>
    <w:rsid w:val="003F0862"/>
    <w:rsid w:val="003F0A89"/>
    <w:rsid w:val="003F0B95"/>
    <w:rsid w:val="003F0C34"/>
    <w:rsid w:val="003F0EAE"/>
    <w:rsid w:val="003F0FD8"/>
    <w:rsid w:val="003F0FE8"/>
    <w:rsid w:val="003F10C3"/>
    <w:rsid w:val="003F1191"/>
    <w:rsid w:val="003F128F"/>
    <w:rsid w:val="003F139C"/>
    <w:rsid w:val="003F141D"/>
    <w:rsid w:val="003F14D8"/>
    <w:rsid w:val="003F1631"/>
    <w:rsid w:val="003F18AC"/>
    <w:rsid w:val="003F1D04"/>
    <w:rsid w:val="003F1DC3"/>
    <w:rsid w:val="003F1E34"/>
    <w:rsid w:val="003F1E99"/>
    <w:rsid w:val="003F1F44"/>
    <w:rsid w:val="003F2336"/>
    <w:rsid w:val="003F24CB"/>
    <w:rsid w:val="003F28F4"/>
    <w:rsid w:val="003F2B0F"/>
    <w:rsid w:val="003F2D8A"/>
    <w:rsid w:val="003F2EA2"/>
    <w:rsid w:val="003F2F31"/>
    <w:rsid w:val="003F30A4"/>
    <w:rsid w:val="003F3146"/>
    <w:rsid w:val="003F31EF"/>
    <w:rsid w:val="003F3287"/>
    <w:rsid w:val="003F340E"/>
    <w:rsid w:val="003F3428"/>
    <w:rsid w:val="003F3439"/>
    <w:rsid w:val="003F35B8"/>
    <w:rsid w:val="003F3672"/>
    <w:rsid w:val="003F3705"/>
    <w:rsid w:val="003F37DA"/>
    <w:rsid w:val="003F3A5E"/>
    <w:rsid w:val="003F3AD6"/>
    <w:rsid w:val="003F3AEF"/>
    <w:rsid w:val="003F3BBF"/>
    <w:rsid w:val="003F3D3E"/>
    <w:rsid w:val="003F3ED2"/>
    <w:rsid w:val="003F3EEE"/>
    <w:rsid w:val="003F401F"/>
    <w:rsid w:val="003F4230"/>
    <w:rsid w:val="003F42DD"/>
    <w:rsid w:val="003F430F"/>
    <w:rsid w:val="003F4323"/>
    <w:rsid w:val="003F43AA"/>
    <w:rsid w:val="003F445F"/>
    <w:rsid w:val="003F4552"/>
    <w:rsid w:val="003F45FF"/>
    <w:rsid w:val="003F46EC"/>
    <w:rsid w:val="003F482C"/>
    <w:rsid w:val="003F4CC4"/>
    <w:rsid w:val="003F4E4D"/>
    <w:rsid w:val="003F4FAE"/>
    <w:rsid w:val="003F507F"/>
    <w:rsid w:val="003F5089"/>
    <w:rsid w:val="003F5181"/>
    <w:rsid w:val="003F521E"/>
    <w:rsid w:val="003F58D2"/>
    <w:rsid w:val="003F598A"/>
    <w:rsid w:val="003F5AE2"/>
    <w:rsid w:val="003F5BE4"/>
    <w:rsid w:val="003F5BFA"/>
    <w:rsid w:val="003F5E01"/>
    <w:rsid w:val="003F60CD"/>
    <w:rsid w:val="003F63BA"/>
    <w:rsid w:val="003F654E"/>
    <w:rsid w:val="003F68D4"/>
    <w:rsid w:val="003F6F39"/>
    <w:rsid w:val="003F7425"/>
    <w:rsid w:val="003F750C"/>
    <w:rsid w:val="003F767D"/>
    <w:rsid w:val="003F76C4"/>
    <w:rsid w:val="003F77C9"/>
    <w:rsid w:val="003F7A62"/>
    <w:rsid w:val="003F7E60"/>
    <w:rsid w:val="00400085"/>
    <w:rsid w:val="0040024C"/>
    <w:rsid w:val="0040048A"/>
    <w:rsid w:val="00400639"/>
    <w:rsid w:val="004006B1"/>
    <w:rsid w:val="004007CD"/>
    <w:rsid w:val="00400B6E"/>
    <w:rsid w:val="00400BED"/>
    <w:rsid w:val="00400D0A"/>
    <w:rsid w:val="00400F30"/>
    <w:rsid w:val="00400F79"/>
    <w:rsid w:val="00400F81"/>
    <w:rsid w:val="0040122F"/>
    <w:rsid w:val="00401271"/>
    <w:rsid w:val="004012E4"/>
    <w:rsid w:val="004013E0"/>
    <w:rsid w:val="004013E3"/>
    <w:rsid w:val="00401402"/>
    <w:rsid w:val="004015CC"/>
    <w:rsid w:val="00401736"/>
    <w:rsid w:val="00401834"/>
    <w:rsid w:val="004018C2"/>
    <w:rsid w:val="004018F7"/>
    <w:rsid w:val="00401A09"/>
    <w:rsid w:val="00401A82"/>
    <w:rsid w:val="00401CF8"/>
    <w:rsid w:val="00401D8F"/>
    <w:rsid w:val="00401F50"/>
    <w:rsid w:val="00402023"/>
    <w:rsid w:val="00402082"/>
    <w:rsid w:val="004020D7"/>
    <w:rsid w:val="00402143"/>
    <w:rsid w:val="004022A4"/>
    <w:rsid w:val="00402353"/>
    <w:rsid w:val="004023AB"/>
    <w:rsid w:val="00402426"/>
    <w:rsid w:val="00402778"/>
    <w:rsid w:val="00402BB6"/>
    <w:rsid w:val="00402BD7"/>
    <w:rsid w:val="00402DA7"/>
    <w:rsid w:val="00403328"/>
    <w:rsid w:val="004034EE"/>
    <w:rsid w:val="0040369C"/>
    <w:rsid w:val="004038AC"/>
    <w:rsid w:val="00403978"/>
    <w:rsid w:val="00403999"/>
    <w:rsid w:val="00403E89"/>
    <w:rsid w:val="00403EC7"/>
    <w:rsid w:val="00403FB9"/>
    <w:rsid w:val="0040432A"/>
    <w:rsid w:val="0040435A"/>
    <w:rsid w:val="00404388"/>
    <w:rsid w:val="004045D8"/>
    <w:rsid w:val="0040462B"/>
    <w:rsid w:val="004046E1"/>
    <w:rsid w:val="00404776"/>
    <w:rsid w:val="004047A4"/>
    <w:rsid w:val="004048FA"/>
    <w:rsid w:val="0040492F"/>
    <w:rsid w:val="00404C1A"/>
    <w:rsid w:val="00404CAE"/>
    <w:rsid w:val="00404CB1"/>
    <w:rsid w:val="00404DF9"/>
    <w:rsid w:val="00404E26"/>
    <w:rsid w:val="004051A0"/>
    <w:rsid w:val="004051A6"/>
    <w:rsid w:val="0040542F"/>
    <w:rsid w:val="00405476"/>
    <w:rsid w:val="00405598"/>
    <w:rsid w:val="004056B1"/>
    <w:rsid w:val="004056E5"/>
    <w:rsid w:val="004057DF"/>
    <w:rsid w:val="00405849"/>
    <w:rsid w:val="00405892"/>
    <w:rsid w:val="00405898"/>
    <w:rsid w:val="00405DAA"/>
    <w:rsid w:val="004060D5"/>
    <w:rsid w:val="004060DB"/>
    <w:rsid w:val="0040611E"/>
    <w:rsid w:val="004061C4"/>
    <w:rsid w:val="0040622B"/>
    <w:rsid w:val="00406250"/>
    <w:rsid w:val="00406398"/>
    <w:rsid w:val="00406414"/>
    <w:rsid w:val="0040645E"/>
    <w:rsid w:val="004065EE"/>
    <w:rsid w:val="00406622"/>
    <w:rsid w:val="004066AB"/>
    <w:rsid w:val="004067A7"/>
    <w:rsid w:val="00406803"/>
    <w:rsid w:val="00406AB0"/>
    <w:rsid w:val="00406B45"/>
    <w:rsid w:val="00406C0D"/>
    <w:rsid w:val="00406C32"/>
    <w:rsid w:val="00406C3D"/>
    <w:rsid w:val="00406E64"/>
    <w:rsid w:val="0040702C"/>
    <w:rsid w:val="0040718F"/>
    <w:rsid w:val="00407392"/>
    <w:rsid w:val="004074B1"/>
    <w:rsid w:val="004074BE"/>
    <w:rsid w:val="0040766A"/>
    <w:rsid w:val="00407AE1"/>
    <w:rsid w:val="00407B94"/>
    <w:rsid w:val="00407D0B"/>
    <w:rsid w:val="00407E89"/>
    <w:rsid w:val="00407ED6"/>
    <w:rsid w:val="0041010F"/>
    <w:rsid w:val="00410121"/>
    <w:rsid w:val="004101B0"/>
    <w:rsid w:val="004105D9"/>
    <w:rsid w:val="00410A2F"/>
    <w:rsid w:val="00410A66"/>
    <w:rsid w:val="00410C75"/>
    <w:rsid w:val="00411088"/>
    <w:rsid w:val="00411146"/>
    <w:rsid w:val="004111F9"/>
    <w:rsid w:val="00411278"/>
    <w:rsid w:val="004113F6"/>
    <w:rsid w:val="00411469"/>
    <w:rsid w:val="004116A6"/>
    <w:rsid w:val="0041172E"/>
    <w:rsid w:val="0041173B"/>
    <w:rsid w:val="004117E2"/>
    <w:rsid w:val="004119E7"/>
    <w:rsid w:val="00411A13"/>
    <w:rsid w:val="00411BEE"/>
    <w:rsid w:val="00411C5E"/>
    <w:rsid w:val="00411CAB"/>
    <w:rsid w:val="00411CF3"/>
    <w:rsid w:val="00411D1F"/>
    <w:rsid w:val="00411D55"/>
    <w:rsid w:val="00411DF6"/>
    <w:rsid w:val="00411E68"/>
    <w:rsid w:val="00411EBD"/>
    <w:rsid w:val="00411FBA"/>
    <w:rsid w:val="00411FD0"/>
    <w:rsid w:val="004120A9"/>
    <w:rsid w:val="004122DE"/>
    <w:rsid w:val="00412415"/>
    <w:rsid w:val="00412429"/>
    <w:rsid w:val="004124D2"/>
    <w:rsid w:val="00412516"/>
    <w:rsid w:val="004125B0"/>
    <w:rsid w:val="00412631"/>
    <w:rsid w:val="00412857"/>
    <w:rsid w:val="004128B0"/>
    <w:rsid w:val="00412A2F"/>
    <w:rsid w:val="00412A88"/>
    <w:rsid w:val="00412BDF"/>
    <w:rsid w:val="00412D02"/>
    <w:rsid w:val="00412F6A"/>
    <w:rsid w:val="00413022"/>
    <w:rsid w:val="0041304C"/>
    <w:rsid w:val="004130E4"/>
    <w:rsid w:val="0041312F"/>
    <w:rsid w:val="00413257"/>
    <w:rsid w:val="004132EB"/>
    <w:rsid w:val="00413503"/>
    <w:rsid w:val="00413649"/>
    <w:rsid w:val="004136EF"/>
    <w:rsid w:val="00413776"/>
    <w:rsid w:val="00413BAF"/>
    <w:rsid w:val="00413C13"/>
    <w:rsid w:val="00413C57"/>
    <w:rsid w:val="00413CB1"/>
    <w:rsid w:val="00413F48"/>
    <w:rsid w:val="00413FEB"/>
    <w:rsid w:val="00413FFA"/>
    <w:rsid w:val="0041452D"/>
    <w:rsid w:val="0041468E"/>
    <w:rsid w:val="0041485A"/>
    <w:rsid w:val="0041485E"/>
    <w:rsid w:val="00414933"/>
    <w:rsid w:val="00414C78"/>
    <w:rsid w:val="00414DAA"/>
    <w:rsid w:val="00414F82"/>
    <w:rsid w:val="00415135"/>
    <w:rsid w:val="004152C6"/>
    <w:rsid w:val="004153C5"/>
    <w:rsid w:val="004155FA"/>
    <w:rsid w:val="004158E3"/>
    <w:rsid w:val="004159F6"/>
    <w:rsid w:val="00415A2E"/>
    <w:rsid w:val="00415AC5"/>
    <w:rsid w:val="00415CC9"/>
    <w:rsid w:val="00415F76"/>
    <w:rsid w:val="00416326"/>
    <w:rsid w:val="00416559"/>
    <w:rsid w:val="00416613"/>
    <w:rsid w:val="0041663E"/>
    <w:rsid w:val="0041671A"/>
    <w:rsid w:val="00416949"/>
    <w:rsid w:val="00416AB2"/>
    <w:rsid w:val="00416D5B"/>
    <w:rsid w:val="00416D69"/>
    <w:rsid w:val="00416E51"/>
    <w:rsid w:val="00416F1D"/>
    <w:rsid w:val="00417293"/>
    <w:rsid w:val="00417335"/>
    <w:rsid w:val="00417473"/>
    <w:rsid w:val="00417706"/>
    <w:rsid w:val="0041772C"/>
    <w:rsid w:val="0041774D"/>
    <w:rsid w:val="004178BE"/>
    <w:rsid w:val="0041793E"/>
    <w:rsid w:val="00417981"/>
    <w:rsid w:val="00417A19"/>
    <w:rsid w:val="00417AC0"/>
    <w:rsid w:val="00417C82"/>
    <w:rsid w:val="00417F1D"/>
    <w:rsid w:val="004200A7"/>
    <w:rsid w:val="00420343"/>
    <w:rsid w:val="00420397"/>
    <w:rsid w:val="00420820"/>
    <w:rsid w:val="004208B8"/>
    <w:rsid w:val="00420A8E"/>
    <w:rsid w:val="00420B1B"/>
    <w:rsid w:val="00420C6F"/>
    <w:rsid w:val="00420FF9"/>
    <w:rsid w:val="00421065"/>
    <w:rsid w:val="00421218"/>
    <w:rsid w:val="00421408"/>
    <w:rsid w:val="0042156E"/>
    <w:rsid w:val="004218EF"/>
    <w:rsid w:val="00421A76"/>
    <w:rsid w:val="00421C34"/>
    <w:rsid w:val="00421D53"/>
    <w:rsid w:val="00421D70"/>
    <w:rsid w:val="00421DB0"/>
    <w:rsid w:val="00421F4D"/>
    <w:rsid w:val="00421FB3"/>
    <w:rsid w:val="00422039"/>
    <w:rsid w:val="0042211C"/>
    <w:rsid w:val="0042227D"/>
    <w:rsid w:val="0042236F"/>
    <w:rsid w:val="00422449"/>
    <w:rsid w:val="004225A0"/>
    <w:rsid w:val="004225CB"/>
    <w:rsid w:val="00422672"/>
    <w:rsid w:val="004226F5"/>
    <w:rsid w:val="00422977"/>
    <w:rsid w:val="00422B79"/>
    <w:rsid w:val="00422DA1"/>
    <w:rsid w:val="00422E0D"/>
    <w:rsid w:val="0042321E"/>
    <w:rsid w:val="004233D9"/>
    <w:rsid w:val="00423637"/>
    <w:rsid w:val="004236C0"/>
    <w:rsid w:val="0042377B"/>
    <w:rsid w:val="004237BA"/>
    <w:rsid w:val="00423AB3"/>
    <w:rsid w:val="00423B76"/>
    <w:rsid w:val="00423E03"/>
    <w:rsid w:val="00423EC1"/>
    <w:rsid w:val="00423EE0"/>
    <w:rsid w:val="0042413C"/>
    <w:rsid w:val="00424374"/>
    <w:rsid w:val="00424632"/>
    <w:rsid w:val="004246D9"/>
    <w:rsid w:val="0042483C"/>
    <w:rsid w:val="00424878"/>
    <w:rsid w:val="0042496A"/>
    <w:rsid w:val="00424A0D"/>
    <w:rsid w:val="00424B0C"/>
    <w:rsid w:val="00424E3B"/>
    <w:rsid w:val="00424E67"/>
    <w:rsid w:val="00424F77"/>
    <w:rsid w:val="00424FF8"/>
    <w:rsid w:val="00425088"/>
    <w:rsid w:val="00425089"/>
    <w:rsid w:val="004250FD"/>
    <w:rsid w:val="004254A1"/>
    <w:rsid w:val="004255E8"/>
    <w:rsid w:val="0042572D"/>
    <w:rsid w:val="004257D0"/>
    <w:rsid w:val="00425951"/>
    <w:rsid w:val="00425AD4"/>
    <w:rsid w:val="00425AFE"/>
    <w:rsid w:val="00425B3D"/>
    <w:rsid w:val="00425C46"/>
    <w:rsid w:val="00425CC6"/>
    <w:rsid w:val="00425DDB"/>
    <w:rsid w:val="00425EEE"/>
    <w:rsid w:val="00425F48"/>
    <w:rsid w:val="00425FF0"/>
    <w:rsid w:val="00426106"/>
    <w:rsid w:val="0042621A"/>
    <w:rsid w:val="00426392"/>
    <w:rsid w:val="004264F7"/>
    <w:rsid w:val="00426550"/>
    <w:rsid w:val="0042655D"/>
    <w:rsid w:val="00426573"/>
    <w:rsid w:val="004266DC"/>
    <w:rsid w:val="00426A65"/>
    <w:rsid w:val="00426AEF"/>
    <w:rsid w:val="00426F63"/>
    <w:rsid w:val="00426FBF"/>
    <w:rsid w:val="004270C8"/>
    <w:rsid w:val="004271FD"/>
    <w:rsid w:val="004272AF"/>
    <w:rsid w:val="00427446"/>
    <w:rsid w:val="00427496"/>
    <w:rsid w:val="0042756A"/>
    <w:rsid w:val="004275C9"/>
    <w:rsid w:val="0042764A"/>
    <w:rsid w:val="00427754"/>
    <w:rsid w:val="00427871"/>
    <w:rsid w:val="00427949"/>
    <w:rsid w:val="00427963"/>
    <w:rsid w:val="00427B15"/>
    <w:rsid w:val="00427D63"/>
    <w:rsid w:val="00427E74"/>
    <w:rsid w:val="00430032"/>
    <w:rsid w:val="00430048"/>
    <w:rsid w:val="00430423"/>
    <w:rsid w:val="00430455"/>
    <w:rsid w:val="004304E7"/>
    <w:rsid w:val="0043053B"/>
    <w:rsid w:val="00430583"/>
    <w:rsid w:val="00430712"/>
    <w:rsid w:val="00430A0B"/>
    <w:rsid w:val="00430A55"/>
    <w:rsid w:val="00430A7C"/>
    <w:rsid w:val="00430AA3"/>
    <w:rsid w:val="00430AC0"/>
    <w:rsid w:val="00430C6E"/>
    <w:rsid w:val="00430D54"/>
    <w:rsid w:val="00430D84"/>
    <w:rsid w:val="00430F3B"/>
    <w:rsid w:val="00430FF8"/>
    <w:rsid w:val="0043100D"/>
    <w:rsid w:val="00431050"/>
    <w:rsid w:val="0043106F"/>
    <w:rsid w:val="004310AB"/>
    <w:rsid w:val="00431179"/>
    <w:rsid w:val="004313CB"/>
    <w:rsid w:val="00431434"/>
    <w:rsid w:val="0043147E"/>
    <w:rsid w:val="00431626"/>
    <w:rsid w:val="0043173E"/>
    <w:rsid w:val="0043190A"/>
    <w:rsid w:val="004319ED"/>
    <w:rsid w:val="00431A16"/>
    <w:rsid w:val="00431AF5"/>
    <w:rsid w:val="00431B08"/>
    <w:rsid w:val="00431EC1"/>
    <w:rsid w:val="00431EDD"/>
    <w:rsid w:val="00431FD2"/>
    <w:rsid w:val="00432120"/>
    <w:rsid w:val="004323EB"/>
    <w:rsid w:val="00432866"/>
    <w:rsid w:val="00432A8F"/>
    <w:rsid w:val="00432B8D"/>
    <w:rsid w:val="00432CB2"/>
    <w:rsid w:val="0043317B"/>
    <w:rsid w:val="004332E7"/>
    <w:rsid w:val="00433431"/>
    <w:rsid w:val="0043355C"/>
    <w:rsid w:val="004338C5"/>
    <w:rsid w:val="00433AB8"/>
    <w:rsid w:val="00433BFB"/>
    <w:rsid w:val="00433D1B"/>
    <w:rsid w:val="00433D34"/>
    <w:rsid w:val="00433E40"/>
    <w:rsid w:val="00433E4A"/>
    <w:rsid w:val="00434114"/>
    <w:rsid w:val="0043433B"/>
    <w:rsid w:val="00434388"/>
    <w:rsid w:val="004343D1"/>
    <w:rsid w:val="00434696"/>
    <w:rsid w:val="00434804"/>
    <w:rsid w:val="00434875"/>
    <w:rsid w:val="00434A37"/>
    <w:rsid w:val="00434B54"/>
    <w:rsid w:val="00434C26"/>
    <w:rsid w:val="00434D57"/>
    <w:rsid w:val="00434DF2"/>
    <w:rsid w:val="00434E51"/>
    <w:rsid w:val="00434E7B"/>
    <w:rsid w:val="00435030"/>
    <w:rsid w:val="004351E9"/>
    <w:rsid w:val="00435515"/>
    <w:rsid w:val="00435712"/>
    <w:rsid w:val="004357AE"/>
    <w:rsid w:val="00435C75"/>
    <w:rsid w:val="00435D19"/>
    <w:rsid w:val="00435D89"/>
    <w:rsid w:val="00435FB5"/>
    <w:rsid w:val="00435FEB"/>
    <w:rsid w:val="004360B7"/>
    <w:rsid w:val="00436556"/>
    <w:rsid w:val="004368B7"/>
    <w:rsid w:val="00436A26"/>
    <w:rsid w:val="00436CC8"/>
    <w:rsid w:val="00436D8F"/>
    <w:rsid w:val="004373AA"/>
    <w:rsid w:val="0043742F"/>
    <w:rsid w:val="00437527"/>
    <w:rsid w:val="0043764C"/>
    <w:rsid w:val="0043766A"/>
    <w:rsid w:val="0043770B"/>
    <w:rsid w:val="00437733"/>
    <w:rsid w:val="004379D3"/>
    <w:rsid w:val="00437A97"/>
    <w:rsid w:val="00437A9D"/>
    <w:rsid w:val="00437C25"/>
    <w:rsid w:val="00437C86"/>
    <w:rsid w:val="00437E23"/>
    <w:rsid w:val="00437E32"/>
    <w:rsid w:val="00437F84"/>
    <w:rsid w:val="00440139"/>
    <w:rsid w:val="0044026E"/>
    <w:rsid w:val="004403CD"/>
    <w:rsid w:val="004404FE"/>
    <w:rsid w:val="00440812"/>
    <w:rsid w:val="004408DD"/>
    <w:rsid w:val="00440ABE"/>
    <w:rsid w:val="00440E70"/>
    <w:rsid w:val="00441063"/>
    <w:rsid w:val="004412B7"/>
    <w:rsid w:val="00441321"/>
    <w:rsid w:val="004414AB"/>
    <w:rsid w:val="0044158F"/>
    <w:rsid w:val="00441785"/>
    <w:rsid w:val="0044178B"/>
    <w:rsid w:val="004418D9"/>
    <w:rsid w:val="00441A12"/>
    <w:rsid w:val="00441C9C"/>
    <w:rsid w:val="00441DC2"/>
    <w:rsid w:val="00441ED5"/>
    <w:rsid w:val="00441F9F"/>
    <w:rsid w:val="004420BA"/>
    <w:rsid w:val="004422B8"/>
    <w:rsid w:val="00442468"/>
    <w:rsid w:val="0044256F"/>
    <w:rsid w:val="0044267E"/>
    <w:rsid w:val="004426D3"/>
    <w:rsid w:val="00442771"/>
    <w:rsid w:val="00442BCE"/>
    <w:rsid w:val="00442DC4"/>
    <w:rsid w:val="00442EAB"/>
    <w:rsid w:val="0044313B"/>
    <w:rsid w:val="00443636"/>
    <w:rsid w:val="00443649"/>
    <w:rsid w:val="00443803"/>
    <w:rsid w:val="00443907"/>
    <w:rsid w:val="00443A5E"/>
    <w:rsid w:val="00443BA3"/>
    <w:rsid w:val="00443DFF"/>
    <w:rsid w:val="00443EB7"/>
    <w:rsid w:val="00443FC2"/>
    <w:rsid w:val="004440BF"/>
    <w:rsid w:val="0044427C"/>
    <w:rsid w:val="004442A5"/>
    <w:rsid w:val="00444453"/>
    <w:rsid w:val="004444B2"/>
    <w:rsid w:val="00444519"/>
    <w:rsid w:val="00444700"/>
    <w:rsid w:val="00444BA3"/>
    <w:rsid w:val="00444C9C"/>
    <w:rsid w:val="00444E3F"/>
    <w:rsid w:val="00444E98"/>
    <w:rsid w:val="00444F59"/>
    <w:rsid w:val="00444FF6"/>
    <w:rsid w:val="00445022"/>
    <w:rsid w:val="0044510E"/>
    <w:rsid w:val="00445144"/>
    <w:rsid w:val="0044518D"/>
    <w:rsid w:val="004451C3"/>
    <w:rsid w:val="00445277"/>
    <w:rsid w:val="004452B6"/>
    <w:rsid w:val="0044543C"/>
    <w:rsid w:val="00445480"/>
    <w:rsid w:val="0044549F"/>
    <w:rsid w:val="00445644"/>
    <w:rsid w:val="00445E55"/>
    <w:rsid w:val="004461DF"/>
    <w:rsid w:val="004461F8"/>
    <w:rsid w:val="0044642B"/>
    <w:rsid w:val="004465CC"/>
    <w:rsid w:val="0044665D"/>
    <w:rsid w:val="00446AF9"/>
    <w:rsid w:val="00446B8D"/>
    <w:rsid w:val="00446CED"/>
    <w:rsid w:val="00446EEB"/>
    <w:rsid w:val="00447050"/>
    <w:rsid w:val="0044709A"/>
    <w:rsid w:val="00447173"/>
    <w:rsid w:val="00447199"/>
    <w:rsid w:val="00447455"/>
    <w:rsid w:val="004477A5"/>
    <w:rsid w:val="0044797A"/>
    <w:rsid w:val="00447A0A"/>
    <w:rsid w:val="00447A44"/>
    <w:rsid w:val="00447AF0"/>
    <w:rsid w:val="00447B0B"/>
    <w:rsid w:val="00447FB2"/>
    <w:rsid w:val="00447FD6"/>
    <w:rsid w:val="00450116"/>
    <w:rsid w:val="00450395"/>
    <w:rsid w:val="004503E3"/>
    <w:rsid w:val="00450430"/>
    <w:rsid w:val="004504C7"/>
    <w:rsid w:val="004504E9"/>
    <w:rsid w:val="00450639"/>
    <w:rsid w:val="0045067F"/>
    <w:rsid w:val="004508C4"/>
    <w:rsid w:val="0045097A"/>
    <w:rsid w:val="004509C5"/>
    <w:rsid w:val="004509DF"/>
    <w:rsid w:val="00450B25"/>
    <w:rsid w:val="00450D50"/>
    <w:rsid w:val="00450DA3"/>
    <w:rsid w:val="00450DAE"/>
    <w:rsid w:val="00451090"/>
    <w:rsid w:val="00451126"/>
    <w:rsid w:val="0045116C"/>
    <w:rsid w:val="0045122D"/>
    <w:rsid w:val="004512C8"/>
    <w:rsid w:val="0045133A"/>
    <w:rsid w:val="00451510"/>
    <w:rsid w:val="004515F3"/>
    <w:rsid w:val="00451805"/>
    <w:rsid w:val="004518F8"/>
    <w:rsid w:val="00451984"/>
    <w:rsid w:val="004519D1"/>
    <w:rsid w:val="00451ACB"/>
    <w:rsid w:val="00451B19"/>
    <w:rsid w:val="00451C58"/>
    <w:rsid w:val="00451F76"/>
    <w:rsid w:val="00452049"/>
    <w:rsid w:val="00452067"/>
    <w:rsid w:val="0045208A"/>
    <w:rsid w:val="0045233D"/>
    <w:rsid w:val="004523BD"/>
    <w:rsid w:val="004523D1"/>
    <w:rsid w:val="004526C7"/>
    <w:rsid w:val="00452A3D"/>
    <w:rsid w:val="00453060"/>
    <w:rsid w:val="004530C1"/>
    <w:rsid w:val="00453342"/>
    <w:rsid w:val="004533BF"/>
    <w:rsid w:val="00453471"/>
    <w:rsid w:val="0045357E"/>
    <w:rsid w:val="00453877"/>
    <w:rsid w:val="0045397E"/>
    <w:rsid w:val="00453B62"/>
    <w:rsid w:val="00453DB8"/>
    <w:rsid w:val="00453F4A"/>
    <w:rsid w:val="00454142"/>
    <w:rsid w:val="004541E6"/>
    <w:rsid w:val="00454204"/>
    <w:rsid w:val="00454434"/>
    <w:rsid w:val="00454691"/>
    <w:rsid w:val="00454858"/>
    <w:rsid w:val="0045491C"/>
    <w:rsid w:val="00454A72"/>
    <w:rsid w:val="00454A80"/>
    <w:rsid w:val="00454AAF"/>
    <w:rsid w:val="00454AE5"/>
    <w:rsid w:val="00454BDB"/>
    <w:rsid w:val="00454CC1"/>
    <w:rsid w:val="00454D03"/>
    <w:rsid w:val="004551EF"/>
    <w:rsid w:val="004551F0"/>
    <w:rsid w:val="0045541C"/>
    <w:rsid w:val="00455441"/>
    <w:rsid w:val="0045562D"/>
    <w:rsid w:val="004558E9"/>
    <w:rsid w:val="00455B0D"/>
    <w:rsid w:val="00455D49"/>
    <w:rsid w:val="00455F63"/>
    <w:rsid w:val="00455FC3"/>
    <w:rsid w:val="00456032"/>
    <w:rsid w:val="0045617B"/>
    <w:rsid w:val="00456431"/>
    <w:rsid w:val="0045652E"/>
    <w:rsid w:val="00456622"/>
    <w:rsid w:val="0045666E"/>
    <w:rsid w:val="00456786"/>
    <w:rsid w:val="0045682C"/>
    <w:rsid w:val="004568AD"/>
    <w:rsid w:val="00456BCE"/>
    <w:rsid w:val="00456BDF"/>
    <w:rsid w:val="00456C1B"/>
    <w:rsid w:val="00456E00"/>
    <w:rsid w:val="00457051"/>
    <w:rsid w:val="004572EE"/>
    <w:rsid w:val="0045731D"/>
    <w:rsid w:val="004574DB"/>
    <w:rsid w:val="0045750D"/>
    <w:rsid w:val="00457518"/>
    <w:rsid w:val="00457700"/>
    <w:rsid w:val="004577DD"/>
    <w:rsid w:val="00457BBE"/>
    <w:rsid w:val="00457F15"/>
    <w:rsid w:val="00460016"/>
    <w:rsid w:val="0046001D"/>
    <w:rsid w:val="004600DD"/>
    <w:rsid w:val="00460184"/>
    <w:rsid w:val="00460480"/>
    <w:rsid w:val="004605C7"/>
    <w:rsid w:val="0046062D"/>
    <w:rsid w:val="004606CB"/>
    <w:rsid w:val="00460727"/>
    <w:rsid w:val="00460780"/>
    <w:rsid w:val="004607B3"/>
    <w:rsid w:val="004607FF"/>
    <w:rsid w:val="0046089A"/>
    <w:rsid w:val="004608B4"/>
    <w:rsid w:val="00460ABD"/>
    <w:rsid w:val="00460DFC"/>
    <w:rsid w:val="00461235"/>
    <w:rsid w:val="0046129A"/>
    <w:rsid w:val="00461435"/>
    <w:rsid w:val="00461452"/>
    <w:rsid w:val="004614E2"/>
    <w:rsid w:val="004617F6"/>
    <w:rsid w:val="00461A3A"/>
    <w:rsid w:val="00461A4F"/>
    <w:rsid w:val="00461A86"/>
    <w:rsid w:val="00461BE0"/>
    <w:rsid w:val="00461CB6"/>
    <w:rsid w:val="00461FE5"/>
    <w:rsid w:val="00462018"/>
    <w:rsid w:val="004620A8"/>
    <w:rsid w:val="0046216A"/>
    <w:rsid w:val="0046234B"/>
    <w:rsid w:val="0046238C"/>
    <w:rsid w:val="00462457"/>
    <w:rsid w:val="004624F5"/>
    <w:rsid w:val="0046286B"/>
    <w:rsid w:val="00462A34"/>
    <w:rsid w:val="00462B23"/>
    <w:rsid w:val="00462D1C"/>
    <w:rsid w:val="00462E2E"/>
    <w:rsid w:val="00462FF5"/>
    <w:rsid w:val="004630BC"/>
    <w:rsid w:val="0046314F"/>
    <w:rsid w:val="00463368"/>
    <w:rsid w:val="00463385"/>
    <w:rsid w:val="0046340C"/>
    <w:rsid w:val="00463503"/>
    <w:rsid w:val="004636EA"/>
    <w:rsid w:val="00463760"/>
    <w:rsid w:val="00463ACC"/>
    <w:rsid w:val="00463AE6"/>
    <w:rsid w:val="00463B18"/>
    <w:rsid w:val="00463DFF"/>
    <w:rsid w:val="00464117"/>
    <w:rsid w:val="00464126"/>
    <w:rsid w:val="004642C0"/>
    <w:rsid w:val="004643BA"/>
    <w:rsid w:val="0046498A"/>
    <w:rsid w:val="00464C03"/>
    <w:rsid w:val="00464CCC"/>
    <w:rsid w:val="00464CD3"/>
    <w:rsid w:val="00464F4B"/>
    <w:rsid w:val="0046508F"/>
    <w:rsid w:val="004650F9"/>
    <w:rsid w:val="00465313"/>
    <w:rsid w:val="0046557E"/>
    <w:rsid w:val="004655F1"/>
    <w:rsid w:val="0046566B"/>
    <w:rsid w:val="004657CA"/>
    <w:rsid w:val="00465851"/>
    <w:rsid w:val="004658BA"/>
    <w:rsid w:val="004658CC"/>
    <w:rsid w:val="00465F86"/>
    <w:rsid w:val="004661F2"/>
    <w:rsid w:val="004662D8"/>
    <w:rsid w:val="00466338"/>
    <w:rsid w:val="0046669E"/>
    <w:rsid w:val="004667FC"/>
    <w:rsid w:val="0046684E"/>
    <w:rsid w:val="00466A5C"/>
    <w:rsid w:val="00466B2B"/>
    <w:rsid w:val="00466B87"/>
    <w:rsid w:val="004672F1"/>
    <w:rsid w:val="004674D6"/>
    <w:rsid w:val="004675BA"/>
    <w:rsid w:val="00467605"/>
    <w:rsid w:val="00467641"/>
    <w:rsid w:val="00467837"/>
    <w:rsid w:val="00467841"/>
    <w:rsid w:val="004678AE"/>
    <w:rsid w:val="00467A1D"/>
    <w:rsid w:val="00467A98"/>
    <w:rsid w:val="00467BD2"/>
    <w:rsid w:val="00467D54"/>
    <w:rsid w:val="00467F20"/>
    <w:rsid w:val="00467FC5"/>
    <w:rsid w:val="004701B4"/>
    <w:rsid w:val="004701DB"/>
    <w:rsid w:val="004705AE"/>
    <w:rsid w:val="004705B0"/>
    <w:rsid w:val="004706D9"/>
    <w:rsid w:val="004706EF"/>
    <w:rsid w:val="004707E9"/>
    <w:rsid w:val="004707F8"/>
    <w:rsid w:val="00470886"/>
    <w:rsid w:val="00470A38"/>
    <w:rsid w:val="00470B6E"/>
    <w:rsid w:val="00470C4A"/>
    <w:rsid w:val="00470CC6"/>
    <w:rsid w:val="00470EE0"/>
    <w:rsid w:val="00471075"/>
    <w:rsid w:val="00471096"/>
    <w:rsid w:val="00471143"/>
    <w:rsid w:val="004712BD"/>
    <w:rsid w:val="004716DD"/>
    <w:rsid w:val="004716F9"/>
    <w:rsid w:val="00471817"/>
    <w:rsid w:val="00471A68"/>
    <w:rsid w:val="00471AEB"/>
    <w:rsid w:val="00471B54"/>
    <w:rsid w:val="00471BEB"/>
    <w:rsid w:val="00471CA3"/>
    <w:rsid w:val="00471FB8"/>
    <w:rsid w:val="0047206A"/>
    <w:rsid w:val="0047211F"/>
    <w:rsid w:val="00472386"/>
    <w:rsid w:val="004724E4"/>
    <w:rsid w:val="0047264E"/>
    <w:rsid w:val="00472730"/>
    <w:rsid w:val="004728F9"/>
    <w:rsid w:val="00472A42"/>
    <w:rsid w:val="00472A8E"/>
    <w:rsid w:val="00472AED"/>
    <w:rsid w:val="00472B01"/>
    <w:rsid w:val="00472C8F"/>
    <w:rsid w:val="00472CE0"/>
    <w:rsid w:val="00472CF3"/>
    <w:rsid w:val="00472DC2"/>
    <w:rsid w:val="00473190"/>
    <w:rsid w:val="00473636"/>
    <w:rsid w:val="004736A3"/>
    <w:rsid w:val="004736DB"/>
    <w:rsid w:val="004738D0"/>
    <w:rsid w:val="0047392E"/>
    <w:rsid w:val="00473BC7"/>
    <w:rsid w:val="00473CAF"/>
    <w:rsid w:val="00473E52"/>
    <w:rsid w:val="00473E88"/>
    <w:rsid w:val="00473F05"/>
    <w:rsid w:val="00473F81"/>
    <w:rsid w:val="0047409A"/>
    <w:rsid w:val="00474262"/>
    <w:rsid w:val="00474499"/>
    <w:rsid w:val="004744E9"/>
    <w:rsid w:val="00474535"/>
    <w:rsid w:val="00474555"/>
    <w:rsid w:val="004747A8"/>
    <w:rsid w:val="004748C4"/>
    <w:rsid w:val="00474961"/>
    <w:rsid w:val="0047497F"/>
    <w:rsid w:val="00474B2B"/>
    <w:rsid w:val="00474B74"/>
    <w:rsid w:val="00474BF9"/>
    <w:rsid w:val="00474C91"/>
    <w:rsid w:val="00474D29"/>
    <w:rsid w:val="00474F0D"/>
    <w:rsid w:val="00474F51"/>
    <w:rsid w:val="004750C7"/>
    <w:rsid w:val="004750E7"/>
    <w:rsid w:val="00475219"/>
    <w:rsid w:val="00475426"/>
    <w:rsid w:val="00475907"/>
    <w:rsid w:val="00475926"/>
    <w:rsid w:val="00475970"/>
    <w:rsid w:val="004759C1"/>
    <w:rsid w:val="004759C4"/>
    <w:rsid w:val="004759F3"/>
    <w:rsid w:val="00475A8C"/>
    <w:rsid w:val="00475BC5"/>
    <w:rsid w:val="00475BFA"/>
    <w:rsid w:val="00475C95"/>
    <w:rsid w:val="00476074"/>
    <w:rsid w:val="00476284"/>
    <w:rsid w:val="004762C4"/>
    <w:rsid w:val="0047652C"/>
    <w:rsid w:val="00476B88"/>
    <w:rsid w:val="00476F20"/>
    <w:rsid w:val="00476F88"/>
    <w:rsid w:val="0047717A"/>
    <w:rsid w:val="004775BB"/>
    <w:rsid w:val="004778F6"/>
    <w:rsid w:val="0047799E"/>
    <w:rsid w:val="004779FC"/>
    <w:rsid w:val="00477BDC"/>
    <w:rsid w:val="00477DEB"/>
    <w:rsid w:val="00477E19"/>
    <w:rsid w:val="00477FE6"/>
    <w:rsid w:val="00480353"/>
    <w:rsid w:val="00480771"/>
    <w:rsid w:val="004807A2"/>
    <w:rsid w:val="00480825"/>
    <w:rsid w:val="00480B99"/>
    <w:rsid w:val="00480C5B"/>
    <w:rsid w:val="00481027"/>
    <w:rsid w:val="00481198"/>
    <w:rsid w:val="00481455"/>
    <w:rsid w:val="0048157A"/>
    <w:rsid w:val="00481588"/>
    <w:rsid w:val="00481C5F"/>
    <w:rsid w:val="00481F54"/>
    <w:rsid w:val="0048200B"/>
    <w:rsid w:val="00482274"/>
    <w:rsid w:val="00482425"/>
    <w:rsid w:val="004824F6"/>
    <w:rsid w:val="00482847"/>
    <w:rsid w:val="00482B8A"/>
    <w:rsid w:val="00482BAC"/>
    <w:rsid w:val="00482C25"/>
    <w:rsid w:val="00482C7A"/>
    <w:rsid w:val="00482EB4"/>
    <w:rsid w:val="00482F35"/>
    <w:rsid w:val="00483062"/>
    <w:rsid w:val="004831CB"/>
    <w:rsid w:val="004836BB"/>
    <w:rsid w:val="0048397C"/>
    <w:rsid w:val="00483AB2"/>
    <w:rsid w:val="00483CE6"/>
    <w:rsid w:val="00483D70"/>
    <w:rsid w:val="00483E3D"/>
    <w:rsid w:val="00483EA1"/>
    <w:rsid w:val="00483EF9"/>
    <w:rsid w:val="00483F37"/>
    <w:rsid w:val="004840D1"/>
    <w:rsid w:val="00484152"/>
    <w:rsid w:val="004841DD"/>
    <w:rsid w:val="004841E6"/>
    <w:rsid w:val="00484206"/>
    <w:rsid w:val="004847C4"/>
    <w:rsid w:val="00484879"/>
    <w:rsid w:val="0048496A"/>
    <w:rsid w:val="004849D5"/>
    <w:rsid w:val="00484A3D"/>
    <w:rsid w:val="00484B4A"/>
    <w:rsid w:val="00484C18"/>
    <w:rsid w:val="00484C30"/>
    <w:rsid w:val="00484D91"/>
    <w:rsid w:val="00484E7C"/>
    <w:rsid w:val="00485078"/>
    <w:rsid w:val="00485205"/>
    <w:rsid w:val="00485746"/>
    <w:rsid w:val="004857AA"/>
    <w:rsid w:val="00485BF1"/>
    <w:rsid w:val="00485DAB"/>
    <w:rsid w:val="00485F5C"/>
    <w:rsid w:val="00485F76"/>
    <w:rsid w:val="00485FDC"/>
    <w:rsid w:val="00486410"/>
    <w:rsid w:val="00486975"/>
    <w:rsid w:val="00486AAF"/>
    <w:rsid w:val="00486D32"/>
    <w:rsid w:val="00487009"/>
    <w:rsid w:val="00487173"/>
    <w:rsid w:val="0048718B"/>
    <w:rsid w:val="0048743D"/>
    <w:rsid w:val="004876A3"/>
    <w:rsid w:val="00487723"/>
    <w:rsid w:val="00487841"/>
    <w:rsid w:val="004878E4"/>
    <w:rsid w:val="00487B05"/>
    <w:rsid w:val="00487FA8"/>
    <w:rsid w:val="0049001D"/>
    <w:rsid w:val="0049002A"/>
    <w:rsid w:val="004900B0"/>
    <w:rsid w:val="004900ED"/>
    <w:rsid w:val="004901A2"/>
    <w:rsid w:val="00490345"/>
    <w:rsid w:val="0049058A"/>
    <w:rsid w:val="004908A3"/>
    <w:rsid w:val="00490A01"/>
    <w:rsid w:val="00490B11"/>
    <w:rsid w:val="00490CBA"/>
    <w:rsid w:val="00490D38"/>
    <w:rsid w:val="00490DD3"/>
    <w:rsid w:val="00490E7E"/>
    <w:rsid w:val="0049101D"/>
    <w:rsid w:val="0049116D"/>
    <w:rsid w:val="004913CB"/>
    <w:rsid w:val="004914C2"/>
    <w:rsid w:val="004915CA"/>
    <w:rsid w:val="004915DA"/>
    <w:rsid w:val="004916E6"/>
    <w:rsid w:val="00491909"/>
    <w:rsid w:val="00491A6E"/>
    <w:rsid w:val="00491A94"/>
    <w:rsid w:val="00491B67"/>
    <w:rsid w:val="00491BD7"/>
    <w:rsid w:val="00491D8F"/>
    <w:rsid w:val="00491E3A"/>
    <w:rsid w:val="00492042"/>
    <w:rsid w:val="004921C0"/>
    <w:rsid w:val="00492259"/>
    <w:rsid w:val="00492760"/>
    <w:rsid w:val="004927AC"/>
    <w:rsid w:val="004927F5"/>
    <w:rsid w:val="00492813"/>
    <w:rsid w:val="0049284A"/>
    <w:rsid w:val="00492A26"/>
    <w:rsid w:val="00492A5D"/>
    <w:rsid w:val="00492BC8"/>
    <w:rsid w:val="00492C5F"/>
    <w:rsid w:val="00492CF9"/>
    <w:rsid w:val="00492DB3"/>
    <w:rsid w:val="00492DEE"/>
    <w:rsid w:val="004930CB"/>
    <w:rsid w:val="00493171"/>
    <w:rsid w:val="0049330B"/>
    <w:rsid w:val="004934B8"/>
    <w:rsid w:val="004935B9"/>
    <w:rsid w:val="004935EE"/>
    <w:rsid w:val="00493821"/>
    <w:rsid w:val="00493920"/>
    <w:rsid w:val="00493A1B"/>
    <w:rsid w:val="00493B6A"/>
    <w:rsid w:val="00493BB6"/>
    <w:rsid w:val="00493C24"/>
    <w:rsid w:val="00493EA5"/>
    <w:rsid w:val="00493EF5"/>
    <w:rsid w:val="00493F46"/>
    <w:rsid w:val="00493F7D"/>
    <w:rsid w:val="00494098"/>
    <w:rsid w:val="004941A0"/>
    <w:rsid w:val="004944BD"/>
    <w:rsid w:val="00494657"/>
    <w:rsid w:val="00494862"/>
    <w:rsid w:val="00494883"/>
    <w:rsid w:val="00494AEE"/>
    <w:rsid w:val="00494C4C"/>
    <w:rsid w:val="00494C9D"/>
    <w:rsid w:val="00494E7F"/>
    <w:rsid w:val="00494EA7"/>
    <w:rsid w:val="00495171"/>
    <w:rsid w:val="004953F5"/>
    <w:rsid w:val="00495481"/>
    <w:rsid w:val="004957B3"/>
    <w:rsid w:val="00495AA7"/>
    <w:rsid w:val="00495B09"/>
    <w:rsid w:val="00495C0A"/>
    <w:rsid w:val="00495E53"/>
    <w:rsid w:val="0049601B"/>
    <w:rsid w:val="004960BC"/>
    <w:rsid w:val="00496129"/>
    <w:rsid w:val="00496180"/>
    <w:rsid w:val="00496203"/>
    <w:rsid w:val="0049624D"/>
    <w:rsid w:val="00496454"/>
    <w:rsid w:val="004965B3"/>
    <w:rsid w:val="0049673E"/>
    <w:rsid w:val="00496BFC"/>
    <w:rsid w:val="00496C4F"/>
    <w:rsid w:val="00496CC3"/>
    <w:rsid w:val="00496E8D"/>
    <w:rsid w:val="00497160"/>
    <w:rsid w:val="00497722"/>
    <w:rsid w:val="004978B4"/>
    <w:rsid w:val="00497BCE"/>
    <w:rsid w:val="00497E10"/>
    <w:rsid w:val="00497ED4"/>
    <w:rsid w:val="00497FBD"/>
    <w:rsid w:val="00497FC8"/>
    <w:rsid w:val="004A0232"/>
    <w:rsid w:val="004A036D"/>
    <w:rsid w:val="004A05B9"/>
    <w:rsid w:val="004A05E4"/>
    <w:rsid w:val="004A06EF"/>
    <w:rsid w:val="004A0776"/>
    <w:rsid w:val="004A08AE"/>
    <w:rsid w:val="004A099D"/>
    <w:rsid w:val="004A0C0E"/>
    <w:rsid w:val="004A0C20"/>
    <w:rsid w:val="004A0C22"/>
    <w:rsid w:val="004A0E3D"/>
    <w:rsid w:val="004A0FF9"/>
    <w:rsid w:val="004A10AC"/>
    <w:rsid w:val="004A1125"/>
    <w:rsid w:val="004A1389"/>
    <w:rsid w:val="004A146F"/>
    <w:rsid w:val="004A160A"/>
    <w:rsid w:val="004A1730"/>
    <w:rsid w:val="004A17C6"/>
    <w:rsid w:val="004A1A39"/>
    <w:rsid w:val="004A1B94"/>
    <w:rsid w:val="004A1BA9"/>
    <w:rsid w:val="004A1D1F"/>
    <w:rsid w:val="004A1D2D"/>
    <w:rsid w:val="004A1E94"/>
    <w:rsid w:val="004A1EE0"/>
    <w:rsid w:val="004A21DA"/>
    <w:rsid w:val="004A2289"/>
    <w:rsid w:val="004A2847"/>
    <w:rsid w:val="004A2E46"/>
    <w:rsid w:val="004A2F0D"/>
    <w:rsid w:val="004A302F"/>
    <w:rsid w:val="004A30EF"/>
    <w:rsid w:val="004A32CC"/>
    <w:rsid w:val="004A330D"/>
    <w:rsid w:val="004A36B9"/>
    <w:rsid w:val="004A370B"/>
    <w:rsid w:val="004A3733"/>
    <w:rsid w:val="004A39EA"/>
    <w:rsid w:val="004A3AF9"/>
    <w:rsid w:val="004A3B48"/>
    <w:rsid w:val="004A3C44"/>
    <w:rsid w:val="004A3D06"/>
    <w:rsid w:val="004A3D40"/>
    <w:rsid w:val="004A3EEB"/>
    <w:rsid w:val="004A3F53"/>
    <w:rsid w:val="004A408D"/>
    <w:rsid w:val="004A4360"/>
    <w:rsid w:val="004A43D3"/>
    <w:rsid w:val="004A4452"/>
    <w:rsid w:val="004A45B2"/>
    <w:rsid w:val="004A49A0"/>
    <w:rsid w:val="004A49C2"/>
    <w:rsid w:val="004A49D2"/>
    <w:rsid w:val="004A4B69"/>
    <w:rsid w:val="004A4C43"/>
    <w:rsid w:val="004A4CBF"/>
    <w:rsid w:val="004A4D8B"/>
    <w:rsid w:val="004A4DC1"/>
    <w:rsid w:val="004A4E69"/>
    <w:rsid w:val="004A5361"/>
    <w:rsid w:val="004A53A1"/>
    <w:rsid w:val="004A53A5"/>
    <w:rsid w:val="004A53DB"/>
    <w:rsid w:val="004A5470"/>
    <w:rsid w:val="004A5530"/>
    <w:rsid w:val="004A5817"/>
    <w:rsid w:val="004A59E7"/>
    <w:rsid w:val="004A5CD7"/>
    <w:rsid w:val="004A5DFE"/>
    <w:rsid w:val="004A5EB5"/>
    <w:rsid w:val="004A5F08"/>
    <w:rsid w:val="004A6108"/>
    <w:rsid w:val="004A63A4"/>
    <w:rsid w:val="004A679F"/>
    <w:rsid w:val="004A68C5"/>
    <w:rsid w:val="004A68FE"/>
    <w:rsid w:val="004A6A69"/>
    <w:rsid w:val="004A6C70"/>
    <w:rsid w:val="004A6CB8"/>
    <w:rsid w:val="004A6E1F"/>
    <w:rsid w:val="004A6E22"/>
    <w:rsid w:val="004A6F70"/>
    <w:rsid w:val="004A7068"/>
    <w:rsid w:val="004A70A0"/>
    <w:rsid w:val="004A74D5"/>
    <w:rsid w:val="004A74ED"/>
    <w:rsid w:val="004A74FC"/>
    <w:rsid w:val="004A75D6"/>
    <w:rsid w:val="004A7604"/>
    <w:rsid w:val="004A76AE"/>
    <w:rsid w:val="004A7857"/>
    <w:rsid w:val="004A791B"/>
    <w:rsid w:val="004A7B4D"/>
    <w:rsid w:val="004A7E4C"/>
    <w:rsid w:val="004A7FE2"/>
    <w:rsid w:val="004B0478"/>
    <w:rsid w:val="004B0526"/>
    <w:rsid w:val="004B05F2"/>
    <w:rsid w:val="004B0C75"/>
    <w:rsid w:val="004B0D1D"/>
    <w:rsid w:val="004B0E34"/>
    <w:rsid w:val="004B0F49"/>
    <w:rsid w:val="004B1058"/>
    <w:rsid w:val="004B116A"/>
    <w:rsid w:val="004B11C9"/>
    <w:rsid w:val="004B121D"/>
    <w:rsid w:val="004B13AB"/>
    <w:rsid w:val="004B151B"/>
    <w:rsid w:val="004B1566"/>
    <w:rsid w:val="004B1623"/>
    <w:rsid w:val="004B179B"/>
    <w:rsid w:val="004B17A8"/>
    <w:rsid w:val="004B1B10"/>
    <w:rsid w:val="004B1B4B"/>
    <w:rsid w:val="004B1B6D"/>
    <w:rsid w:val="004B1F3B"/>
    <w:rsid w:val="004B20A0"/>
    <w:rsid w:val="004B22A0"/>
    <w:rsid w:val="004B2508"/>
    <w:rsid w:val="004B281F"/>
    <w:rsid w:val="004B2844"/>
    <w:rsid w:val="004B2AB0"/>
    <w:rsid w:val="004B2B2F"/>
    <w:rsid w:val="004B2BB2"/>
    <w:rsid w:val="004B2CC4"/>
    <w:rsid w:val="004B2F06"/>
    <w:rsid w:val="004B2FC8"/>
    <w:rsid w:val="004B302E"/>
    <w:rsid w:val="004B3078"/>
    <w:rsid w:val="004B3129"/>
    <w:rsid w:val="004B319B"/>
    <w:rsid w:val="004B321C"/>
    <w:rsid w:val="004B35B3"/>
    <w:rsid w:val="004B377A"/>
    <w:rsid w:val="004B37EB"/>
    <w:rsid w:val="004B3835"/>
    <w:rsid w:val="004B391C"/>
    <w:rsid w:val="004B3C49"/>
    <w:rsid w:val="004B3C91"/>
    <w:rsid w:val="004B3E47"/>
    <w:rsid w:val="004B40D9"/>
    <w:rsid w:val="004B4331"/>
    <w:rsid w:val="004B4646"/>
    <w:rsid w:val="004B4784"/>
    <w:rsid w:val="004B4948"/>
    <w:rsid w:val="004B4A09"/>
    <w:rsid w:val="004B4A72"/>
    <w:rsid w:val="004B4BFF"/>
    <w:rsid w:val="004B4E31"/>
    <w:rsid w:val="004B4EF7"/>
    <w:rsid w:val="004B4F7D"/>
    <w:rsid w:val="004B5061"/>
    <w:rsid w:val="004B50D0"/>
    <w:rsid w:val="004B5395"/>
    <w:rsid w:val="004B55AE"/>
    <w:rsid w:val="004B5A7D"/>
    <w:rsid w:val="004B5B1E"/>
    <w:rsid w:val="004B5CBD"/>
    <w:rsid w:val="004B5D30"/>
    <w:rsid w:val="004B5D7F"/>
    <w:rsid w:val="004B6203"/>
    <w:rsid w:val="004B634B"/>
    <w:rsid w:val="004B63BA"/>
    <w:rsid w:val="004B6424"/>
    <w:rsid w:val="004B649E"/>
    <w:rsid w:val="004B65F5"/>
    <w:rsid w:val="004B689D"/>
    <w:rsid w:val="004B6965"/>
    <w:rsid w:val="004B69EF"/>
    <w:rsid w:val="004B6EBA"/>
    <w:rsid w:val="004B7003"/>
    <w:rsid w:val="004B7255"/>
    <w:rsid w:val="004B7312"/>
    <w:rsid w:val="004B77B5"/>
    <w:rsid w:val="004B783D"/>
    <w:rsid w:val="004B7929"/>
    <w:rsid w:val="004B7A19"/>
    <w:rsid w:val="004B7AB7"/>
    <w:rsid w:val="004B7BD5"/>
    <w:rsid w:val="004B7F2E"/>
    <w:rsid w:val="004C0138"/>
    <w:rsid w:val="004C02FB"/>
    <w:rsid w:val="004C0376"/>
    <w:rsid w:val="004C04A8"/>
    <w:rsid w:val="004C04F7"/>
    <w:rsid w:val="004C055D"/>
    <w:rsid w:val="004C05A7"/>
    <w:rsid w:val="004C0623"/>
    <w:rsid w:val="004C0894"/>
    <w:rsid w:val="004C09D7"/>
    <w:rsid w:val="004C0B68"/>
    <w:rsid w:val="004C0BFE"/>
    <w:rsid w:val="004C0DC6"/>
    <w:rsid w:val="004C107E"/>
    <w:rsid w:val="004C1326"/>
    <w:rsid w:val="004C1693"/>
    <w:rsid w:val="004C169C"/>
    <w:rsid w:val="004C1AC1"/>
    <w:rsid w:val="004C1BF0"/>
    <w:rsid w:val="004C1D31"/>
    <w:rsid w:val="004C1DCB"/>
    <w:rsid w:val="004C1DE6"/>
    <w:rsid w:val="004C1E43"/>
    <w:rsid w:val="004C2113"/>
    <w:rsid w:val="004C22D4"/>
    <w:rsid w:val="004C2408"/>
    <w:rsid w:val="004C2574"/>
    <w:rsid w:val="004C26D9"/>
    <w:rsid w:val="004C2861"/>
    <w:rsid w:val="004C2B68"/>
    <w:rsid w:val="004C2BB9"/>
    <w:rsid w:val="004C2C07"/>
    <w:rsid w:val="004C2C97"/>
    <w:rsid w:val="004C2CC7"/>
    <w:rsid w:val="004C2D5E"/>
    <w:rsid w:val="004C2D66"/>
    <w:rsid w:val="004C2EE0"/>
    <w:rsid w:val="004C2F60"/>
    <w:rsid w:val="004C2F98"/>
    <w:rsid w:val="004C2FBA"/>
    <w:rsid w:val="004C3257"/>
    <w:rsid w:val="004C3361"/>
    <w:rsid w:val="004C33D2"/>
    <w:rsid w:val="004C3561"/>
    <w:rsid w:val="004C36E7"/>
    <w:rsid w:val="004C374C"/>
    <w:rsid w:val="004C3887"/>
    <w:rsid w:val="004C3A94"/>
    <w:rsid w:val="004C3C1B"/>
    <w:rsid w:val="004C3D61"/>
    <w:rsid w:val="004C3FF3"/>
    <w:rsid w:val="004C40CC"/>
    <w:rsid w:val="004C4243"/>
    <w:rsid w:val="004C4251"/>
    <w:rsid w:val="004C4372"/>
    <w:rsid w:val="004C4373"/>
    <w:rsid w:val="004C4611"/>
    <w:rsid w:val="004C4643"/>
    <w:rsid w:val="004C4650"/>
    <w:rsid w:val="004C494A"/>
    <w:rsid w:val="004C49C1"/>
    <w:rsid w:val="004C49E8"/>
    <w:rsid w:val="004C4E31"/>
    <w:rsid w:val="004C4F6E"/>
    <w:rsid w:val="004C5295"/>
    <w:rsid w:val="004C5480"/>
    <w:rsid w:val="004C5486"/>
    <w:rsid w:val="004C55D8"/>
    <w:rsid w:val="004C56A9"/>
    <w:rsid w:val="004C5855"/>
    <w:rsid w:val="004C59F0"/>
    <w:rsid w:val="004C5BBF"/>
    <w:rsid w:val="004C5C3C"/>
    <w:rsid w:val="004C6141"/>
    <w:rsid w:val="004C6265"/>
    <w:rsid w:val="004C63F9"/>
    <w:rsid w:val="004C64D7"/>
    <w:rsid w:val="004C64F1"/>
    <w:rsid w:val="004C6508"/>
    <w:rsid w:val="004C6542"/>
    <w:rsid w:val="004C65B0"/>
    <w:rsid w:val="004C6661"/>
    <w:rsid w:val="004C676F"/>
    <w:rsid w:val="004C6B45"/>
    <w:rsid w:val="004C6D0D"/>
    <w:rsid w:val="004C6D6E"/>
    <w:rsid w:val="004C7063"/>
    <w:rsid w:val="004C71E5"/>
    <w:rsid w:val="004C726A"/>
    <w:rsid w:val="004C7405"/>
    <w:rsid w:val="004C749A"/>
    <w:rsid w:val="004C74D5"/>
    <w:rsid w:val="004C7604"/>
    <w:rsid w:val="004C7651"/>
    <w:rsid w:val="004C76ED"/>
    <w:rsid w:val="004C7AB3"/>
    <w:rsid w:val="004C7B0D"/>
    <w:rsid w:val="004C7E9D"/>
    <w:rsid w:val="004C7F24"/>
    <w:rsid w:val="004C7FF1"/>
    <w:rsid w:val="004D002E"/>
    <w:rsid w:val="004D00C7"/>
    <w:rsid w:val="004D0149"/>
    <w:rsid w:val="004D0186"/>
    <w:rsid w:val="004D0284"/>
    <w:rsid w:val="004D032A"/>
    <w:rsid w:val="004D036D"/>
    <w:rsid w:val="004D03D2"/>
    <w:rsid w:val="004D045C"/>
    <w:rsid w:val="004D04E1"/>
    <w:rsid w:val="004D058A"/>
    <w:rsid w:val="004D07D6"/>
    <w:rsid w:val="004D0863"/>
    <w:rsid w:val="004D0D47"/>
    <w:rsid w:val="004D120A"/>
    <w:rsid w:val="004D1282"/>
    <w:rsid w:val="004D1351"/>
    <w:rsid w:val="004D1416"/>
    <w:rsid w:val="004D142F"/>
    <w:rsid w:val="004D14A7"/>
    <w:rsid w:val="004D1597"/>
    <w:rsid w:val="004D160C"/>
    <w:rsid w:val="004D1629"/>
    <w:rsid w:val="004D17AA"/>
    <w:rsid w:val="004D1882"/>
    <w:rsid w:val="004D1903"/>
    <w:rsid w:val="004D1A49"/>
    <w:rsid w:val="004D1A4B"/>
    <w:rsid w:val="004D1B36"/>
    <w:rsid w:val="004D1B62"/>
    <w:rsid w:val="004D1DD0"/>
    <w:rsid w:val="004D1E28"/>
    <w:rsid w:val="004D1EE3"/>
    <w:rsid w:val="004D1FD2"/>
    <w:rsid w:val="004D205F"/>
    <w:rsid w:val="004D2111"/>
    <w:rsid w:val="004D2178"/>
    <w:rsid w:val="004D2256"/>
    <w:rsid w:val="004D2306"/>
    <w:rsid w:val="004D24D5"/>
    <w:rsid w:val="004D253C"/>
    <w:rsid w:val="004D26D3"/>
    <w:rsid w:val="004D28D5"/>
    <w:rsid w:val="004D2923"/>
    <w:rsid w:val="004D2A6E"/>
    <w:rsid w:val="004D2B10"/>
    <w:rsid w:val="004D2B73"/>
    <w:rsid w:val="004D2CC5"/>
    <w:rsid w:val="004D2D2B"/>
    <w:rsid w:val="004D2E8E"/>
    <w:rsid w:val="004D2FA6"/>
    <w:rsid w:val="004D300C"/>
    <w:rsid w:val="004D31D2"/>
    <w:rsid w:val="004D3298"/>
    <w:rsid w:val="004D3305"/>
    <w:rsid w:val="004D346A"/>
    <w:rsid w:val="004D34C3"/>
    <w:rsid w:val="004D358F"/>
    <w:rsid w:val="004D36A5"/>
    <w:rsid w:val="004D3A73"/>
    <w:rsid w:val="004D3AE4"/>
    <w:rsid w:val="004D3B62"/>
    <w:rsid w:val="004D3B92"/>
    <w:rsid w:val="004D3C9A"/>
    <w:rsid w:val="004D3ED8"/>
    <w:rsid w:val="004D40A4"/>
    <w:rsid w:val="004D40F8"/>
    <w:rsid w:val="004D4256"/>
    <w:rsid w:val="004D43B9"/>
    <w:rsid w:val="004D4976"/>
    <w:rsid w:val="004D4A4E"/>
    <w:rsid w:val="004D4B5C"/>
    <w:rsid w:val="004D4B73"/>
    <w:rsid w:val="004D4D36"/>
    <w:rsid w:val="004D4FC6"/>
    <w:rsid w:val="004D50AF"/>
    <w:rsid w:val="004D522A"/>
    <w:rsid w:val="004D52A9"/>
    <w:rsid w:val="004D541B"/>
    <w:rsid w:val="004D551F"/>
    <w:rsid w:val="004D5886"/>
    <w:rsid w:val="004D58F1"/>
    <w:rsid w:val="004D592B"/>
    <w:rsid w:val="004D5D1E"/>
    <w:rsid w:val="004D5D5A"/>
    <w:rsid w:val="004D5E0B"/>
    <w:rsid w:val="004D5EBE"/>
    <w:rsid w:val="004D5F1D"/>
    <w:rsid w:val="004D60C9"/>
    <w:rsid w:val="004D61A3"/>
    <w:rsid w:val="004D6236"/>
    <w:rsid w:val="004D6278"/>
    <w:rsid w:val="004D6295"/>
    <w:rsid w:val="004D629D"/>
    <w:rsid w:val="004D62C5"/>
    <w:rsid w:val="004D62CA"/>
    <w:rsid w:val="004D63C8"/>
    <w:rsid w:val="004D6461"/>
    <w:rsid w:val="004D64E4"/>
    <w:rsid w:val="004D650F"/>
    <w:rsid w:val="004D65A5"/>
    <w:rsid w:val="004D666A"/>
    <w:rsid w:val="004D66DA"/>
    <w:rsid w:val="004D71F8"/>
    <w:rsid w:val="004D7659"/>
    <w:rsid w:val="004D78C1"/>
    <w:rsid w:val="004D7AA3"/>
    <w:rsid w:val="004D7ADB"/>
    <w:rsid w:val="004D7BAD"/>
    <w:rsid w:val="004D7C31"/>
    <w:rsid w:val="004D7CE6"/>
    <w:rsid w:val="004D7DC4"/>
    <w:rsid w:val="004D7F0E"/>
    <w:rsid w:val="004D7FAA"/>
    <w:rsid w:val="004E022E"/>
    <w:rsid w:val="004E02D4"/>
    <w:rsid w:val="004E04CD"/>
    <w:rsid w:val="004E0BBA"/>
    <w:rsid w:val="004E0BFE"/>
    <w:rsid w:val="004E0F11"/>
    <w:rsid w:val="004E0F40"/>
    <w:rsid w:val="004E0F76"/>
    <w:rsid w:val="004E1129"/>
    <w:rsid w:val="004E15B1"/>
    <w:rsid w:val="004E1679"/>
    <w:rsid w:val="004E17C3"/>
    <w:rsid w:val="004E1A3C"/>
    <w:rsid w:val="004E1C88"/>
    <w:rsid w:val="004E1C92"/>
    <w:rsid w:val="004E1E06"/>
    <w:rsid w:val="004E1E5B"/>
    <w:rsid w:val="004E1EA6"/>
    <w:rsid w:val="004E2054"/>
    <w:rsid w:val="004E2209"/>
    <w:rsid w:val="004E2486"/>
    <w:rsid w:val="004E2747"/>
    <w:rsid w:val="004E2771"/>
    <w:rsid w:val="004E2861"/>
    <w:rsid w:val="004E29CB"/>
    <w:rsid w:val="004E2DBA"/>
    <w:rsid w:val="004E2E7D"/>
    <w:rsid w:val="004E30D1"/>
    <w:rsid w:val="004E33B2"/>
    <w:rsid w:val="004E33D2"/>
    <w:rsid w:val="004E33DA"/>
    <w:rsid w:val="004E35B4"/>
    <w:rsid w:val="004E3797"/>
    <w:rsid w:val="004E384B"/>
    <w:rsid w:val="004E39BA"/>
    <w:rsid w:val="004E3A46"/>
    <w:rsid w:val="004E3A87"/>
    <w:rsid w:val="004E3BF9"/>
    <w:rsid w:val="004E3CF0"/>
    <w:rsid w:val="004E3EE5"/>
    <w:rsid w:val="004E3F2B"/>
    <w:rsid w:val="004E4185"/>
    <w:rsid w:val="004E420C"/>
    <w:rsid w:val="004E428F"/>
    <w:rsid w:val="004E43F9"/>
    <w:rsid w:val="004E46D5"/>
    <w:rsid w:val="004E4749"/>
    <w:rsid w:val="004E48AB"/>
    <w:rsid w:val="004E4B43"/>
    <w:rsid w:val="004E4B64"/>
    <w:rsid w:val="004E4B69"/>
    <w:rsid w:val="004E4CB9"/>
    <w:rsid w:val="004E4D4E"/>
    <w:rsid w:val="004E530D"/>
    <w:rsid w:val="004E53C1"/>
    <w:rsid w:val="004E53F6"/>
    <w:rsid w:val="004E565A"/>
    <w:rsid w:val="004E56E8"/>
    <w:rsid w:val="004E5726"/>
    <w:rsid w:val="004E5B83"/>
    <w:rsid w:val="004E5CED"/>
    <w:rsid w:val="004E5D29"/>
    <w:rsid w:val="004E5E5B"/>
    <w:rsid w:val="004E5FF7"/>
    <w:rsid w:val="004E62D5"/>
    <w:rsid w:val="004E64B8"/>
    <w:rsid w:val="004E6628"/>
    <w:rsid w:val="004E66AB"/>
    <w:rsid w:val="004E6982"/>
    <w:rsid w:val="004E6A2D"/>
    <w:rsid w:val="004E6B7F"/>
    <w:rsid w:val="004E6C86"/>
    <w:rsid w:val="004E6D7E"/>
    <w:rsid w:val="004E6EF8"/>
    <w:rsid w:val="004E7073"/>
    <w:rsid w:val="004E736E"/>
    <w:rsid w:val="004E757A"/>
    <w:rsid w:val="004E7601"/>
    <w:rsid w:val="004E778E"/>
    <w:rsid w:val="004E7C55"/>
    <w:rsid w:val="004E7DF7"/>
    <w:rsid w:val="004F0033"/>
    <w:rsid w:val="004F03DF"/>
    <w:rsid w:val="004F0537"/>
    <w:rsid w:val="004F0538"/>
    <w:rsid w:val="004F0549"/>
    <w:rsid w:val="004F054B"/>
    <w:rsid w:val="004F0644"/>
    <w:rsid w:val="004F06E8"/>
    <w:rsid w:val="004F0806"/>
    <w:rsid w:val="004F0900"/>
    <w:rsid w:val="004F0C5B"/>
    <w:rsid w:val="004F0CB4"/>
    <w:rsid w:val="004F0D3E"/>
    <w:rsid w:val="004F122F"/>
    <w:rsid w:val="004F17A4"/>
    <w:rsid w:val="004F1833"/>
    <w:rsid w:val="004F18A5"/>
    <w:rsid w:val="004F1989"/>
    <w:rsid w:val="004F1AAA"/>
    <w:rsid w:val="004F1B75"/>
    <w:rsid w:val="004F1C16"/>
    <w:rsid w:val="004F1C35"/>
    <w:rsid w:val="004F1D70"/>
    <w:rsid w:val="004F1E63"/>
    <w:rsid w:val="004F200F"/>
    <w:rsid w:val="004F211C"/>
    <w:rsid w:val="004F218D"/>
    <w:rsid w:val="004F2256"/>
    <w:rsid w:val="004F2447"/>
    <w:rsid w:val="004F24DC"/>
    <w:rsid w:val="004F2692"/>
    <w:rsid w:val="004F2841"/>
    <w:rsid w:val="004F2864"/>
    <w:rsid w:val="004F292D"/>
    <w:rsid w:val="004F2D00"/>
    <w:rsid w:val="004F2D3B"/>
    <w:rsid w:val="004F2FDB"/>
    <w:rsid w:val="004F3173"/>
    <w:rsid w:val="004F326A"/>
    <w:rsid w:val="004F3282"/>
    <w:rsid w:val="004F3470"/>
    <w:rsid w:val="004F35D0"/>
    <w:rsid w:val="004F373F"/>
    <w:rsid w:val="004F3744"/>
    <w:rsid w:val="004F38F6"/>
    <w:rsid w:val="004F3B74"/>
    <w:rsid w:val="004F3C70"/>
    <w:rsid w:val="004F3CE8"/>
    <w:rsid w:val="004F3F21"/>
    <w:rsid w:val="004F3F77"/>
    <w:rsid w:val="004F4117"/>
    <w:rsid w:val="004F4152"/>
    <w:rsid w:val="004F429C"/>
    <w:rsid w:val="004F4534"/>
    <w:rsid w:val="004F460B"/>
    <w:rsid w:val="004F4627"/>
    <w:rsid w:val="004F46B2"/>
    <w:rsid w:val="004F46C8"/>
    <w:rsid w:val="004F47C5"/>
    <w:rsid w:val="004F4C97"/>
    <w:rsid w:val="004F4D00"/>
    <w:rsid w:val="004F4D6A"/>
    <w:rsid w:val="004F4D91"/>
    <w:rsid w:val="004F4F83"/>
    <w:rsid w:val="004F4FC8"/>
    <w:rsid w:val="004F51B7"/>
    <w:rsid w:val="004F521A"/>
    <w:rsid w:val="004F52E2"/>
    <w:rsid w:val="004F57BC"/>
    <w:rsid w:val="004F59B6"/>
    <w:rsid w:val="004F5A1C"/>
    <w:rsid w:val="004F5AB5"/>
    <w:rsid w:val="004F5C15"/>
    <w:rsid w:val="004F5CF5"/>
    <w:rsid w:val="004F5E0A"/>
    <w:rsid w:val="004F5FC1"/>
    <w:rsid w:val="004F5FE6"/>
    <w:rsid w:val="004F6032"/>
    <w:rsid w:val="004F6160"/>
    <w:rsid w:val="004F6219"/>
    <w:rsid w:val="004F631E"/>
    <w:rsid w:val="004F63EC"/>
    <w:rsid w:val="004F6628"/>
    <w:rsid w:val="004F662F"/>
    <w:rsid w:val="004F6694"/>
    <w:rsid w:val="004F66F6"/>
    <w:rsid w:val="004F683A"/>
    <w:rsid w:val="004F6871"/>
    <w:rsid w:val="004F69E7"/>
    <w:rsid w:val="004F6A4C"/>
    <w:rsid w:val="004F6BA0"/>
    <w:rsid w:val="004F6CEF"/>
    <w:rsid w:val="004F6D06"/>
    <w:rsid w:val="004F6D87"/>
    <w:rsid w:val="004F6E99"/>
    <w:rsid w:val="004F702F"/>
    <w:rsid w:val="004F70A0"/>
    <w:rsid w:val="004F70F0"/>
    <w:rsid w:val="004F732A"/>
    <w:rsid w:val="004F73FC"/>
    <w:rsid w:val="004F742F"/>
    <w:rsid w:val="004F75A7"/>
    <w:rsid w:val="004F78F6"/>
    <w:rsid w:val="004F7A9E"/>
    <w:rsid w:val="004F7D02"/>
    <w:rsid w:val="004F7FA9"/>
    <w:rsid w:val="00500165"/>
    <w:rsid w:val="005003E0"/>
    <w:rsid w:val="00500664"/>
    <w:rsid w:val="005007D7"/>
    <w:rsid w:val="00500810"/>
    <w:rsid w:val="00500A5A"/>
    <w:rsid w:val="00500A8A"/>
    <w:rsid w:val="00500AAD"/>
    <w:rsid w:val="00500CFC"/>
    <w:rsid w:val="00501105"/>
    <w:rsid w:val="0050112F"/>
    <w:rsid w:val="005011CC"/>
    <w:rsid w:val="005011DF"/>
    <w:rsid w:val="00501314"/>
    <w:rsid w:val="0050138D"/>
    <w:rsid w:val="005014E0"/>
    <w:rsid w:val="005014F2"/>
    <w:rsid w:val="0050156D"/>
    <w:rsid w:val="005016CD"/>
    <w:rsid w:val="00501860"/>
    <w:rsid w:val="00501AC9"/>
    <w:rsid w:val="00501BD7"/>
    <w:rsid w:val="00501DC0"/>
    <w:rsid w:val="00501E99"/>
    <w:rsid w:val="00501F40"/>
    <w:rsid w:val="00501F48"/>
    <w:rsid w:val="00501F6E"/>
    <w:rsid w:val="005020C1"/>
    <w:rsid w:val="00502283"/>
    <w:rsid w:val="005024C6"/>
    <w:rsid w:val="00502ADB"/>
    <w:rsid w:val="00502B28"/>
    <w:rsid w:val="00502CA4"/>
    <w:rsid w:val="00502CF9"/>
    <w:rsid w:val="00502F0D"/>
    <w:rsid w:val="005033DD"/>
    <w:rsid w:val="00503596"/>
    <w:rsid w:val="005035B2"/>
    <w:rsid w:val="005035D6"/>
    <w:rsid w:val="00503787"/>
    <w:rsid w:val="005038EA"/>
    <w:rsid w:val="005039E6"/>
    <w:rsid w:val="00503AC2"/>
    <w:rsid w:val="00503B08"/>
    <w:rsid w:val="00503B54"/>
    <w:rsid w:val="00503BFF"/>
    <w:rsid w:val="00503DB1"/>
    <w:rsid w:val="00503DB7"/>
    <w:rsid w:val="00503EED"/>
    <w:rsid w:val="00503F0F"/>
    <w:rsid w:val="005040AD"/>
    <w:rsid w:val="00504181"/>
    <w:rsid w:val="00504208"/>
    <w:rsid w:val="00504216"/>
    <w:rsid w:val="0050443A"/>
    <w:rsid w:val="005044AD"/>
    <w:rsid w:val="0050454A"/>
    <w:rsid w:val="00504CFE"/>
    <w:rsid w:val="00504E5F"/>
    <w:rsid w:val="00504F2F"/>
    <w:rsid w:val="0050522C"/>
    <w:rsid w:val="005052C4"/>
    <w:rsid w:val="005055DD"/>
    <w:rsid w:val="005056DC"/>
    <w:rsid w:val="005057AB"/>
    <w:rsid w:val="0050582C"/>
    <w:rsid w:val="00505974"/>
    <w:rsid w:val="00505B36"/>
    <w:rsid w:val="00505BF1"/>
    <w:rsid w:val="00505D2A"/>
    <w:rsid w:val="00505D8A"/>
    <w:rsid w:val="00506019"/>
    <w:rsid w:val="0050647F"/>
    <w:rsid w:val="00506515"/>
    <w:rsid w:val="005066FC"/>
    <w:rsid w:val="00506B30"/>
    <w:rsid w:val="00506CD3"/>
    <w:rsid w:val="00506F43"/>
    <w:rsid w:val="00506FD5"/>
    <w:rsid w:val="005070C4"/>
    <w:rsid w:val="005073AE"/>
    <w:rsid w:val="005075FD"/>
    <w:rsid w:val="005077F5"/>
    <w:rsid w:val="00507C33"/>
    <w:rsid w:val="00507C53"/>
    <w:rsid w:val="00507DBB"/>
    <w:rsid w:val="00507DCA"/>
    <w:rsid w:val="00507F82"/>
    <w:rsid w:val="00507FC3"/>
    <w:rsid w:val="00507FF9"/>
    <w:rsid w:val="005100FF"/>
    <w:rsid w:val="00510173"/>
    <w:rsid w:val="0051028F"/>
    <w:rsid w:val="00510637"/>
    <w:rsid w:val="005106E5"/>
    <w:rsid w:val="0051080C"/>
    <w:rsid w:val="005108B3"/>
    <w:rsid w:val="00510CB8"/>
    <w:rsid w:val="00510CE1"/>
    <w:rsid w:val="00510E98"/>
    <w:rsid w:val="00510EAC"/>
    <w:rsid w:val="00510F84"/>
    <w:rsid w:val="0051116A"/>
    <w:rsid w:val="005111CE"/>
    <w:rsid w:val="005111E3"/>
    <w:rsid w:val="00511425"/>
    <w:rsid w:val="005115AC"/>
    <w:rsid w:val="005115B3"/>
    <w:rsid w:val="00511692"/>
    <w:rsid w:val="00511878"/>
    <w:rsid w:val="0051195C"/>
    <w:rsid w:val="00511D41"/>
    <w:rsid w:val="00511FDD"/>
    <w:rsid w:val="005122A9"/>
    <w:rsid w:val="00512341"/>
    <w:rsid w:val="005123F9"/>
    <w:rsid w:val="00512438"/>
    <w:rsid w:val="0051251D"/>
    <w:rsid w:val="005125B5"/>
    <w:rsid w:val="00512978"/>
    <w:rsid w:val="00512DC1"/>
    <w:rsid w:val="00512FE2"/>
    <w:rsid w:val="0051306B"/>
    <w:rsid w:val="0051321B"/>
    <w:rsid w:val="00513506"/>
    <w:rsid w:val="00513549"/>
    <w:rsid w:val="0051360A"/>
    <w:rsid w:val="00513618"/>
    <w:rsid w:val="005136CF"/>
    <w:rsid w:val="00513813"/>
    <w:rsid w:val="005138CF"/>
    <w:rsid w:val="00513B02"/>
    <w:rsid w:val="00513C32"/>
    <w:rsid w:val="00513D4D"/>
    <w:rsid w:val="00513E64"/>
    <w:rsid w:val="00514124"/>
    <w:rsid w:val="00514500"/>
    <w:rsid w:val="0051455F"/>
    <w:rsid w:val="00514790"/>
    <w:rsid w:val="0051481D"/>
    <w:rsid w:val="005148A6"/>
    <w:rsid w:val="00514941"/>
    <w:rsid w:val="00514947"/>
    <w:rsid w:val="00514C85"/>
    <w:rsid w:val="00514CD7"/>
    <w:rsid w:val="00514D55"/>
    <w:rsid w:val="00514E58"/>
    <w:rsid w:val="00514EBA"/>
    <w:rsid w:val="00514EF9"/>
    <w:rsid w:val="00514F9D"/>
    <w:rsid w:val="0051501E"/>
    <w:rsid w:val="005150AC"/>
    <w:rsid w:val="0051514D"/>
    <w:rsid w:val="0051527B"/>
    <w:rsid w:val="0051584C"/>
    <w:rsid w:val="00515C75"/>
    <w:rsid w:val="00515D0E"/>
    <w:rsid w:val="005162A0"/>
    <w:rsid w:val="00516472"/>
    <w:rsid w:val="00516547"/>
    <w:rsid w:val="00516863"/>
    <w:rsid w:val="00516B5F"/>
    <w:rsid w:val="00516D60"/>
    <w:rsid w:val="00516F3D"/>
    <w:rsid w:val="00516F64"/>
    <w:rsid w:val="00517114"/>
    <w:rsid w:val="00517186"/>
    <w:rsid w:val="00517432"/>
    <w:rsid w:val="00517522"/>
    <w:rsid w:val="00517B2B"/>
    <w:rsid w:val="00517C14"/>
    <w:rsid w:val="00517C4E"/>
    <w:rsid w:val="00517EF4"/>
    <w:rsid w:val="00517F12"/>
    <w:rsid w:val="00517F2D"/>
    <w:rsid w:val="00517FEF"/>
    <w:rsid w:val="0051F4D0"/>
    <w:rsid w:val="0052002B"/>
    <w:rsid w:val="0052012D"/>
    <w:rsid w:val="0052015C"/>
    <w:rsid w:val="00520222"/>
    <w:rsid w:val="00520351"/>
    <w:rsid w:val="0052038B"/>
    <w:rsid w:val="00520408"/>
    <w:rsid w:val="0052072C"/>
    <w:rsid w:val="005208CC"/>
    <w:rsid w:val="0052090C"/>
    <w:rsid w:val="00520A33"/>
    <w:rsid w:val="00520ECD"/>
    <w:rsid w:val="00520F1C"/>
    <w:rsid w:val="00520F64"/>
    <w:rsid w:val="00521052"/>
    <w:rsid w:val="005212A6"/>
    <w:rsid w:val="00521347"/>
    <w:rsid w:val="0052135F"/>
    <w:rsid w:val="005213B3"/>
    <w:rsid w:val="005213C7"/>
    <w:rsid w:val="0052156A"/>
    <w:rsid w:val="00521676"/>
    <w:rsid w:val="005216BE"/>
    <w:rsid w:val="005218C0"/>
    <w:rsid w:val="00521B4F"/>
    <w:rsid w:val="00521C07"/>
    <w:rsid w:val="00521C11"/>
    <w:rsid w:val="00521C13"/>
    <w:rsid w:val="00521C22"/>
    <w:rsid w:val="00521C8D"/>
    <w:rsid w:val="00522119"/>
    <w:rsid w:val="005221DD"/>
    <w:rsid w:val="00522243"/>
    <w:rsid w:val="00522340"/>
    <w:rsid w:val="005223B3"/>
    <w:rsid w:val="005224D3"/>
    <w:rsid w:val="0052250F"/>
    <w:rsid w:val="00522923"/>
    <w:rsid w:val="00522A76"/>
    <w:rsid w:val="00522C45"/>
    <w:rsid w:val="00522E16"/>
    <w:rsid w:val="00522ED6"/>
    <w:rsid w:val="00522FD7"/>
    <w:rsid w:val="00523003"/>
    <w:rsid w:val="005230E6"/>
    <w:rsid w:val="005232F7"/>
    <w:rsid w:val="00523379"/>
    <w:rsid w:val="005233B7"/>
    <w:rsid w:val="0052350E"/>
    <w:rsid w:val="0052369F"/>
    <w:rsid w:val="005237E3"/>
    <w:rsid w:val="0052383A"/>
    <w:rsid w:val="005238A6"/>
    <w:rsid w:val="00523912"/>
    <w:rsid w:val="00523AA3"/>
    <w:rsid w:val="00523AFB"/>
    <w:rsid w:val="00523EBD"/>
    <w:rsid w:val="00523EDE"/>
    <w:rsid w:val="00523F24"/>
    <w:rsid w:val="00523F99"/>
    <w:rsid w:val="0052404C"/>
    <w:rsid w:val="0052419E"/>
    <w:rsid w:val="0052432C"/>
    <w:rsid w:val="00524373"/>
    <w:rsid w:val="0052456F"/>
    <w:rsid w:val="00524575"/>
    <w:rsid w:val="005248BB"/>
    <w:rsid w:val="00524AE3"/>
    <w:rsid w:val="00524DF2"/>
    <w:rsid w:val="005250FB"/>
    <w:rsid w:val="00525107"/>
    <w:rsid w:val="005251F7"/>
    <w:rsid w:val="00525455"/>
    <w:rsid w:val="005254C3"/>
    <w:rsid w:val="005256BF"/>
    <w:rsid w:val="0052574D"/>
    <w:rsid w:val="00525B10"/>
    <w:rsid w:val="00525C60"/>
    <w:rsid w:val="00525D02"/>
    <w:rsid w:val="00525E6D"/>
    <w:rsid w:val="00525FDA"/>
    <w:rsid w:val="00526036"/>
    <w:rsid w:val="00526037"/>
    <w:rsid w:val="00526250"/>
    <w:rsid w:val="00526264"/>
    <w:rsid w:val="00526359"/>
    <w:rsid w:val="0052640E"/>
    <w:rsid w:val="005266D5"/>
    <w:rsid w:val="00526784"/>
    <w:rsid w:val="00526924"/>
    <w:rsid w:val="00526ACE"/>
    <w:rsid w:val="00526B18"/>
    <w:rsid w:val="00526B61"/>
    <w:rsid w:val="00526E60"/>
    <w:rsid w:val="00526EDF"/>
    <w:rsid w:val="005271E2"/>
    <w:rsid w:val="005273A9"/>
    <w:rsid w:val="00527467"/>
    <w:rsid w:val="005276CA"/>
    <w:rsid w:val="00527721"/>
    <w:rsid w:val="00527859"/>
    <w:rsid w:val="00527A32"/>
    <w:rsid w:val="00527AE5"/>
    <w:rsid w:val="00527B92"/>
    <w:rsid w:val="00527E80"/>
    <w:rsid w:val="00527F96"/>
    <w:rsid w:val="005300D6"/>
    <w:rsid w:val="0053033B"/>
    <w:rsid w:val="005303A4"/>
    <w:rsid w:val="005303FF"/>
    <w:rsid w:val="005305F8"/>
    <w:rsid w:val="0053079E"/>
    <w:rsid w:val="00530872"/>
    <w:rsid w:val="005308C1"/>
    <w:rsid w:val="005308E8"/>
    <w:rsid w:val="0053090C"/>
    <w:rsid w:val="005309BA"/>
    <w:rsid w:val="00530A2F"/>
    <w:rsid w:val="00530CAD"/>
    <w:rsid w:val="00530D50"/>
    <w:rsid w:val="00530E64"/>
    <w:rsid w:val="00530FA8"/>
    <w:rsid w:val="00531025"/>
    <w:rsid w:val="00531059"/>
    <w:rsid w:val="005310D6"/>
    <w:rsid w:val="0053110B"/>
    <w:rsid w:val="005311DF"/>
    <w:rsid w:val="00531344"/>
    <w:rsid w:val="00531450"/>
    <w:rsid w:val="005314E4"/>
    <w:rsid w:val="00531540"/>
    <w:rsid w:val="00531C14"/>
    <w:rsid w:val="00531C81"/>
    <w:rsid w:val="00531DF3"/>
    <w:rsid w:val="00531F4F"/>
    <w:rsid w:val="005320D6"/>
    <w:rsid w:val="0053214B"/>
    <w:rsid w:val="005321B4"/>
    <w:rsid w:val="005324CA"/>
    <w:rsid w:val="005325C4"/>
    <w:rsid w:val="005325D0"/>
    <w:rsid w:val="00532648"/>
    <w:rsid w:val="00532666"/>
    <w:rsid w:val="005328C4"/>
    <w:rsid w:val="005329CE"/>
    <w:rsid w:val="00532D7F"/>
    <w:rsid w:val="00532F5E"/>
    <w:rsid w:val="005331C1"/>
    <w:rsid w:val="0053321A"/>
    <w:rsid w:val="0053352E"/>
    <w:rsid w:val="00533601"/>
    <w:rsid w:val="0053389A"/>
    <w:rsid w:val="00533BD1"/>
    <w:rsid w:val="00533F2E"/>
    <w:rsid w:val="005340BE"/>
    <w:rsid w:val="005343B9"/>
    <w:rsid w:val="005343E5"/>
    <w:rsid w:val="005344A6"/>
    <w:rsid w:val="0053458E"/>
    <w:rsid w:val="005347F8"/>
    <w:rsid w:val="00534835"/>
    <w:rsid w:val="0053486E"/>
    <w:rsid w:val="00534DFA"/>
    <w:rsid w:val="00534FF7"/>
    <w:rsid w:val="00535036"/>
    <w:rsid w:val="00535189"/>
    <w:rsid w:val="005351D8"/>
    <w:rsid w:val="00535455"/>
    <w:rsid w:val="0053552B"/>
    <w:rsid w:val="00535560"/>
    <w:rsid w:val="005355D0"/>
    <w:rsid w:val="00535690"/>
    <w:rsid w:val="00535A1B"/>
    <w:rsid w:val="00535C54"/>
    <w:rsid w:val="00535E53"/>
    <w:rsid w:val="00535EB9"/>
    <w:rsid w:val="00535F8D"/>
    <w:rsid w:val="005361E0"/>
    <w:rsid w:val="005361E1"/>
    <w:rsid w:val="00536284"/>
    <w:rsid w:val="005362D4"/>
    <w:rsid w:val="00536464"/>
    <w:rsid w:val="005364DD"/>
    <w:rsid w:val="00536523"/>
    <w:rsid w:val="00536586"/>
    <w:rsid w:val="0053662E"/>
    <w:rsid w:val="005368A8"/>
    <w:rsid w:val="0053691F"/>
    <w:rsid w:val="00536AED"/>
    <w:rsid w:val="00536AF4"/>
    <w:rsid w:val="00536C68"/>
    <w:rsid w:val="00536DE3"/>
    <w:rsid w:val="00536E3F"/>
    <w:rsid w:val="00536EB6"/>
    <w:rsid w:val="00536F00"/>
    <w:rsid w:val="00536FB9"/>
    <w:rsid w:val="005371A3"/>
    <w:rsid w:val="0053725F"/>
    <w:rsid w:val="005372B0"/>
    <w:rsid w:val="00537402"/>
    <w:rsid w:val="005374B7"/>
    <w:rsid w:val="00537B49"/>
    <w:rsid w:val="00537C97"/>
    <w:rsid w:val="00537ECA"/>
    <w:rsid w:val="00537FB4"/>
    <w:rsid w:val="00540201"/>
    <w:rsid w:val="00540362"/>
    <w:rsid w:val="00540414"/>
    <w:rsid w:val="005404E3"/>
    <w:rsid w:val="00540544"/>
    <w:rsid w:val="00540555"/>
    <w:rsid w:val="0054056A"/>
    <w:rsid w:val="00540591"/>
    <w:rsid w:val="005405AE"/>
    <w:rsid w:val="00540729"/>
    <w:rsid w:val="00540816"/>
    <w:rsid w:val="0054096A"/>
    <w:rsid w:val="005409FD"/>
    <w:rsid w:val="00540BCE"/>
    <w:rsid w:val="00540CE6"/>
    <w:rsid w:val="00540D47"/>
    <w:rsid w:val="00540E2D"/>
    <w:rsid w:val="00540E8C"/>
    <w:rsid w:val="00540E96"/>
    <w:rsid w:val="00541010"/>
    <w:rsid w:val="005410C8"/>
    <w:rsid w:val="00541204"/>
    <w:rsid w:val="00541211"/>
    <w:rsid w:val="0054124A"/>
    <w:rsid w:val="0054138F"/>
    <w:rsid w:val="005414E5"/>
    <w:rsid w:val="00541524"/>
    <w:rsid w:val="0054183B"/>
    <w:rsid w:val="00541847"/>
    <w:rsid w:val="00541AB7"/>
    <w:rsid w:val="00541F75"/>
    <w:rsid w:val="0054203A"/>
    <w:rsid w:val="00542094"/>
    <w:rsid w:val="00542197"/>
    <w:rsid w:val="005425A9"/>
    <w:rsid w:val="005427C0"/>
    <w:rsid w:val="005428A4"/>
    <w:rsid w:val="005428C1"/>
    <w:rsid w:val="005429A9"/>
    <w:rsid w:val="00542D7D"/>
    <w:rsid w:val="00542F69"/>
    <w:rsid w:val="005430F1"/>
    <w:rsid w:val="0054312C"/>
    <w:rsid w:val="0054333E"/>
    <w:rsid w:val="005434D6"/>
    <w:rsid w:val="0054357E"/>
    <w:rsid w:val="00543771"/>
    <w:rsid w:val="005437E0"/>
    <w:rsid w:val="00543806"/>
    <w:rsid w:val="00543B7C"/>
    <w:rsid w:val="00543C09"/>
    <w:rsid w:val="00543C25"/>
    <w:rsid w:val="00543D30"/>
    <w:rsid w:val="00543D8C"/>
    <w:rsid w:val="00543F98"/>
    <w:rsid w:val="00543FC4"/>
    <w:rsid w:val="005443B3"/>
    <w:rsid w:val="0054471D"/>
    <w:rsid w:val="005447D6"/>
    <w:rsid w:val="00544C0A"/>
    <w:rsid w:val="00544FD6"/>
    <w:rsid w:val="00545091"/>
    <w:rsid w:val="005453BB"/>
    <w:rsid w:val="005453CA"/>
    <w:rsid w:val="005453F2"/>
    <w:rsid w:val="005454EB"/>
    <w:rsid w:val="00545924"/>
    <w:rsid w:val="005459FA"/>
    <w:rsid w:val="00545CE8"/>
    <w:rsid w:val="00545F8B"/>
    <w:rsid w:val="00546149"/>
    <w:rsid w:val="005461F5"/>
    <w:rsid w:val="00546268"/>
    <w:rsid w:val="00546612"/>
    <w:rsid w:val="00546749"/>
    <w:rsid w:val="005467FB"/>
    <w:rsid w:val="0054691F"/>
    <w:rsid w:val="005469DE"/>
    <w:rsid w:val="00546D65"/>
    <w:rsid w:val="00546EE4"/>
    <w:rsid w:val="00546FA0"/>
    <w:rsid w:val="00547045"/>
    <w:rsid w:val="00547350"/>
    <w:rsid w:val="00547460"/>
    <w:rsid w:val="005474BE"/>
    <w:rsid w:val="00547761"/>
    <w:rsid w:val="0054794F"/>
    <w:rsid w:val="00547A6F"/>
    <w:rsid w:val="00547C4A"/>
    <w:rsid w:val="00547D3B"/>
    <w:rsid w:val="00547DD3"/>
    <w:rsid w:val="00547FF2"/>
    <w:rsid w:val="0055012F"/>
    <w:rsid w:val="0055016F"/>
    <w:rsid w:val="00550418"/>
    <w:rsid w:val="00550795"/>
    <w:rsid w:val="00550874"/>
    <w:rsid w:val="0055095D"/>
    <w:rsid w:val="0055099E"/>
    <w:rsid w:val="005509D9"/>
    <w:rsid w:val="00550AE8"/>
    <w:rsid w:val="00550C10"/>
    <w:rsid w:val="00550F5B"/>
    <w:rsid w:val="00550F5E"/>
    <w:rsid w:val="005512A1"/>
    <w:rsid w:val="0055138C"/>
    <w:rsid w:val="005513A2"/>
    <w:rsid w:val="0055148E"/>
    <w:rsid w:val="00551676"/>
    <w:rsid w:val="005516AD"/>
    <w:rsid w:val="00551BF8"/>
    <w:rsid w:val="00551C16"/>
    <w:rsid w:val="00551CD7"/>
    <w:rsid w:val="00551F43"/>
    <w:rsid w:val="005520FD"/>
    <w:rsid w:val="005521DD"/>
    <w:rsid w:val="005521F7"/>
    <w:rsid w:val="00552226"/>
    <w:rsid w:val="0055238B"/>
    <w:rsid w:val="0055245A"/>
    <w:rsid w:val="0055260C"/>
    <w:rsid w:val="00552705"/>
    <w:rsid w:val="005529F5"/>
    <w:rsid w:val="00552A5B"/>
    <w:rsid w:val="00552AB7"/>
    <w:rsid w:val="00552BD1"/>
    <w:rsid w:val="00552C29"/>
    <w:rsid w:val="00552FA6"/>
    <w:rsid w:val="005531DF"/>
    <w:rsid w:val="0055341A"/>
    <w:rsid w:val="00553557"/>
    <w:rsid w:val="00553757"/>
    <w:rsid w:val="00553830"/>
    <w:rsid w:val="00553B07"/>
    <w:rsid w:val="00553B3F"/>
    <w:rsid w:val="00553BAA"/>
    <w:rsid w:val="00553BCE"/>
    <w:rsid w:val="00553BD1"/>
    <w:rsid w:val="00553C12"/>
    <w:rsid w:val="00553C36"/>
    <w:rsid w:val="00553EA1"/>
    <w:rsid w:val="00553FA2"/>
    <w:rsid w:val="005542A1"/>
    <w:rsid w:val="00554311"/>
    <w:rsid w:val="00554445"/>
    <w:rsid w:val="00554475"/>
    <w:rsid w:val="005545FF"/>
    <w:rsid w:val="0055462B"/>
    <w:rsid w:val="005548BC"/>
    <w:rsid w:val="00554C58"/>
    <w:rsid w:val="00554D5F"/>
    <w:rsid w:val="00554F6B"/>
    <w:rsid w:val="00555069"/>
    <w:rsid w:val="005550D8"/>
    <w:rsid w:val="0055524E"/>
    <w:rsid w:val="0055525D"/>
    <w:rsid w:val="005552D7"/>
    <w:rsid w:val="00555342"/>
    <w:rsid w:val="0055536A"/>
    <w:rsid w:val="00555380"/>
    <w:rsid w:val="005553DD"/>
    <w:rsid w:val="005554F5"/>
    <w:rsid w:val="00555673"/>
    <w:rsid w:val="00555762"/>
    <w:rsid w:val="00555BEA"/>
    <w:rsid w:val="00555D4F"/>
    <w:rsid w:val="00555D90"/>
    <w:rsid w:val="00555F89"/>
    <w:rsid w:val="00555FB2"/>
    <w:rsid w:val="00555FEA"/>
    <w:rsid w:val="00556022"/>
    <w:rsid w:val="00556078"/>
    <w:rsid w:val="0055616E"/>
    <w:rsid w:val="0055628B"/>
    <w:rsid w:val="005562E5"/>
    <w:rsid w:val="005563C3"/>
    <w:rsid w:val="005563F8"/>
    <w:rsid w:val="005564EF"/>
    <w:rsid w:val="00556501"/>
    <w:rsid w:val="00556506"/>
    <w:rsid w:val="00556519"/>
    <w:rsid w:val="00556711"/>
    <w:rsid w:val="0055673D"/>
    <w:rsid w:val="005567F2"/>
    <w:rsid w:val="005568F6"/>
    <w:rsid w:val="00556901"/>
    <w:rsid w:val="005569F4"/>
    <w:rsid w:val="00556AAD"/>
    <w:rsid w:val="00556C73"/>
    <w:rsid w:val="00556C7E"/>
    <w:rsid w:val="00556FD4"/>
    <w:rsid w:val="005571C8"/>
    <w:rsid w:val="005571DB"/>
    <w:rsid w:val="00557349"/>
    <w:rsid w:val="005575A1"/>
    <w:rsid w:val="005576B7"/>
    <w:rsid w:val="005578E5"/>
    <w:rsid w:val="00557B44"/>
    <w:rsid w:val="00557DB6"/>
    <w:rsid w:val="00557EB7"/>
    <w:rsid w:val="00557F3E"/>
    <w:rsid w:val="005600B2"/>
    <w:rsid w:val="00560198"/>
    <w:rsid w:val="0056019B"/>
    <w:rsid w:val="0056029F"/>
    <w:rsid w:val="00560345"/>
    <w:rsid w:val="005605DF"/>
    <w:rsid w:val="0056080C"/>
    <w:rsid w:val="00560B8E"/>
    <w:rsid w:val="00560C71"/>
    <w:rsid w:val="00560E26"/>
    <w:rsid w:val="00560E8F"/>
    <w:rsid w:val="00560FC3"/>
    <w:rsid w:val="005610F1"/>
    <w:rsid w:val="0056131A"/>
    <w:rsid w:val="005613B3"/>
    <w:rsid w:val="0056146E"/>
    <w:rsid w:val="005615DE"/>
    <w:rsid w:val="00561686"/>
    <w:rsid w:val="0056173D"/>
    <w:rsid w:val="0056179C"/>
    <w:rsid w:val="00561847"/>
    <w:rsid w:val="00561A09"/>
    <w:rsid w:val="00561AF0"/>
    <w:rsid w:val="00561C86"/>
    <w:rsid w:val="00561D13"/>
    <w:rsid w:val="00561DF7"/>
    <w:rsid w:val="00561E2A"/>
    <w:rsid w:val="005620EA"/>
    <w:rsid w:val="00562107"/>
    <w:rsid w:val="00562123"/>
    <w:rsid w:val="005624DF"/>
    <w:rsid w:val="00562593"/>
    <w:rsid w:val="0056260C"/>
    <w:rsid w:val="005627AC"/>
    <w:rsid w:val="00562BD8"/>
    <w:rsid w:val="00562BDF"/>
    <w:rsid w:val="00562C9D"/>
    <w:rsid w:val="00562D03"/>
    <w:rsid w:val="00562D49"/>
    <w:rsid w:val="00562D73"/>
    <w:rsid w:val="00562DFF"/>
    <w:rsid w:val="00562E2D"/>
    <w:rsid w:val="00562F07"/>
    <w:rsid w:val="00563041"/>
    <w:rsid w:val="005630A2"/>
    <w:rsid w:val="00563168"/>
    <w:rsid w:val="00563199"/>
    <w:rsid w:val="00563300"/>
    <w:rsid w:val="0056335C"/>
    <w:rsid w:val="00563665"/>
    <w:rsid w:val="005637CA"/>
    <w:rsid w:val="00563961"/>
    <w:rsid w:val="00563BDD"/>
    <w:rsid w:val="00563D90"/>
    <w:rsid w:val="00563DFE"/>
    <w:rsid w:val="00563EC2"/>
    <w:rsid w:val="005640EC"/>
    <w:rsid w:val="0056419D"/>
    <w:rsid w:val="005641D7"/>
    <w:rsid w:val="005642FD"/>
    <w:rsid w:val="00564649"/>
    <w:rsid w:val="00564799"/>
    <w:rsid w:val="0056482D"/>
    <w:rsid w:val="00564836"/>
    <w:rsid w:val="00564955"/>
    <w:rsid w:val="0056498F"/>
    <w:rsid w:val="005649EA"/>
    <w:rsid w:val="00564AE0"/>
    <w:rsid w:val="00564C20"/>
    <w:rsid w:val="00564D61"/>
    <w:rsid w:val="00564EBC"/>
    <w:rsid w:val="0056500B"/>
    <w:rsid w:val="00565097"/>
    <w:rsid w:val="005650CC"/>
    <w:rsid w:val="005652F1"/>
    <w:rsid w:val="005652F5"/>
    <w:rsid w:val="005653F1"/>
    <w:rsid w:val="005654D8"/>
    <w:rsid w:val="0056555C"/>
    <w:rsid w:val="00565801"/>
    <w:rsid w:val="00565A0A"/>
    <w:rsid w:val="00565AF7"/>
    <w:rsid w:val="00565C80"/>
    <w:rsid w:val="00565D36"/>
    <w:rsid w:val="00565DB9"/>
    <w:rsid w:val="00565E3A"/>
    <w:rsid w:val="00566279"/>
    <w:rsid w:val="00566579"/>
    <w:rsid w:val="00566631"/>
    <w:rsid w:val="005666A0"/>
    <w:rsid w:val="005667C5"/>
    <w:rsid w:val="00566AB8"/>
    <w:rsid w:val="00566D52"/>
    <w:rsid w:val="005672FA"/>
    <w:rsid w:val="0056735B"/>
    <w:rsid w:val="00567398"/>
    <w:rsid w:val="0056762F"/>
    <w:rsid w:val="0056765F"/>
    <w:rsid w:val="0056783F"/>
    <w:rsid w:val="0056786B"/>
    <w:rsid w:val="00567DDA"/>
    <w:rsid w:val="00567DF7"/>
    <w:rsid w:val="00567EB9"/>
    <w:rsid w:val="0057066D"/>
    <w:rsid w:val="00570B2A"/>
    <w:rsid w:val="00570C1C"/>
    <w:rsid w:val="00570F3D"/>
    <w:rsid w:val="00571157"/>
    <w:rsid w:val="00571202"/>
    <w:rsid w:val="00571207"/>
    <w:rsid w:val="00571211"/>
    <w:rsid w:val="00571458"/>
    <w:rsid w:val="005714DA"/>
    <w:rsid w:val="00571531"/>
    <w:rsid w:val="005715A2"/>
    <w:rsid w:val="0057169B"/>
    <w:rsid w:val="00571908"/>
    <w:rsid w:val="005719E2"/>
    <w:rsid w:val="00571A0B"/>
    <w:rsid w:val="00571B27"/>
    <w:rsid w:val="00571B63"/>
    <w:rsid w:val="00571D00"/>
    <w:rsid w:val="00571EB3"/>
    <w:rsid w:val="005720D0"/>
    <w:rsid w:val="00572454"/>
    <w:rsid w:val="00572810"/>
    <w:rsid w:val="00572844"/>
    <w:rsid w:val="00572914"/>
    <w:rsid w:val="00572C5D"/>
    <w:rsid w:val="00572C67"/>
    <w:rsid w:val="00572CCD"/>
    <w:rsid w:val="00572D84"/>
    <w:rsid w:val="00572EC7"/>
    <w:rsid w:val="00572F14"/>
    <w:rsid w:val="00572F7D"/>
    <w:rsid w:val="00573072"/>
    <w:rsid w:val="005730C2"/>
    <w:rsid w:val="005735F6"/>
    <w:rsid w:val="005736C0"/>
    <w:rsid w:val="005736FF"/>
    <w:rsid w:val="00573702"/>
    <w:rsid w:val="00573830"/>
    <w:rsid w:val="005738A3"/>
    <w:rsid w:val="00573948"/>
    <w:rsid w:val="00573B19"/>
    <w:rsid w:val="00573B84"/>
    <w:rsid w:val="00573B86"/>
    <w:rsid w:val="00573B96"/>
    <w:rsid w:val="00573F31"/>
    <w:rsid w:val="00573F36"/>
    <w:rsid w:val="00574019"/>
    <w:rsid w:val="005740E3"/>
    <w:rsid w:val="00574258"/>
    <w:rsid w:val="0057428D"/>
    <w:rsid w:val="0057453A"/>
    <w:rsid w:val="0057455C"/>
    <w:rsid w:val="005745D8"/>
    <w:rsid w:val="00574714"/>
    <w:rsid w:val="005749D1"/>
    <w:rsid w:val="00574B80"/>
    <w:rsid w:val="00574BE1"/>
    <w:rsid w:val="00574D6F"/>
    <w:rsid w:val="00574E65"/>
    <w:rsid w:val="00574E79"/>
    <w:rsid w:val="005754A7"/>
    <w:rsid w:val="005756B7"/>
    <w:rsid w:val="0057593C"/>
    <w:rsid w:val="00575F87"/>
    <w:rsid w:val="00575FA5"/>
    <w:rsid w:val="00576099"/>
    <w:rsid w:val="005761ED"/>
    <w:rsid w:val="0057646D"/>
    <w:rsid w:val="00576604"/>
    <w:rsid w:val="005766E6"/>
    <w:rsid w:val="00576779"/>
    <w:rsid w:val="00576898"/>
    <w:rsid w:val="00576FD0"/>
    <w:rsid w:val="00576FD1"/>
    <w:rsid w:val="0057706D"/>
    <w:rsid w:val="00577704"/>
    <w:rsid w:val="005777F1"/>
    <w:rsid w:val="00577872"/>
    <w:rsid w:val="005778F3"/>
    <w:rsid w:val="00577962"/>
    <w:rsid w:val="00577ABF"/>
    <w:rsid w:val="00577B47"/>
    <w:rsid w:val="00577C42"/>
    <w:rsid w:val="00577D03"/>
    <w:rsid w:val="0058004A"/>
    <w:rsid w:val="005801E4"/>
    <w:rsid w:val="00580222"/>
    <w:rsid w:val="00580516"/>
    <w:rsid w:val="005805C9"/>
    <w:rsid w:val="005808A3"/>
    <w:rsid w:val="00580952"/>
    <w:rsid w:val="00580B6A"/>
    <w:rsid w:val="00580C74"/>
    <w:rsid w:val="00580E67"/>
    <w:rsid w:val="00580F12"/>
    <w:rsid w:val="00580F4F"/>
    <w:rsid w:val="005810AF"/>
    <w:rsid w:val="00581276"/>
    <w:rsid w:val="005812BD"/>
    <w:rsid w:val="00581439"/>
    <w:rsid w:val="00581592"/>
    <w:rsid w:val="005815AE"/>
    <w:rsid w:val="005815F4"/>
    <w:rsid w:val="0058171F"/>
    <w:rsid w:val="00581A7B"/>
    <w:rsid w:val="00581BB6"/>
    <w:rsid w:val="00581C29"/>
    <w:rsid w:val="00581E76"/>
    <w:rsid w:val="00581F46"/>
    <w:rsid w:val="005820DF"/>
    <w:rsid w:val="00582193"/>
    <w:rsid w:val="00582271"/>
    <w:rsid w:val="00582353"/>
    <w:rsid w:val="005823A5"/>
    <w:rsid w:val="00582647"/>
    <w:rsid w:val="00582736"/>
    <w:rsid w:val="005828F0"/>
    <w:rsid w:val="0058296E"/>
    <w:rsid w:val="00582B26"/>
    <w:rsid w:val="00582BE6"/>
    <w:rsid w:val="00582EB6"/>
    <w:rsid w:val="00582F12"/>
    <w:rsid w:val="00582F42"/>
    <w:rsid w:val="00582F50"/>
    <w:rsid w:val="0058301E"/>
    <w:rsid w:val="0058315E"/>
    <w:rsid w:val="0058338B"/>
    <w:rsid w:val="0058363F"/>
    <w:rsid w:val="005836D5"/>
    <w:rsid w:val="00583765"/>
    <w:rsid w:val="00583934"/>
    <w:rsid w:val="005839F3"/>
    <w:rsid w:val="00583BEA"/>
    <w:rsid w:val="00583BFD"/>
    <w:rsid w:val="00583CD9"/>
    <w:rsid w:val="00583E0D"/>
    <w:rsid w:val="00583F8B"/>
    <w:rsid w:val="00583FE9"/>
    <w:rsid w:val="0058411A"/>
    <w:rsid w:val="0058412D"/>
    <w:rsid w:val="00584143"/>
    <w:rsid w:val="0058432D"/>
    <w:rsid w:val="0058435A"/>
    <w:rsid w:val="0058451C"/>
    <w:rsid w:val="005847CF"/>
    <w:rsid w:val="0058491E"/>
    <w:rsid w:val="005849E9"/>
    <w:rsid w:val="00584D0D"/>
    <w:rsid w:val="00584EBB"/>
    <w:rsid w:val="00584F18"/>
    <w:rsid w:val="00584F98"/>
    <w:rsid w:val="00584FCC"/>
    <w:rsid w:val="005851C7"/>
    <w:rsid w:val="00585332"/>
    <w:rsid w:val="005855C4"/>
    <w:rsid w:val="00585823"/>
    <w:rsid w:val="00585824"/>
    <w:rsid w:val="00585910"/>
    <w:rsid w:val="00585BE4"/>
    <w:rsid w:val="00585D1E"/>
    <w:rsid w:val="0058613C"/>
    <w:rsid w:val="005863B2"/>
    <w:rsid w:val="0058661B"/>
    <w:rsid w:val="00586630"/>
    <w:rsid w:val="00586654"/>
    <w:rsid w:val="0058683D"/>
    <w:rsid w:val="005868F1"/>
    <w:rsid w:val="00586979"/>
    <w:rsid w:val="00586AD3"/>
    <w:rsid w:val="00586BCB"/>
    <w:rsid w:val="00586C84"/>
    <w:rsid w:val="00586E3B"/>
    <w:rsid w:val="00586FC8"/>
    <w:rsid w:val="0058713F"/>
    <w:rsid w:val="00587294"/>
    <w:rsid w:val="005872DE"/>
    <w:rsid w:val="00587363"/>
    <w:rsid w:val="005873CC"/>
    <w:rsid w:val="00587471"/>
    <w:rsid w:val="005874C8"/>
    <w:rsid w:val="005874E5"/>
    <w:rsid w:val="0058764C"/>
    <w:rsid w:val="005879DA"/>
    <w:rsid w:val="00587C53"/>
    <w:rsid w:val="00587C83"/>
    <w:rsid w:val="00587D6B"/>
    <w:rsid w:val="00587ECB"/>
    <w:rsid w:val="00587F63"/>
    <w:rsid w:val="00587FC3"/>
    <w:rsid w:val="00590118"/>
    <w:rsid w:val="005902A0"/>
    <w:rsid w:val="005902B6"/>
    <w:rsid w:val="0059036F"/>
    <w:rsid w:val="005903CC"/>
    <w:rsid w:val="005903FE"/>
    <w:rsid w:val="0059041C"/>
    <w:rsid w:val="005905F4"/>
    <w:rsid w:val="00590B02"/>
    <w:rsid w:val="00590B8A"/>
    <w:rsid w:val="00590BAB"/>
    <w:rsid w:val="00590C51"/>
    <w:rsid w:val="00590D59"/>
    <w:rsid w:val="00590EDA"/>
    <w:rsid w:val="0059125B"/>
    <w:rsid w:val="00591435"/>
    <w:rsid w:val="005919E3"/>
    <w:rsid w:val="00591C04"/>
    <w:rsid w:val="00591C3B"/>
    <w:rsid w:val="00591CA1"/>
    <w:rsid w:val="00591D0B"/>
    <w:rsid w:val="00591D8C"/>
    <w:rsid w:val="00591FC9"/>
    <w:rsid w:val="00591FDA"/>
    <w:rsid w:val="00592109"/>
    <w:rsid w:val="00592251"/>
    <w:rsid w:val="00592335"/>
    <w:rsid w:val="0059249E"/>
    <w:rsid w:val="005925B1"/>
    <w:rsid w:val="00592737"/>
    <w:rsid w:val="00592B1D"/>
    <w:rsid w:val="00592B83"/>
    <w:rsid w:val="00592C60"/>
    <w:rsid w:val="005930AC"/>
    <w:rsid w:val="005930DA"/>
    <w:rsid w:val="00593122"/>
    <w:rsid w:val="005931DE"/>
    <w:rsid w:val="00593259"/>
    <w:rsid w:val="005932EC"/>
    <w:rsid w:val="005934DF"/>
    <w:rsid w:val="00593582"/>
    <w:rsid w:val="0059379E"/>
    <w:rsid w:val="005939F3"/>
    <w:rsid w:val="00593A22"/>
    <w:rsid w:val="00593AF7"/>
    <w:rsid w:val="00593FE5"/>
    <w:rsid w:val="00594034"/>
    <w:rsid w:val="005940F4"/>
    <w:rsid w:val="00594135"/>
    <w:rsid w:val="005943BA"/>
    <w:rsid w:val="00594597"/>
    <w:rsid w:val="0059473B"/>
    <w:rsid w:val="00594828"/>
    <w:rsid w:val="005949C8"/>
    <w:rsid w:val="00594BC1"/>
    <w:rsid w:val="00594C28"/>
    <w:rsid w:val="00594C29"/>
    <w:rsid w:val="00594DFA"/>
    <w:rsid w:val="00594E3E"/>
    <w:rsid w:val="00594E48"/>
    <w:rsid w:val="00594FF3"/>
    <w:rsid w:val="00595558"/>
    <w:rsid w:val="00595B38"/>
    <w:rsid w:val="00595F36"/>
    <w:rsid w:val="005961DB"/>
    <w:rsid w:val="0059626D"/>
    <w:rsid w:val="005962C0"/>
    <w:rsid w:val="00596485"/>
    <w:rsid w:val="00596520"/>
    <w:rsid w:val="00596620"/>
    <w:rsid w:val="00596637"/>
    <w:rsid w:val="0059679A"/>
    <w:rsid w:val="00596819"/>
    <w:rsid w:val="00596CFF"/>
    <w:rsid w:val="00596DAF"/>
    <w:rsid w:val="00596E4D"/>
    <w:rsid w:val="00596E7A"/>
    <w:rsid w:val="00597007"/>
    <w:rsid w:val="0059718E"/>
    <w:rsid w:val="00597374"/>
    <w:rsid w:val="0059748E"/>
    <w:rsid w:val="00597710"/>
    <w:rsid w:val="00597838"/>
    <w:rsid w:val="005978CB"/>
    <w:rsid w:val="0059796E"/>
    <w:rsid w:val="00597A2A"/>
    <w:rsid w:val="00597A99"/>
    <w:rsid w:val="00597B4E"/>
    <w:rsid w:val="00597BB6"/>
    <w:rsid w:val="00597D7A"/>
    <w:rsid w:val="005A00CC"/>
    <w:rsid w:val="005A015D"/>
    <w:rsid w:val="005A0174"/>
    <w:rsid w:val="005A0176"/>
    <w:rsid w:val="005A03D5"/>
    <w:rsid w:val="005A053C"/>
    <w:rsid w:val="005A0589"/>
    <w:rsid w:val="005A082C"/>
    <w:rsid w:val="005A088C"/>
    <w:rsid w:val="005A0D4B"/>
    <w:rsid w:val="005A0E96"/>
    <w:rsid w:val="005A0ED3"/>
    <w:rsid w:val="005A0ED4"/>
    <w:rsid w:val="005A0EF0"/>
    <w:rsid w:val="005A0FFA"/>
    <w:rsid w:val="005A1080"/>
    <w:rsid w:val="005A1098"/>
    <w:rsid w:val="005A11B7"/>
    <w:rsid w:val="005A1416"/>
    <w:rsid w:val="005A1472"/>
    <w:rsid w:val="005A163C"/>
    <w:rsid w:val="005A1B73"/>
    <w:rsid w:val="005A1D86"/>
    <w:rsid w:val="005A1FB4"/>
    <w:rsid w:val="005A2109"/>
    <w:rsid w:val="005A21CF"/>
    <w:rsid w:val="005A21DD"/>
    <w:rsid w:val="005A224C"/>
    <w:rsid w:val="005A2252"/>
    <w:rsid w:val="005A2535"/>
    <w:rsid w:val="005A2598"/>
    <w:rsid w:val="005A2666"/>
    <w:rsid w:val="005A2778"/>
    <w:rsid w:val="005A2826"/>
    <w:rsid w:val="005A293A"/>
    <w:rsid w:val="005A297B"/>
    <w:rsid w:val="005A29AE"/>
    <w:rsid w:val="005A2A82"/>
    <w:rsid w:val="005A2D0D"/>
    <w:rsid w:val="005A2D4A"/>
    <w:rsid w:val="005A2EB3"/>
    <w:rsid w:val="005A2FD0"/>
    <w:rsid w:val="005A2FEE"/>
    <w:rsid w:val="005A3055"/>
    <w:rsid w:val="005A3186"/>
    <w:rsid w:val="005A32E8"/>
    <w:rsid w:val="005A339A"/>
    <w:rsid w:val="005A350C"/>
    <w:rsid w:val="005A3532"/>
    <w:rsid w:val="005A360E"/>
    <w:rsid w:val="005A3674"/>
    <w:rsid w:val="005A38FB"/>
    <w:rsid w:val="005A398C"/>
    <w:rsid w:val="005A3A03"/>
    <w:rsid w:val="005A3B65"/>
    <w:rsid w:val="005A3C6A"/>
    <w:rsid w:val="005A3D30"/>
    <w:rsid w:val="005A3D8E"/>
    <w:rsid w:val="005A3DAF"/>
    <w:rsid w:val="005A3E51"/>
    <w:rsid w:val="005A4146"/>
    <w:rsid w:val="005A42B2"/>
    <w:rsid w:val="005A4326"/>
    <w:rsid w:val="005A4391"/>
    <w:rsid w:val="005A43A7"/>
    <w:rsid w:val="005A465B"/>
    <w:rsid w:val="005A475E"/>
    <w:rsid w:val="005A487E"/>
    <w:rsid w:val="005A4AB5"/>
    <w:rsid w:val="005A4AE0"/>
    <w:rsid w:val="005A4B9D"/>
    <w:rsid w:val="005A4CCF"/>
    <w:rsid w:val="005A4CD7"/>
    <w:rsid w:val="005A4D03"/>
    <w:rsid w:val="005A4EAE"/>
    <w:rsid w:val="005A508E"/>
    <w:rsid w:val="005A50F5"/>
    <w:rsid w:val="005A51F1"/>
    <w:rsid w:val="005A51F7"/>
    <w:rsid w:val="005A533D"/>
    <w:rsid w:val="005A5426"/>
    <w:rsid w:val="005A542A"/>
    <w:rsid w:val="005A548E"/>
    <w:rsid w:val="005A5678"/>
    <w:rsid w:val="005A571C"/>
    <w:rsid w:val="005A58FB"/>
    <w:rsid w:val="005A5C1D"/>
    <w:rsid w:val="005A5D47"/>
    <w:rsid w:val="005A5E50"/>
    <w:rsid w:val="005A6356"/>
    <w:rsid w:val="005A6400"/>
    <w:rsid w:val="005A646B"/>
    <w:rsid w:val="005A650A"/>
    <w:rsid w:val="005A661C"/>
    <w:rsid w:val="005A66A2"/>
    <w:rsid w:val="005A6C1E"/>
    <w:rsid w:val="005A6D40"/>
    <w:rsid w:val="005A6DB5"/>
    <w:rsid w:val="005A6FA2"/>
    <w:rsid w:val="005A72D9"/>
    <w:rsid w:val="005A74CE"/>
    <w:rsid w:val="005A7555"/>
    <w:rsid w:val="005A767E"/>
    <w:rsid w:val="005A7764"/>
    <w:rsid w:val="005A77C8"/>
    <w:rsid w:val="005A783A"/>
    <w:rsid w:val="005A78CF"/>
    <w:rsid w:val="005A799F"/>
    <w:rsid w:val="005A7A27"/>
    <w:rsid w:val="005A7AB5"/>
    <w:rsid w:val="005A7E39"/>
    <w:rsid w:val="005B00BC"/>
    <w:rsid w:val="005B0142"/>
    <w:rsid w:val="005B0152"/>
    <w:rsid w:val="005B018D"/>
    <w:rsid w:val="005B0295"/>
    <w:rsid w:val="005B03D1"/>
    <w:rsid w:val="005B081E"/>
    <w:rsid w:val="005B0967"/>
    <w:rsid w:val="005B0979"/>
    <w:rsid w:val="005B0BD1"/>
    <w:rsid w:val="005B0CF4"/>
    <w:rsid w:val="005B0D90"/>
    <w:rsid w:val="005B0D92"/>
    <w:rsid w:val="005B0E03"/>
    <w:rsid w:val="005B0F00"/>
    <w:rsid w:val="005B0F15"/>
    <w:rsid w:val="005B0FEB"/>
    <w:rsid w:val="005B105F"/>
    <w:rsid w:val="005B10C6"/>
    <w:rsid w:val="005B1216"/>
    <w:rsid w:val="005B12BC"/>
    <w:rsid w:val="005B12E4"/>
    <w:rsid w:val="005B14D9"/>
    <w:rsid w:val="005B15B7"/>
    <w:rsid w:val="005B1982"/>
    <w:rsid w:val="005B1D42"/>
    <w:rsid w:val="005B1EB9"/>
    <w:rsid w:val="005B1FD2"/>
    <w:rsid w:val="005B2164"/>
    <w:rsid w:val="005B24DD"/>
    <w:rsid w:val="005B25F1"/>
    <w:rsid w:val="005B2836"/>
    <w:rsid w:val="005B2938"/>
    <w:rsid w:val="005B29A8"/>
    <w:rsid w:val="005B29AB"/>
    <w:rsid w:val="005B2A99"/>
    <w:rsid w:val="005B2D86"/>
    <w:rsid w:val="005B2EEF"/>
    <w:rsid w:val="005B31E5"/>
    <w:rsid w:val="005B32D7"/>
    <w:rsid w:val="005B32F9"/>
    <w:rsid w:val="005B3323"/>
    <w:rsid w:val="005B33D6"/>
    <w:rsid w:val="005B3486"/>
    <w:rsid w:val="005B3573"/>
    <w:rsid w:val="005B35EE"/>
    <w:rsid w:val="005B3736"/>
    <w:rsid w:val="005B3A18"/>
    <w:rsid w:val="005B3C07"/>
    <w:rsid w:val="005B3C43"/>
    <w:rsid w:val="005B3D27"/>
    <w:rsid w:val="005B3DB9"/>
    <w:rsid w:val="005B3E01"/>
    <w:rsid w:val="005B3FE0"/>
    <w:rsid w:val="005B40DA"/>
    <w:rsid w:val="005B41F1"/>
    <w:rsid w:val="005B4329"/>
    <w:rsid w:val="005B43BC"/>
    <w:rsid w:val="005B4484"/>
    <w:rsid w:val="005B44D6"/>
    <w:rsid w:val="005B45E5"/>
    <w:rsid w:val="005B477F"/>
    <w:rsid w:val="005B49A6"/>
    <w:rsid w:val="005B4B5F"/>
    <w:rsid w:val="005B4BD1"/>
    <w:rsid w:val="005B4DC0"/>
    <w:rsid w:val="005B51B6"/>
    <w:rsid w:val="005B51C4"/>
    <w:rsid w:val="005B52A7"/>
    <w:rsid w:val="005B539A"/>
    <w:rsid w:val="005B54CA"/>
    <w:rsid w:val="005B5515"/>
    <w:rsid w:val="005B562C"/>
    <w:rsid w:val="005B567D"/>
    <w:rsid w:val="005B5D3A"/>
    <w:rsid w:val="005B5DC7"/>
    <w:rsid w:val="005B60FF"/>
    <w:rsid w:val="005B6640"/>
    <w:rsid w:val="005B670D"/>
    <w:rsid w:val="005B6864"/>
    <w:rsid w:val="005B6B88"/>
    <w:rsid w:val="005B6D27"/>
    <w:rsid w:val="005B6D44"/>
    <w:rsid w:val="005B6EC1"/>
    <w:rsid w:val="005B6EC4"/>
    <w:rsid w:val="005B6ED4"/>
    <w:rsid w:val="005B6EE1"/>
    <w:rsid w:val="005B6F99"/>
    <w:rsid w:val="005B7079"/>
    <w:rsid w:val="005B70AB"/>
    <w:rsid w:val="005B77BB"/>
    <w:rsid w:val="005B787C"/>
    <w:rsid w:val="005B78FA"/>
    <w:rsid w:val="005B7B54"/>
    <w:rsid w:val="005B7BBB"/>
    <w:rsid w:val="005B7F4F"/>
    <w:rsid w:val="005B7F50"/>
    <w:rsid w:val="005B7F76"/>
    <w:rsid w:val="005B7FBC"/>
    <w:rsid w:val="005C053B"/>
    <w:rsid w:val="005C0831"/>
    <w:rsid w:val="005C093B"/>
    <w:rsid w:val="005C0BF1"/>
    <w:rsid w:val="005C0CA0"/>
    <w:rsid w:val="005C0D9C"/>
    <w:rsid w:val="005C0E17"/>
    <w:rsid w:val="005C1134"/>
    <w:rsid w:val="005C124E"/>
    <w:rsid w:val="005C15CB"/>
    <w:rsid w:val="005C161A"/>
    <w:rsid w:val="005C1740"/>
    <w:rsid w:val="005C1758"/>
    <w:rsid w:val="005C1C42"/>
    <w:rsid w:val="005C1E6E"/>
    <w:rsid w:val="005C2130"/>
    <w:rsid w:val="005C2146"/>
    <w:rsid w:val="005C2280"/>
    <w:rsid w:val="005C2328"/>
    <w:rsid w:val="005C2362"/>
    <w:rsid w:val="005C24F9"/>
    <w:rsid w:val="005C25DC"/>
    <w:rsid w:val="005C2766"/>
    <w:rsid w:val="005C28A1"/>
    <w:rsid w:val="005C2AF6"/>
    <w:rsid w:val="005C2C07"/>
    <w:rsid w:val="005C2DB4"/>
    <w:rsid w:val="005C2E42"/>
    <w:rsid w:val="005C3205"/>
    <w:rsid w:val="005C3F06"/>
    <w:rsid w:val="005C4341"/>
    <w:rsid w:val="005C4392"/>
    <w:rsid w:val="005C44B1"/>
    <w:rsid w:val="005C453D"/>
    <w:rsid w:val="005C4619"/>
    <w:rsid w:val="005C4797"/>
    <w:rsid w:val="005C47E5"/>
    <w:rsid w:val="005C4A03"/>
    <w:rsid w:val="005C4AEE"/>
    <w:rsid w:val="005C4BF5"/>
    <w:rsid w:val="005C4DB0"/>
    <w:rsid w:val="005C4E37"/>
    <w:rsid w:val="005C4F08"/>
    <w:rsid w:val="005C4F26"/>
    <w:rsid w:val="005C4F2B"/>
    <w:rsid w:val="005C4F5B"/>
    <w:rsid w:val="005C5260"/>
    <w:rsid w:val="005C552C"/>
    <w:rsid w:val="005C582E"/>
    <w:rsid w:val="005C588A"/>
    <w:rsid w:val="005C5A94"/>
    <w:rsid w:val="005C5B92"/>
    <w:rsid w:val="005C5C88"/>
    <w:rsid w:val="005C5D8D"/>
    <w:rsid w:val="005C5F1E"/>
    <w:rsid w:val="005C5F6C"/>
    <w:rsid w:val="005C60B0"/>
    <w:rsid w:val="005C60BA"/>
    <w:rsid w:val="005C6172"/>
    <w:rsid w:val="005C617D"/>
    <w:rsid w:val="005C6198"/>
    <w:rsid w:val="005C6332"/>
    <w:rsid w:val="005C6652"/>
    <w:rsid w:val="005C6861"/>
    <w:rsid w:val="005C6995"/>
    <w:rsid w:val="005C69B8"/>
    <w:rsid w:val="005C69F6"/>
    <w:rsid w:val="005C6A7B"/>
    <w:rsid w:val="005C6AFF"/>
    <w:rsid w:val="005C6D6F"/>
    <w:rsid w:val="005C6E70"/>
    <w:rsid w:val="005C6EC1"/>
    <w:rsid w:val="005C7075"/>
    <w:rsid w:val="005C70EC"/>
    <w:rsid w:val="005C7183"/>
    <w:rsid w:val="005C7343"/>
    <w:rsid w:val="005C73E1"/>
    <w:rsid w:val="005C747F"/>
    <w:rsid w:val="005C74B1"/>
    <w:rsid w:val="005C74B3"/>
    <w:rsid w:val="005C7678"/>
    <w:rsid w:val="005C77EB"/>
    <w:rsid w:val="005C7B59"/>
    <w:rsid w:val="005C7C4C"/>
    <w:rsid w:val="005C7E3D"/>
    <w:rsid w:val="005C7FF6"/>
    <w:rsid w:val="005D0188"/>
    <w:rsid w:val="005D018D"/>
    <w:rsid w:val="005D0192"/>
    <w:rsid w:val="005D01AC"/>
    <w:rsid w:val="005D01BF"/>
    <w:rsid w:val="005D0266"/>
    <w:rsid w:val="005D0310"/>
    <w:rsid w:val="005D051B"/>
    <w:rsid w:val="005D0E4F"/>
    <w:rsid w:val="005D0F12"/>
    <w:rsid w:val="005D105E"/>
    <w:rsid w:val="005D106C"/>
    <w:rsid w:val="005D1424"/>
    <w:rsid w:val="005D150B"/>
    <w:rsid w:val="005D1512"/>
    <w:rsid w:val="005D1530"/>
    <w:rsid w:val="005D1536"/>
    <w:rsid w:val="005D1A8C"/>
    <w:rsid w:val="005D1B21"/>
    <w:rsid w:val="005D1BD4"/>
    <w:rsid w:val="005D1D2D"/>
    <w:rsid w:val="005D20DC"/>
    <w:rsid w:val="005D2246"/>
    <w:rsid w:val="005D226E"/>
    <w:rsid w:val="005D236B"/>
    <w:rsid w:val="005D243E"/>
    <w:rsid w:val="005D2609"/>
    <w:rsid w:val="005D2730"/>
    <w:rsid w:val="005D275E"/>
    <w:rsid w:val="005D2CB8"/>
    <w:rsid w:val="005D2E5E"/>
    <w:rsid w:val="005D2F7E"/>
    <w:rsid w:val="005D30B4"/>
    <w:rsid w:val="005D3187"/>
    <w:rsid w:val="005D3253"/>
    <w:rsid w:val="005D3490"/>
    <w:rsid w:val="005D34F2"/>
    <w:rsid w:val="005D3A16"/>
    <w:rsid w:val="005D3BD0"/>
    <w:rsid w:val="005D3EFC"/>
    <w:rsid w:val="005D3F4D"/>
    <w:rsid w:val="005D3F72"/>
    <w:rsid w:val="005D4054"/>
    <w:rsid w:val="005D4071"/>
    <w:rsid w:val="005D4217"/>
    <w:rsid w:val="005D438B"/>
    <w:rsid w:val="005D4625"/>
    <w:rsid w:val="005D4753"/>
    <w:rsid w:val="005D48F4"/>
    <w:rsid w:val="005D4BF0"/>
    <w:rsid w:val="005D4ED6"/>
    <w:rsid w:val="005D503D"/>
    <w:rsid w:val="005D50B9"/>
    <w:rsid w:val="005D50FB"/>
    <w:rsid w:val="005D571C"/>
    <w:rsid w:val="005D57D0"/>
    <w:rsid w:val="005D5823"/>
    <w:rsid w:val="005D59DA"/>
    <w:rsid w:val="005D5AC1"/>
    <w:rsid w:val="005D5F51"/>
    <w:rsid w:val="005D61EA"/>
    <w:rsid w:val="005D6325"/>
    <w:rsid w:val="005D6346"/>
    <w:rsid w:val="005D6393"/>
    <w:rsid w:val="005D63B3"/>
    <w:rsid w:val="005D6451"/>
    <w:rsid w:val="005D647A"/>
    <w:rsid w:val="005D670D"/>
    <w:rsid w:val="005D679E"/>
    <w:rsid w:val="005D69F4"/>
    <w:rsid w:val="005D6C58"/>
    <w:rsid w:val="005D6E87"/>
    <w:rsid w:val="005D7361"/>
    <w:rsid w:val="005D74AB"/>
    <w:rsid w:val="005D76FD"/>
    <w:rsid w:val="005D790E"/>
    <w:rsid w:val="005D79C7"/>
    <w:rsid w:val="005D7B3B"/>
    <w:rsid w:val="005D7C6D"/>
    <w:rsid w:val="005D7E0A"/>
    <w:rsid w:val="005D7E18"/>
    <w:rsid w:val="005D7EA8"/>
    <w:rsid w:val="005D7F8B"/>
    <w:rsid w:val="005E00AD"/>
    <w:rsid w:val="005E0902"/>
    <w:rsid w:val="005E0951"/>
    <w:rsid w:val="005E0A31"/>
    <w:rsid w:val="005E0B97"/>
    <w:rsid w:val="005E0CEE"/>
    <w:rsid w:val="005E0E91"/>
    <w:rsid w:val="005E0E93"/>
    <w:rsid w:val="005E0ED9"/>
    <w:rsid w:val="005E0FE2"/>
    <w:rsid w:val="005E102D"/>
    <w:rsid w:val="005E10BE"/>
    <w:rsid w:val="005E1108"/>
    <w:rsid w:val="005E1127"/>
    <w:rsid w:val="005E1351"/>
    <w:rsid w:val="005E161C"/>
    <w:rsid w:val="005E1758"/>
    <w:rsid w:val="005E1BED"/>
    <w:rsid w:val="005E1C91"/>
    <w:rsid w:val="005E1DB1"/>
    <w:rsid w:val="005E1F08"/>
    <w:rsid w:val="005E20B3"/>
    <w:rsid w:val="005E2174"/>
    <w:rsid w:val="005E22BB"/>
    <w:rsid w:val="005E2355"/>
    <w:rsid w:val="005E23E4"/>
    <w:rsid w:val="005E253A"/>
    <w:rsid w:val="005E26F4"/>
    <w:rsid w:val="005E2719"/>
    <w:rsid w:val="005E27B2"/>
    <w:rsid w:val="005E28CA"/>
    <w:rsid w:val="005E2944"/>
    <w:rsid w:val="005E29FB"/>
    <w:rsid w:val="005E2C47"/>
    <w:rsid w:val="005E2C77"/>
    <w:rsid w:val="005E2D08"/>
    <w:rsid w:val="005E2F1F"/>
    <w:rsid w:val="005E32CD"/>
    <w:rsid w:val="005E33D5"/>
    <w:rsid w:val="005E34A1"/>
    <w:rsid w:val="005E3527"/>
    <w:rsid w:val="005E36FD"/>
    <w:rsid w:val="005E3866"/>
    <w:rsid w:val="005E3966"/>
    <w:rsid w:val="005E3ACB"/>
    <w:rsid w:val="005E3BBD"/>
    <w:rsid w:val="005E3CD8"/>
    <w:rsid w:val="005E3E81"/>
    <w:rsid w:val="005E3F04"/>
    <w:rsid w:val="005E3F10"/>
    <w:rsid w:val="005E3F1E"/>
    <w:rsid w:val="005E3F42"/>
    <w:rsid w:val="005E40B8"/>
    <w:rsid w:val="005E418D"/>
    <w:rsid w:val="005E420C"/>
    <w:rsid w:val="005E4306"/>
    <w:rsid w:val="005E432A"/>
    <w:rsid w:val="005E4389"/>
    <w:rsid w:val="005E467F"/>
    <w:rsid w:val="005E469B"/>
    <w:rsid w:val="005E4736"/>
    <w:rsid w:val="005E47B6"/>
    <w:rsid w:val="005E47C7"/>
    <w:rsid w:val="005E4A5C"/>
    <w:rsid w:val="005E4A8D"/>
    <w:rsid w:val="005E4B5A"/>
    <w:rsid w:val="005E4BBA"/>
    <w:rsid w:val="005E4DED"/>
    <w:rsid w:val="005E4EAC"/>
    <w:rsid w:val="005E4F4A"/>
    <w:rsid w:val="005E4F9B"/>
    <w:rsid w:val="005E50A2"/>
    <w:rsid w:val="005E52D1"/>
    <w:rsid w:val="005E55C5"/>
    <w:rsid w:val="005E5789"/>
    <w:rsid w:val="005E5848"/>
    <w:rsid w:val="005E5865"/>
    <w:rsid w:val="005E5AA1"/>
    <w:rsid w:val="005E5F0B"/>
    <w:rsid w:val="005E6021"/>
    <w:rsid w:val="005E61CA"/>
    <w:rsid w:val="005E628C"/>
    <w:rsid w:val="005E62AA"/>
    <w:rsid w:val="005E63BD"/>
    <w:rsid w:val="005E687B"/>
    <w:rsid w:val="005E688B"/>
    <w:rsid w:val="005E68B4"/>
    <w:rsid w:val="005E6AF2"/>
    <w:rsid w:val="005E6C4D"/>
    <w:rsid w:val="005E6CDF"/>
    <w:rsid w:val="005E6D3A"/>
    <w:rsid w:val="005E6E07"/>
    <w:rsid w:val="005E6E2C"/>
    <w:rsid w:val="005E6E3B"/>
    <w:rsid w:val="005E6EA2"/>
    <w:rsid w:val="005E6F15"/>
    <w:rsid w:val="005E76ED"/>
    <w:rsid w:val="005E7770"/>
    <w:rsid w:val="005E77D8"/>
    <w:rsid w:val="005E7ADB"/>
    <w:rsid w:val="005E7B46"/>
    <w:rsid w:val="005E7C66"/>
    <w:rsid w:val="005E7C88"/>
    <w:rsid w:val="005E7E02"/>
    <w:rsid w:val="005E7ED1"/>
    <w:rsid w:val="005F0484"/>
    <w:rsid w:val="005F06EC"/>
    <w:rsid w:val="005F0801"/>
    <w:rsid w:val="005F0A1B"/>
    <w:rsid w:val="005F0AE5"/>
    <w:rsid w:val="005F0F7C"/>
    <w:rsid w:val="005F0F96"/>
    <w:rsid w:val="005F1010"/>
    <w:rsid w:val="005F10EE"/>
    <w:rsid w:val="005F1238"/>
    <w:rsid w:val="005F135B"/>
    <w:rsid w:val="005F16F9"/>
    <w:rsid w:val="005F173C"/>
    <w:rsid w:val="005F1781"/>
    <w:rsid w:val="005F1A29"/>
    <w:rsid w:val="005F1A2A"/>
    <w:rsid w:val="005F1C44"/>
    <w:rsid w:val="005F1E16"/>
    <w:rsid w:val="005F208D"/>
    <w:rsid w:val="005F2155"/>
    <w:rsid w:val="005F26B5"/>
    <w:rsid w:val="005F2706"/>
    <w:rsid w:val="005F279F"/>
    <w:rsid w:val="005F299F"/>
    <w:rsid w:val="005F2AEC"/>
    <w:rsid w:val="005F2C43"/>
    <w:rsid w:val="005F2D8C"/>
    <w:rsid w:val="005F2F03"/>
    <w:rsid w:val="005F2F43"/>
    <w:rsid w:val="005F3020"/>
    <w:rsid w:val="005F30A8"/>
    <w:rsid w:val="005F3405"/>
    <w:rsid w:val="005F34A3"/>
    <w:rsid w:val="005F3652"/>
    <w:rsid w:val="005F365C"/>
    <w:rsid w:val="005F3884"/>
    <w:rsid w:val="005F38FB"/>
    <w:rsid w:val="005F3946"/>
    <w:rsid w:val="005F39AA"/>
    <w:rsid w:val="005F3B97"/>
    <w:rsid w:val="005F3C92"/>
    <w:rsid w:val="005F3CA7"/>
    <w:rsid w:val="005F3DE1"/>
    <w:rsid w:val="005F3ECF"/>
    <w:rsid w:val="005F3F31"/>
    <w:rsid w:val="005F40B0"/>
    <w:rsid w:val="005F40FE"/>
    <w:rsid w:val="005F4239"/>
    <w:rsid w:val="005F44AB"/>
    <w:rsid w:val="005F470C"/>
    <w:rsid w:val="005F4AD8"/>
    <w:rsid w:val="005F4B49"/>
    <w:rsid w:val="005F4B6A"/>
    <w:rsid w:val="005F4C5F"/>
    <w:rsid w:val="005F512A"/>
    <w:rsid w:val="005F526D"/>
    <w:rsid w:val="005F552B"/>
    <w:rsid w:val="005F5826"/>
    <w:rsid w:val="005F5991"/>
    <w:rsid w:val="005F5AB3"/>
    <w:rsid w:val="005F5B6D"/>
    <w:rsid w:val="005F5C38"/>
    <w:rsid w:val="005F5C45"/>
    <w:rsid w:val="005F5D8A"/>
    <w:rsid w:val="005F5E03"/>
    <w:rsid w:val="005F5E0F"/>
    <w:rsid w:val="005F5F2B"/>
    <w:rsid w:val="005F60F7"/>
    <w:rsid w:val="005F62AF"/>
    <w:rsid w:val="005F6328"/>
    <w:rsid w:val="005F65FE"/>
    <w:rsid w:val="005F6637"/>
    <w:rsid w:val="005F6701"/>
    <w:rsid w:val="005F672C"/>
    <w:rsid w:val="005F69C4"/>
    <w:rsid w:val="005F6CDB"/>
    <w:rsid w:val="005F6E26"/>
    <w:rsid w:val="005F6EBC"/>
    <w:rsid w:val="005F6EF5"/>
    <w:rsid w:val="005F70D3"/>
    <w:rsid w:val="005F71B2"/>
    <w:rsid w:val="005F728C"/>
    <w:rsid w:val="005F7338"/>
    <w:rsid w:val="005F73F2"/>
    <w:rsid w:val="005F7414"/>
    <w:rsid w:val="005F746F"/>
    <w:rsid w:val="005F74A9"/>
    <w:rsid w:val="005F75C3"/>
    <w:rsid w:val="005F7845"/>
    <w:rsid w:val="005F785F"/>
    <w:rsid w:val="005F787D"/>
    <w:rsid w:val="005F7A0A"/>
    <w:rsid w:val="005F7BB0"/>
    <w:rsid w:val="005F7CE6"/>
    <w:rsid w:val="005F7E67"/>
    <w:rsid w:val="005F7FC8"/>
    <w:rsid w:val="00600395"/>
    <w:rsid w:val="00600505"/>
    <w:rsid w:val="00600642"/>
    <w:rsid w:val="006006DD"/>
    <w:rsid w:val="00600837"/>
    <w:rsid w:val="006008E5"/>
    <w:rsid w:val="006008EC"/>
    <w:rsid w:val="00600DCC"/>
    <w:rsid w:val="00600DDE"/>
    <w:rsid w:val="00601110"/>
    <w:rsid w:val="0060168C"/>
    <w:rsid w:val="006018AE"/>
    <w:rsid w:val="00601937"/>
    <w:rsid w:val="00601C82"/>
    <w:rsid w:val="00601CA3"/>
    <w:rsid w:val="00601D58"/>
    <w:rsid w:val="00601E5C"/>
    <w:rsid w:val="0060207A"/>
    <w:rsid w:val="00602129"/>
    <w:rsid w:val="00602212"/>
    <w:rsid w:val="006022A3"/>
    <w:rsid w:val="006023C8"/>
    <w:rsid w:val="00602961"/>
    <w:rsid w:val="00602ABC"/>
    <w:rsid w:val="00602C9D"/>
    <w:rsid w:val="00602CA9"/>
    <w:rsid w:val="00603033"/>
    <w:rsid w:val="006030A9"/>
    <w:rsid w:val="006030C0"/>
    <w:rsid w:val="0060317B"/>
    <w:rsid w:val="006031FB"/>
    <w:rsid w:val="00603208"/>
    <w:rsid w:val="00603264"/>
    <w:rsid w:val="00603306"/>
    <w:rsid w:val="0060337E"/>
    <w:rsid w:val="00603530"/>
    <w:rsid w:val="0060371A"/>
    <w:rsid w:val="00603793"/>
    <w:rsid w:val="00603907"/>
    <w:rsid w:val="00603B83"/>
    <w:rsid w:val="00603D14"/>
    <w:rsid w:val="00603E6B"/>
    <w:rsid w:val="00603F31"/>
    <w:rsid w:val="00603F55"/>
    <w:rsid w:val="00603FF1"/>
    <w:rsid w:val="006042C2"/>
    <w:rsid w:val="006043E3"/>
    <w:rsid w:val="00604524"/>
    <w:rsid w:val="00604569"/>
    <w:rsid w:val="00604677"/>
    <w:rsid w:val="00604796"/>
    <w:rsid w:val="0060496C"/>
    <w:rsid w:val="00604DCC"/>
    <w:rsid w:val="00604DE3"/>
    <w:rsid w:val="00604E61"/>
    <w:rsid w:val="00604E71"/>
    <w:rsid w:val="0060504F"/>
    <w:rsid w:val="00605071"/>
    <w:rsid w:val="00605400"/>
    <w:rsid w:val="006056EC"/>
    <w:rsid w:val="006059FD"/>
    <w:rsid w:val="00605A53"/>
    <w:rsid w:val="00605B59"/>
    <w:rsid w:val="00605BF6"/>
    <w:rsid w:val="00605C51"/>
    <w:rsid w:val="00605C56"/>
    <w:rsid w:val="00605E35"/>
    <w:rsid w:val="00605E6C"/>
    <w:rsid w:val="00605EB2"/>
    <w:rsid w:val="00606390"/>
    <w:rsid w:val="006067C0"/>
    <w:rsid w:val="006067C9"/>
    <w:rsid w:val="00606807"/>
    <w:rsid w:val="00606B0D"/>
    <w:rsid w:val="00606DFE"/>
    <w:rsid w:val="00606E35"/>
    <w:rsid w:val="00606FE1"/>
    <w:rsid w:val="0060701D"/>
    <w:rsid w:val="006070CD"/>
    <w:rsid w:val="00607486"/>
    <w:rsid w:val="0060789B"/>
    <w:rsid w:val="006078CE"/>
    <w:rsid w:val="00607AD3"/>
    <w:rsid w:val="00607BF3"/>
    <w:rsid w:val="00607BF7"/>
    <w:rsid w:val="00607CA6"/>
    <w:rsid w:val="00607E3E"/>
    <w:rsid w:val="00607EA2"/>
    <w:rsid w:val="00607ED1"/>
    <w:rsid w:val="00607F36"/>
    <w:rsid w:val="006100AC"/>
    <w:rsid w:val="006101FA"/>
    <w:rsid w:val="00610268"/>
    <w:rsid w:val="006103C1"/>
    <w:rsid w:val="0061040F"/>
    <w:rsid w:val="00610642"/>
    <w:rsid w:val="006108E5"/>
    <w:rsid w:val="00610BD9"/>
    <w:rsid w:val="00610C67"/>
    <w:rsid w:val="00610DA1"/>
    <w:rsid w:val="00610DAE"/>
    <w:rsid w:val="0061105B"/>
    <w:rsid w:val="006112E9"/>
    <w:rsid w:val="00611340"/>
    <w:rsid w:val="00611512"/>
    <w:rsid w:val="00611652"/>
    <w:rsid w:val="0061165C"/>
    <w:rsid w:val="006118F2"/>
    <w:rsid w:val="006119C7"/>
    <w:rsid w:val="00611B7C"/>
    <w:rsid w:val="00611C75"/>
    <w:rsid w:val="00611CDD"/>
    <w:rsid w:val="00611EA4"/>
    <w:rsid w:val="0061203E"/>
    <w:rsid w:val="00612269"/>
    <w:rsid w:val="00612316"/>
    <w:rsid w:val="00612380"/>
    <w:rsid w:val="00612565"/>
    <w:rsid w:val="0061256B"/>
    <w:rsid w:val="006126D3"/>
    <w:rsid w:val="00612889"/>
    <w:rsid w:val="00612A5A"/>
    <w:rsid w:val="00612BEE"/>
    <w:rsid w:val="00612D14"/>
    <w:rsid w:val="0061300A"/>
    <w:rsid w:val="006131CB"/>
    <w:rsid w:val="00613366"/>
    <w:rsid w:val="006133EA"/>
    <w:rsid w:val="0061363C"/>
    <w:rsid w:val="006136C9"/>
    <w:rsid w:val="00613810"/>
    <w:rsid w:val="00613A0C"/>
    <w:rsid w:val="00613A37"/>
    <w:rsid w:val="00613ADB"/>
    <w:rsid w:val="0061448A"/>
    <w:rsid w:val="006144E5"/>
    <w:rsid w:val="006145BD"/>
    <w:rsid w:val="00614A1F"/>
    <w:rsid w:val="00614C9B"/>
    <w:rsid w:val="00614CAE"/>
    <w:rsid w:val="00614F37"/>
    <w:rsid w:val="00615008"/>
    <w:rsid w:val="0061503D"/>
    <w:rsid w:val="00615076"/>
    <w:rsid w:val="006150BE"/>
    <w:rsid w:val="006155B4"/>
    <w:rsid w:val="00615675"/>
    <w:rsid w:val="006157A6"/>
    <w:rsid w:val="006158CD"/>
    <w:rsid w:val="00615920"/>
    <w:rsid w:val="0061594E"/>
    <w:rsid w:val="00615DF2"/>
    <w:rsid w:val="00615E8B"/>
    <w:rsid w:val="00615EF3"/>
    <w:rsid w:val="006162C1"/>
    <w:rsid w:val="00616434"/>
    <w:rsid w:val="00616724"/>
    <w:rsid w:val="006167E5"/>
    <w:rsid w:val="00616A60"/>
    <w:rsid w:val="00616C7D"/>
    <w:rsid w:val="00616E31"/>
    <w:rsid w:val="00616E52"/>
    <w:rsid w:val="00616EEB"/>
    <w:rsid w:val="00617273"/>
    <w:rsid w:val="0061727B"/>
    <w:rsid w:val="0061738C"/>
    <w:rsid w:val="006173F2"/>
    <w:rsid w:val="0061760C"/>
    <w:rsid w:val="00617992"/>
    <w:rsid w:val="006179C9"/>
    <w:rsid w:val="006179E8"/>
    <w:rsid w:val="00617A5A"/>
    <w:rsid w:val="00617B6C"/>
    <w:rsid w:val="00617CDE"/>
    <w:rsid w:val="00617D19"/>
    <w:rsid w:val="0062002F"/>
    <w:rsid w:val="00620451"/>
    <w:rsid w:val="00620608"/>
    <w:rsid w:val="00620760"/>
    <w:rsid w:val="0062078B"/>
    <w:rsid w:val="00620897"/>
    <w:rsid w:val="00620942"/>
    <w:rsid w:val="00620A24"/>
    <w:rsid w:val="00620B57"/>
    <w:rsid w:val="00620BD1"/>
    <w:rsid w:val="00620BD8"/>
    <w:rsid w:val="00620BE8"/>
    <w:rsid w:val="00620C03"/>
    <w:rsid w:val="00620ECF"/>
    <w:rsid w:val="00620EEC"/>
    <w:rsid w:val="00620F03"/>
    <w:rsid w:val="0062124B"/>
    <w:rsid w:val="006213F5"/>
    <w:rsid w:val="00621478"/>
    <w:rsid w:val="0062151B"/>
    <w:rsid w:val="006217D3"/>
    <w:rsid w:val="006219B2"/>
    <w:rsid w:val="006219FF"/>
    <w:rsid w:val="00621C46"/>
    <w:rsid w:val="00621CDA"/>
    <w:rsid w:val="00621DCB"/>
    <w:rsid w:val="00621DFE"/>
    <w:rsid w:val="00621F15"/>
    <w:rsid w:val="00622113"/>
    <w:rsid w:val="006223CB"/>
    <w:rsid w:val="006224EB"/>
    <w:rsid w:val="006226C7"/>
    <w:rsid w:val="00622748"/>
    <w:rsid w:val="0062279A"/>
    <w:rsid w:val="0062279F"/>
    <w:rsid w:val="006228E2"/>
    <w:rsid w:val="00622B0C"/>
    <w:rsid w:val="00622D1D"/>
    <w:rsid w:val="00622D80"/>
    <w:rsid w:val="00622F94"/>
    <w:rsid w:val="00622FD2"/>
    <w:rsid w:val="006230B1"/>
    <w:rsid w:val="006231A7"/>
    <w:rsid w:val="006231DB"/>
    <w:rsid w:val="0062335B"/>
    <w:rsid w:val="006234E2"/>
    <w:rsid w:val="0062350D"/>
    <w:rsid w:val="00623753"/>
    <w:rsid w:val="00623872"/>
    <w:rsid w:val="00623D42"/>
    <w:rsid w:val="00623E5C"/>
    <w:rsid w:val="00623F30"/>
    <w:rsid w:val="006240A9"/>
    <w:rsid w:val="006240B3"/>
    <w:rsid w:val="006240DC"/>
    <w:rsid w:val="0062461F"/>
    <w:rsid w:val="0062464B"/>
    <w:rsid w:val="0062464C"/>
    <w:rsid w:val="00624774"/>
    <w:rsid w:val="0062493E"/>
    <w:rsid w:val="00624940"/>
    <w:rsid w:val="006249E3"/>
    <w:rsid w:val="006249FF"/>
    <w:rsid w:val="00624AA4"/>
    <w:rsid w:val="00624B9A"/>
    <w:rsid w:val="00624BF5"/>
    <w:rsid w:val="00624BFC"/>
    <w:rsid w:val="00624D38"/>
    <w:rsid w:val="00624D50"/>
    <w:rsid w:val="00624D7B"/>
    <w:rsid w:val="00624DEA"/>
    <w:rsid w:val="0062508B"/>
    <w:rsid w:val="00625222"/>
    <w:rsid w:val="0062524B"/>
    <w:rsid w:val="0062528D"/>
    <w:rsid w:val="0062541C"/>
    <w:rsid w:val="0062577C"/>
    <w:rsid w:val="0062589F"/>
    <w:rsid w:val="00625931"/>
    <w:rsid w:val="00625AAC"/>
    <w:rsid w:val="00625BEA"/>
    <w:rsid w:val="00625C09"/>
    <w:rsid w:val="00625D45"/>
    <w:rsid w:val="0062606D"/>
    <w:rsid w:val="006262B4"/>
    <w:rsid w:val="006263FD"/>
    <w:rsid w:val="006264D8"/>
    <w:rsid w:val="006264E7"/>
    <w:rsid w:val="00626503"/>
    <w:rsid w:val="00626519"/>
    <w:rsid w:val="0062659A"/>
    <w:rsid w:val="00626663"/>
    <w:rsid w:val="00626683"/>
    <w:rsid w:val="00626733"/>
    <w:rsid w:val="00626777"/>
    <w:rsid w:val="0062682B"/>
    <w:rsid w:val="00626A1E"/>
    <w:rsid w:val="00626B14"/>
    <w:rsid w:val="00626B26"/>
    <w:rsid w:val="00626CA5"/>
    <w:rsid w:val="006271E6"/>
    <w:rsid w:val="00627205"/>
    <w:rsid w:val="0062736E"/>
    <w:rsid w:val="00627392"/>
    <w:rsid w:val="0062762D"/>
    <w:rsid w:val="0062766C"/>
    <w:rsid w:val="006277D7"/>
    <w:rsid w:val="0062780C"/>
    <w:rsid w:val="00627962"/>
    <w:rsid w:val="00627A14"/>
    <w:rsid w:val="00627A55"/>
    <w:rsid w:val="00627ACA"/>
    <w:rsid w:val="00627DB8"/>
    <w:rsid w:val="00627DE8"/>
    <w:rsid w:val="00630135"/>
    <w:rsid w:val="0063016A"/>
    <w:rsid w:val="00630294"/>
    <w:rsid w:val="006302C0"/>
    <w:rsid w:val="00630508"/>
    <w:rsid w:val="00630638"/>
    <w:rsid w:val="0063072C"/>
    <w:rsid w:val="00630812"/>
    <w:rsid w:val="00630857"/>
    <w:rsid w:val="0063088D"/>
    <w:rsid w:val="00630A4D"/>
    <w:rsid w:val="00630AB3"/>
    <w:rsid w:val="00630CEF"/>
    <w:rsid w:val="00630E01"/>
    <w:rsid w:val="00630EC7"/>
    <w:rsid w:val="00631243"/>
    <w:rsid w:val="00631499"/>
    <w:rsid w:val="00631944"/>
    <w:rsid w:val="00631AB6"/>
    <w:rsid w:val="00631BD4"/>
    <w:rsid w:val="00631C52"/>
    <w:rsid w:val="00632011"/>
    <w:rsid w:val="00632086"/>
    <w:rsid w:val="00632171"/>
    <w:rsid w:val="00632218"/>
    <w:rsid w:val="00632395"/>
    <w:rsid w:val="00632524"/>
    <w:rsid w:val="006329F9"/>
    <w:rsid w:val="00632A2D"/>
    <w:rsid w:val="00632A83"/>
    <w:rsid w:val="00632BAE"/>
    <w:rsid w:val="00632CED"/>
    <w:rsid w:val="00632E6E"/>
    <w:rsid w:val="00633114"/>
    <w:rsid w:val="0063315B"/>
    <w:rsid w:val="006332C5"/>
    <w:rsid w:val="006333FF"/>
    <w:rsid w:val="0063389F"/>
    <w:rsid w:val="006338F2"/>
    <w:rsid w:val="00633A26"/>
    <w:rsid w:val="00633B42"/>
    <w:rsid w:val="00633EAA"/>
    <w:rsid w:val="00633ED1"/>
    <w:rsid w:val="00633F23"/>
    <w:rsid w:val="006340D6"/>
    <w:rsid w:val="0063420A"/>
    <w:rsid w:val="006342CE"/>
    <w:rsid w:val="006342D9"/>
    <w:rsid w:val="0063444F"/>
    <w:rsid w:val="00634483"/>
    <w:rsid w:val="0063460A"/>
    <w:rsid w:val="006346A8"/>
    <w:rsid w:val="0063492A"/>
    <w:rsid w:val="00634931"/>
    <w:rsid w:val="00634A8F"/>
    <w:rsid w:val="00634ABB"/>
    <w:rsid w:val="00634AEF"/>
    <w:rsid w:val="00634B8E"/>
    <w:rsid w:val="00634D6C"/>
    <w:rsid w:val="006350CD"/>
    <w:rsid w:val="006350FE"/>
    <w:rsid w:val="00635183"/>
    <w:rsid w:val="006352CF"/>
    <w:rsid w:val="00635511"/>
    <w:rsid w:val="0063572B"/>
    <w:rsid w:val="006357E7"/>
    <w:rsid w:val="00635846"/>
    <w:rsid w:val="00635A8E"/>
    <w:rsid w:val="00635AD7"/>
    <w:rsid w:val="00635B1F"/>
    <w:rsid w:val="00635B24"/>
    <w:rsid w:val="00635C38"/>
    <w:rsid w:val="00635C5E"/>
    <w:rsid w:val="00635CB4"/>
    <w:rsid w:val="00635CE8"/>
    <w:rsid w:val="00635EBC"/>
    <w:rsid w:val="00635F02"/>
    <w:rsid w:val="006361E5"/>
    <w:rsid w:val="0063620A"/>
    <w:rsid w:val="00636319"/>
    <w:rsid w:val="00636418"/>
    <w:rsid w:val="00636476"/>
    <w:rsid w:val="006365BF"/>
    <w:rsid w:val="006366AA"/>
    <w:rsid w:val="006368F4"/>
    <w:rsid w:val="00636BF8"/>
    <w:rsid w:val="00636D4F"/>
    <w:rsid w:val="00636DC0"/>
    <w:rsid w:val="00636DC3"/>
    <w:rsid w:val="00636EE8"/>
    <w:rsid w:val="00637264"/>
    <w:rsid w:val="00637378"/>
    <w:rsid w:val="00637618"/>
    <w:rsid w:val="00637782"/>
    <w:rsid w:val="00637859"/>
    <w:rsid w:val="00637C0A"/>
    <w:rsid w:val="00637C27"/>
    <w:rsid w:val="00637E98"/>
    <w:rsid w:val="00637F19"/>
    <w:rsid w:val="00637FF7"/>
    <w:rsid w:val="00640332"/>
    <w:rsid w:val="0064049A"/>
    <w:rsid w:val="006404DB"/>
    <w:rsid w:val="00640602"/>
    <w:rsid w:val="0064071A"/>
    <w:rsid w:val="00640968"/>
    <w:rsid w:val="00640A78"/>
    <w:rsid w:val="00640B9E"/>
    <w:rsid w:val="00640C36"/>
    <w:rsid w:val="00640F55"/>
    <w:rsid w:val="00641000"/>
    <w:rsid w:val="006411FE"/>
    <w:rsid w:val="0064120A"/>
    <w:rsid w:val="006412E7"/>
    <w:rsid w:val="006414F4"/>
    <w:rsid w:val="00641795"/>
    <w:rsid w:val="006417FE"/>
    <w:rsid w:val="00641AAE"/>
    <w:rsid w:val="00641B8E"/>
    <w:rsid w:val="00641BC3"/>
    <w:rsid w:val="00641C8E"/>
    <w:rsid w:val="00641CA0"/>
    <w:rsid w:val="00641CD3"/>
    <w:rsid w:val="00641DD2"/>
    <w:rsid w:val="00641EAE"/>
    <w:rsid w:val="00641F3E"/>
    <w:rsid w:val="0064213B"/>
    <w:rsid w:val="00642205"/>
    <w:rsid w:val="00642401"/>
    <w:rsid w:val="006424AC"/>
    <w:rsid w:val="006425A4"/>
    <w:rsid w:val="00642A4E"/>
    <w:rsid w:val="00642D2A"/>
    <w:rsid w:val="00642E16"/>
    <w:rsid w:val="00642E49"/>
    <w:rsid w:val="00642F32"/>
    <w:rsid w:val="0064326D"/>
    <w:rsid w:val="006435EA"/>
    <w:rsid w:val="00643B30"/>
    <w:rsid w:val="00643FCF"/>
    <w:rsid w:val="00644050"/>
    <w:rsid w:val="00644086"/>
    <w:rsid w:val="006442AF"/>
    <w:rsid w:val="006444E1"/>
    <w:rsid w:val="00644540"/>
    <w:rsid w:val="00644550"/>
    <w:rsid w:val="00644632"/>
    <w:rsid w:val="006446BB"/>
    <w:rsid w:val="0064473C"/>
    <w:rsid w:val="006448BC"/>
    <w:rsid w:val="006448F3"/>
    <w:rsid w:val="006449B8"/>
    <w:rsid w:val="006449CB"/>
    <w:rsid w:val="00644AFC"/>
    <w:rsid w:val="00645226"/>
    <w:rsid w:val="00645470"/>
    <w:rsid w:val="006456D5"/>
    <w:rsid w:val="00645866"/>
    <w:rsid w:val="0064592C"/>
    <w:rsid w:val="00645A1D"/>
    <w:rsid w:val="00645A29"/>
    <w:rsid w:val="00645D48"/>
    <w:rsid w:val="00645D70"/>
    <w:rsid w:val="00645E18"/>
    <w:rsid w:val="00645EDF"/>
    <w:rsid w:val="00645FCA"/>
    <w:rsid w:val="006460D9"/>
    <w:rsid w:val="0064618E"/>
    <w:rsid w:val="006461BC"/>
    <w:rsid w:val="00646340"/>
    <w:rsid w:val="006463D0"/>
    <w:rsid w:val="00646705"/>
    <w:rsid w:val="0064698E"/>
    <w:rsid w:val="00646A1D"/>
    <w:rsid w:val="00646B88"/>
    <w:rsid w:val="00646BF8"/>
    <w:rsid w:val="00646BFE"/>
    <w:rsid w:val="00646CD5"/>
    <w:rsid w:val="00646F97"/>
    <w:rsid w:val="00647338"/>
    <w:rsid w:val="0064741F"/>
    <w:rsid w:val="0064776F"/>
    <w:rsid w:val="006477EF"/>
    <w:rsid w:val="006478BA"/>
    <w:rsid w:val="0064790B"/>
    <w:rsid w:val="00647982"/>
    <w:rsid w:val="00647C6F"/>
    <w:rsid w:val="00647CEC"/>
    <w:rsid w:val="00647DC5"/>
    <w:rsid w:val="00647E9A"/>
    <w:rsid w:val="00647EE5"/>
    <w:rsid w:val="0065024E"/>
    <w:rsid w:val="006503B2"/>
    <w:rsid w:val="006503D1"/>
    <w:rsid w:val="0065042A"/>
    <w:rsid w:val="00650458"/>
    <w:rsid w:val="00650487"/>
    <w:rsid w:val="006504F8"/>
    <w:rsid w:val="006505C6"/>
    <w:rsid w:val="006506C2"/>
    <w:rsid w:val="0065085A"/>
    <w:rsid w:val="00650A1D"/>
    <w:rsid w:val="00650B24"/>
    <w:rsid w:val="00650BBE"/>
    <w:rsid w:val="00650D2D"/>
    <w:rsid w:val="00650DED"/>
    <w:rsid w:val="00650FBA"/>
    <w:rsid w:val="00651117"/>
    <w:rsid w:val="00651154"/>
    <w:rsid w:val="006511A6"/>
    <w:rsid w:val="006512DB"/>
    <w:rsid w:val="00651332"/>
    <w:rsid w:val="006513AA"/>
    <w:rsid w:val="006513D6"/>
    <w:rsid w:val="006513E0"/>
    <w:rsid w:val="006514AB"/>
    <w:rsid w:val="006514B6"/>
    <w:rsid w:val="00651508"/>
    <w:rsid w:val="0065177E"/>
    <w:rsid w:val="0065178F"/>
    <w:rsid w:val="006517F6"/>
    <w:rsid w:val="0065185B"/>
    <w:rsid w:val="006518C6"/>
    <w:rsid w:val="0065190A"/>
    <w:rsid w:val="00651B4E"/>
    <w:rsid w:val="00651D99"/>
    <w:rsid w:val="00651DCB"/>
    <w:rsid w:val="00651E91"/>
    <w:rsid w:val="00651FF1"/>
    <w:rsid w:val="006520DC"/>
    <w:rsid w:val="00652103"/>
    <w:rsid w:val="006521B1"/>
    <w:rsid w:val="0065254B"/>
    <w:rsid w:val="0065257C"/>
    <w:rsid w:val="006527D1"/>
    <w:rsid w:val="00652821"/>
    <w:rsid w:val="00652829"/>
    <w:rsid w:val="00652A02"/>
    <w:rsid w:val="00652A90"/>
    <w:rsid w:val="00652BB2"/>
    <w:rsid w:val="00652D49"/>
    <w:rsid w:val="00652D69"/>
    <w:rsid w:val="00652EAE"/>
    <w:rsid w:val="0065315A"/>
    <w:rsid w:val="0065321F"/>
    <w:rsid w:val="006532CA"/>
    <w:rsid w:val="00653428"/>
    <w:rsid w:val="006534C1"/>
    <w:rsid w:val="006538E2"/>
    <w:rsid w:val="0065394C"/>
    <w:rsid w:val="00653AFD"/>
    <w:rsid w:val="00653B49"/>
    <w:rsid w:val="00653FEF"/>
    <w:rsid w:val="0065401A"/>
    <w:rsid w:val="006541A3"/>
    <w:rsid w:val="006543A1"/>
    <w:rsid w:val="006543CC"/>
    <w:rsid w:val="00654560"/>
    <w:rsid w:val="006545DF"/>
    <w:rsid w:val="0065480E"/>
    <w:rsid w:val="00654A30"/>
    <w:rsid w:val="00654A4E"/>
    <w:rsid w:val="00654A9E"/>
    <w:rsid w:val="00654CAB"/>
    <w:rsid w:val="00654D2A"/>
    <w:rsid w:val="00654DE6"/>
    <w:rsid w:val="00654ED9"/>
    <w:rsid w:val="00654F02"/>
    <w:rsid w:val="00654F23"/>
    <w:rsid w:val="00655132"/>
    <w:rsid w:val="006551F8"/>
    <w:rsid w:val="006553AF"/>
    <w:rsid w:val="006553E6"/>
    <w:rsid w:val="00655411"/>
    <w:rsid w:val="0065542B"/>
    <w:rsid w:val="00655537"/>
    <w:rsid w:val="006555F6"/>
    <w:rsid w:val="0065567F"/>
    <w:rsid w:val="00655681"/>
    <w:rsid w:val="0065568D"/>
    <w:rsid w:val="006556BC"/>
    <w:rsid w:val="00655712"/>
    <w:rsid w:val="006557F4"/>
    <w:rsid w:val="00655983"/>
    <w:rsid w:val="006559CE"/>
    <w:rsid w:val="00655B95"/>
    <w:rsid w:val="00655C16"/>
    <w:rsid w:val="00655E12"/>
    <w:rsid w:val="00655FF3"/>
    <w:rsid w:val="006560E7"/>
    <w:rsid w:val="0065624F"/>
    <w:rsid w:val="006566E1"/>
    <w:rsid w:val="006567DB"/>
    <w:rsid w:val="00656B08"/>
    <w:rsid w:val="00656F60"/>
    <w:rsid w:val="00656FDB"/>
    <w:rsid w:val="00657054"/>
    <w:rsid w:val="00657615"/>
    <w:rsid w:val="006577CA"/>
    <w:rsid w:val="00657979"/>
    <w:rsid w:val="00657A63"/>
    <w:rsid w:val="00657A7F"/>
    <w:rsid w:val="00657D57"/>
    <w:rsid w:val="00657EEA"/>
    <w:rsid w:val="00660312"/>
    <w:rsid w:val="00660319"/>
    <w:rsid w:val="006603C3"/>
    <w:rsid w:val="00660482"/>
    <w:rsid w:val="0066064F"/>
    <w:rsid w:val="00660690"/>
    <w:rsid w:val="00660752"/>
    <w:rsid w:val="00660999"/>
    <w:rsid w:val="00660B6D"/>
    <w:rsid w:val="00660F0B"/>
    <w:rsid w:val="00661022"/>
    <w:rsid w:val="006612D6"/>
    <w:rsid w:val="006614DF"/>
    <w:rsid w:val="00661576"/>
    <w:rsid w:val="0066189B"/>
    <w:rsid w:val="006618A0"/>
    <w:rsid w:val="006618A3"/>
    <w:rsid w:val="006618AF"/>
    <w:rsid w:val="00661941"/>
    <w:rsid w:val="00661B69"/>
    <w:rsid w:val="00661C3F"/>
    <w:rsid w:val="00661F21"/>
    <w:rsid w:val="00661F5F"/>
    <w:rsid w:val="00661F67"/>
    <w:rsid w:val="00662279"/>
    <w:rsid w:val="0066241A"/>
    <w:rsid w:val="00662808"/>
    <w:rsid w:val="00662ACE"/>
    <w:rsid w:val="00662B72"/>
    <w:rsid w:val="00662C8D"/>
    <w:rsid w:val="00662DAB"/>
    <w:rsid w:val="00663096"/>
    <w:rsid w:val="00663205"/>
    <w:rsid w:val="006633E8"/>
    <w:rsid w:val="006634CE"/>
    <w:rsid w:val="006634FB"/>
    <w:rsid w:val="00663624"/>
    <w:rsid w:val="00663632"/>
    <w:rsid w:val="0066390F"/>
    <w:rsid w:val="00663B36"/>
    <w:rsid w:val="00663C4A"/>
    <w:rsid w:val="00663C6E"/>
    <w:rsid w:val="00663CAF"/>
    <w:rsid w:val="00663F0D"/>
    <w:rsid w:val="00664224"/>
    <w:rsid w:val="00664494"/>
    <w:rsid w:val="006644D5"/>
    <w:rsid w:val="00664704"/>
    <w:rsid w:val="006647D4"/>
    <w:rsid w:val="0066486F"/>
    <w:rsid w:val="00664A78"/>
    <w:rsid w:val="00664B2D"/>
    <w:rsid w:val="00664B5E"/>
    <w:rsid w:val="00664D3C"/>
    <w:rsid w:val="00664E49"/>
    <w:rsid w:val="00664F2A"/>
    <w:rsid w:val="00665119"/>
    <w:rsid w:val="00665265"/>
    <w:rsid w:val="00665510"/>
    <w:rsid w:val="0066552E"/>
    <w:rsid w:val="006656A9"/>
    <w:rsid w:val="0066579C"/>
    <w:rsid w:val="006657A9"/>
    <w:rsid w:val="006658ED"/>
    <w:rsid w:val="0066594D"/>
    <w:rsid w:val="00665AC6"/>
    <w:rsid w:val="00665D60"/>
    <w:rsid w:val="00665DCB"/>
    <w:rsid w:val="00665E3C"/>
    <w:rsid w:val="00665F28"/>
    <w:rsid w:val="00665FA9"/>
    <w:rsid w:val="00666140"/>
    <w:rsid w:val="00666143"/>
    <w:rsid w:val="006661F2"/>
    <w:rsid w:val="00666367"/>
    <w:rsid w:val="006663E2"/>
    <w:rsid w:val="0066640B"/>
    <w:rsid w:val="006666DF"/>
    <w:rsid w:val="006668F9"/>
    <w:rsid w:val="0066691D"/>
    <w:rsid w:val="00666945"/>
    <w:rsid w:val="00666AD6"/>
    <w:rsid w:val="00666B5D"/>
    <w:rsid w:val="00666EFB"/>
    <w:rsid w:val="00667375"/>
    <w:rsid w:val="0066737D"/>
    <w:rsid w:val="00667514"/>
    <w:rsid w:val="006675F1"/>
    <w:rsid w:val="00667654"/>
    <w:rsid w:val="00667665"/>
    <w:rsid w:val="00667758"/>
    <w:rsid w:val="00667778"/>
    <w:rsid w:val="00667861"/>
    <w:rsid w:val="006678CD"/>
    <w:rsid w:val="0066791F"/>
    <w:rsid w:val="00667ADC"/>
    <w:rsid w:val="00667BFD"/>
    <w:rsid w:val="00667CBF"/>
    <w:rsid w:val="00667D0A"/>
    <w:rsid w:val="00667F5E"/>
    <w:rsid w:val="00667FBE"/>
    <w:rsid w:val="0067012B"/>
    <w:rsid w:val="00670284"/>
    <w:rsid w:val="00670324"/>
    <w:rsid w:val="006705E1"/>
    <w:rsid w:val="00670967"/>
    <w:rsid w:val="00670A51"/>
    <w:rsid w:val="00670AEC"/>
    <w:rsid w:val="00670B37"/>
    <w:rsid w:val="00670B70"/>
    <w:rsid w:val="00670BD0"/>
    <w:rsid w:val="00670D09"/>
    <w:rsid w:val="00670EBF"/>
    <w:rsid w:val="00670EFC"/>
    <w:rsid w:val="00670F33"/>
    <w:rsid w:val="00671128"/>
    <w:rsid w:val="0067155F"/>
    <w:rsid w:val="00671704"/>
    <w:rsid w:val="00671984"/>
    <w:rsid w:val="00671BE4"/>
    <w:rsid w:val="00671D0E"/>
    <w:rsid w:val="00671D14"/>
    <w:rsid w:val="00671D75"/>
    <w:rsid w:val="00671E38"/>
    <w:rsid w:val="00671E4C"/>
    <w:rsid w:val="0067226B"/>
    <w:rsid w:val="00672301"/>
    <w:rsid w:val="0067257F"/>
    <w:rsid w:val="00672623"/>
    <w:rsid w:val="0067284F"/>
    <w:rsid w:val="006728FD"/>
    <w:rsid w:val="00672B0C"/>
    <w:rsid w:val="00672C55"/>
    <w:rsid w:val="00672CB8"/>
    <w:rsid w:val="00672D17"/>
    <w:rsid w:val="00672EA0"/>
    <w:rsid w:val="006730C6"/>
    <w:rsid w:val="006730F4"/>
    <w:rsid w:val="0067325E"/>
    <w:rsid w:val="00673528"/>
    <w:rsid w:val="00673555"/>
    <w:rsid w:val="006737ED"/>
    <w:rsid w:val="0067382C"/>
    <w:rsid w:val="0067392F"/>
    <w:rsid w:val="00673983"/>
    <w:rsid w:val="006739F7"/>
    <w:rsid w:val="00673A11"/>
    <w:rsid w:val="00673A1F"/>
    <w:rsid w:val="00673CA1"/>
    <w:rsid w:val="00673CDE"/>
    <w:rsid w:val="00673E1B"/>
    <w:rsid w:val="006740CF"/>
    <w:rsid w:val="006740D4"/>
    <w:rsid w:val="006743A0"/>
    <w:rsid w:val="0067443B"/>
    <w:rsid w:val="006746CD"/>
    <w:rsid w:val="0067472F"/>
    <w:rsid w:val="00674943"/>
    <w:rsid w:val="00674AE4"/>
    <w:rsid w:val="00674C37"/>
    <w:rsid w:val="00674DD7"/>
    <w:rsid w:val="00674E6C"/>
    <w:rsid w:val="00674FA0"/>
    <w:rsid w:val="00674FBF"/>
    <w:rsid w:val="00675036"/>
    <w:rsid w:val="0067530B"/>
    <w:rsid w:val="006754C1"/>
    <w:rsid w:val="00675521"/>
    <w:rsid w:val="00675C96"/>
    <w:rsid w:val="00675CDF"/>
    <w:rsid w:val="00675D55"/>
    <w:rsid w:val="006760E5"/>
    <w:rsid w:val="00676378"/>
    <w:rsid w:val="0067653B"/>
    <w:rsid w:val="006765E5"/>
    <w:rsid w:val="00676651"/>
    <w:rsid w:val="006766BA"/>
    <w:rsid w:val="0067670A"/>
    <w:rsid w:val="0067682D"/>
    <w:rsid w:val="006768F3"/>
    <w:rsid w:val="00676959"/>
    <w:rsid w:val="00676A55"/>
    <w:rsid w:val="00676B14"/>
    <w:rsid w:val="00676F0F"/>
    <w:rsid w:val="00677155"/>
    <w:rsid w:val="006771F0"/>
    <w:rsid w:val="006772EC"/>
    <w:rsid w:val="006774D3"/>
    <w:rsid w:val="0067791A"/>
    <w:rsid w:val="00677B0E"/>
    <w:rsid w:val="00677D8C"/>
    <w:rsid w:val="00677E3D"/>
    <w:rsid w:val="00677FFA"/>
    <w:rsid w:val="006800C7"/>
    <w:rsid w:val="00680144"/>
    <w:rsid w:val="0068018D"/>
    <w:rsid w:val="006801F3"/>
    <w:rsid w:val="0068036C"/>
    <w:rsid w:val="0068037F"/>
    <w:rsid w:val="00680949"/>
    <w:rsid w:val="00680950"/>
    <w:rsid w:val="00680B1D"/>
    <w:rsid w:val="00680FED"/>
    <w:rsid w:val="006810A8"/>
    <w:rsid w:val="0068118B"/>
    <w:rsid w:val="006812F0"/>
    <w:rsid w:val="00681548"/>
    <w:rsid w:val="0068161E"/>
    <w:rsid w:val="006816EB"/>
    <w:rsid w:val="00681737"/>
    <w:rsid w:val="006818A5"/>
    <w:rsid w:val="00681A3D"/>
    <w:rsid w:val="00681B78"/>
    <w:rsid w:val="00681BB5"/>
    <w:rsid w:val="00681E45"/>
    <w:rsid w:val="00681FDF"/>
    <w:rsid w:val="00682128"/>
    <w:rsid w:val="006821CD"/>
    <w:rsid w:val="006823D4"/>
    <w:rsid w:val="0068246A"/>
    <w:rsid w:val="00682559"/>
    <w:rsid w:val="00682649"/>
    <w:rsid w:val="00682787"/>
    <w:rsid w:val="0068290B"/>
    <w:rsid w:val="00682927"/>
    <w:rsid w:val="0068293F"/>
    <w:rsid w:val="00682981"/>
    <w:rsid w:val="006829C4"/>
    <w:rsid w:val="00682A52"/>
    <w:rsid w:val="00682ADB"/>
    <w:rsid w:val="00682C78"/>
    <w:rsid w:val="00682DC2"/>
    <w:rsid w:val="00682DD0"/>
    <w:rsid w:val="00682F7F"/>
    <w:rsid w:val="006831D6"/>
    <w:rsid w:val="006831DE"/>
    <w:rsid w:val="00683340"/>
    <w:rsid w:val="006833D8"/>
    <w:rsid w:val="00683513"/>
    <w:rsid w:val="00683613"/>
    <w:rsid w:val="006836C6"/>
    <w:rsid w:val="00683721"/>
    <w:rsid w:val="00683900"/>
    <w:rsid w:val="006839EF"/>
    <w:rsid w:val="00683A46"/>
    <w:rsid w:val="00683AB4"/>
    <w:rsid w:val="00683AC5"/>
    <w:rsid w:val="00683BF3"/>
    <w:rsid w:val="00683D95"/>
    <w:rsid w:val="00683E1B"/>
    <w:rsid w:val="006840E2"/>
    <w:rsid w:val="00684216"/>
    <w:rsid w:val="00684269"/>
    <w:rsid w:val="006842D3"/>
    <w:rsid w:val="00684526"/>
    <w:rsid w:val="0068452F"/>
    <w:rsid w:val="00684569"/>
    <w:rsid w:val="006845DC"/>
    <w:rsid w:val="006846E0"/>
    <w:rsid w:val="00684AAE"/>
    <w:rsid w:val="00684BE3"/>
    <w:rsid w:val="00684CD4"/>
    <w:rsid w:val="00684E01"/>
    <w:rsid w:val="00684ECC"/>
    <w:rsid w:val="00685788"/>
    <w:rsid w:val="00685883"/>
    <w:rsid w:val="00685AFF"/>
    <w:rsid w:val="00685CAE"/>
    <w:rsid w:val="00685DA8"/>
    <w:rsid w:val="00685E1F"/>
    <w:rsid w:val="00685E90"/>
    <w:rsid w:val="0068631A"/>
    <w:rsid w:val="0068636C"/>
    <w:rsid w:val="006868D0"/>
    <w:rsid w:val="006868FE"/>
    <w:rsid w:val="00686B59"/>
    <w:rsid w:val="00686BA2"/>
    <w:rsid w:val="00686C5A"/>
    <w:rsid w:val="00686D93"/>
    <w:rsid w:val="00686DC3"/>
    <w:rsid w:val="00686E32"/>
    <w:rsid w:val="00686FCF"/>
    <w:rsid w:val="00686FEE"/>
    <w:rsid w:val="00686FF9"/>
    <w:rsid w:val="00687276"/>
    <w:rsid w:val="006877BF"/>
    <w:rsid w:val="00687890"/>
    <w:rsid w:val="006878FD"/>
    <w:rsid w:val="00687954"/>
    <w:rsid w:val="00687AA9"/>
    <w:rsid w:val="00687C9B"/>
    <w:rsid w:val="00687DCC"/>
    <w:rsid w:val="00687E55"/>
    <w:rsid w:val="00687F67"/>
    <w:rsid w:val="006902C4"/>
    <w:rsid w:val="00690359"/>
    <w:rsid w:val="006903A9"/>
    <w:rsid w:val="006903C8"/>
    <w:rsid w:val="006903E5"/>
    <w:rsid w:val="006905D8"/>
    <w:rsid w:val="00690613"/>
    <w:rsid w:val="006907D4"/>
    <w:rsid w:val="00690978"/>
    <w:rsid w:val="0069099C"/>
    <w:rsid w:val="00690BE5"/>
    <w:rsid w:val="00690F82"/>
    <w:rsid w:val="00691077"/>
    <w:rsid w:val="0069114D"/>
    <w:rsid w:val="0069123C"/>
    <w:rsid w:val="00691248"/>
    <w:rsid w:val="0069125B"/>
    <w:rsid w:val="006913B2"/>
    <w:rsid w:val="00691449"/>
    <w:rsid w:val="0069179F"/>
    <w:rsid w:val="0069192F"/>
    <w:rsid w:val="00691B01"/>
    <w:rsid w:val="00691EA3"/>
    <w:rsid w:val="00691F17"/>
    <w:rsid w:val="00691F54"/>
    <w:rsid w:val="00692006"/>
    <w:rsid w:val="0069206E"/>
    <w:rsid w:val="00692120"/>
    <w:rsid w:val="0069214A"/>
    <w:rsid w:val="0069225C"/>
    <w:rsid w:val="0069237B"/>
    <w:rsid w:val="00692395"/>
    <w:rsid w:val="00692438"/>
    <w:rsid w:val="0069250A"/>
    <w:rsid w:val="006925EA"/>
    <w:rsid w:val="006926F5"/>
    <w:rsid w:val="00692704"/>
    <w:rsid w:val="00692747"/>
    <w:rsid w:val="00692778"/>
    <w:rsid w:val="00692798"/>
    <w:rsid w:val="00692860"/>
    <w:rsid w:val="006928CA"/>
    <w:rsid w:val="0069292E"/>
    <w:rsid w:val="00692A16"/>
    <w:rsid w:val="00692B5A"/>
    <w:rsid w:val="00692B76"/>
    <w:rsid w:val="00692B90"/>
    <w:rsid w:val="00692B94"/>
    <w:rsid w:val="00692C5E"/>
    <w:rsid w:val="00692D11"/>
    <w:rsid w:val="00692DAE"/>
    <w:rsid w:val="00692E8D"/>
    <w:rsid w:val="00692EDF"/>
    <w:rsid w:val="00693217"/>
    <w:rsid w:val="0069335D"/>
    <w:rsid w:val="00693416"/>
    <w:rsid w:val="0069353F"/>
    <w:rsid w:val="006935AB"/>
    <w:rsid w:val="006935F0"/>
    <w:rsid w:val="0069372B"/>
    <w:rsid w:val="00693873"/>
    <w:rsid w:val="00693877"/>
    <w:rsid w:val="00693A04"/>
    <w:rsid w:val="00693AA6"/>
    <w:rsid w:val="00693B4E"/>
    <w:rsid w:val="00693F72"/>
    <w:rsid w:val="00693FE1"/>
    <w:rsid w:val="0069409F"/>
    <w:rsid w:val="006943B4"/>
    <w:rsid w:val="006943DE"/>
    <w:rsid w:val="0069452C"/>
    <w:rsid w:val="006946EB"/>
    <w:rsid w:val="006946F3"/>
    <w:rsid w:val="006948BC"/>
    <w:rsid w:val="00694A73"/>
    <w:rsid w:val="00694ADC"/>
    <w:rsid w:val="00694E80"/>
    <w:rsid w:val="00694F0E"/>
    <w:rsid w:val="0069523C"/>
    <w:rsid w:val="0069532F"/>
    <w:rsid w:val="00695351"/>
    <w:rsid w:val="0069551C"/>
    <w:rsid w:val="0069560D"/>
    <w:rsid w:val="00695692"/>
    <w:rsid w:val="006959D2"/>
    <w:rsid w:val="00695B60"/>
    <w:rsid w:val="00695BCE"/>
    <w:rsid w:val="00695CBF"/>
    <w:rsid w:val="00695D49"/>
    <w:rsid w:val="00695D8C"/>
    <w:rsid w:val="00696593"/>
    <w:rsid w:val="0069678D"/>
    <w:rsid w:val="00696821"/>
    <w:rsid w:val="00696883"/>
    <w:rsid w:val="006968E0"/>
    <w:rsid w:val="00696910"/>
    <w:rsid w:val="0069693B"/>
    <w:rsid w:val="00696A31"/>
    <w:rsid w:val="00696B7C"/>
    <w:rsid w:val="00696C1C"/>
    <w:rsid w:val="00696C3A"/>
    <w:rsid w:val="00696CE4"/>
    <w:rsid w:val="00696EBA"/>
    <w:rsid w:val="00696F54"/>
    <w:rsid w:val="00696FBE"/>
    <w:rsid w:val="00697003"/>
    <w:rsid w:val="006970BF"/>
    <w:rsid w:val="0069711D"/>
    <w:rsid w:val="006972DC"/>
    <w:rsid w:val="00697512"/>
    <w:rsid w:val="006978F3"/>
    <w:rsid w:val="00697A17"/>
    <w:rsid w:val="00697B46"/>
    <w:rsid w:val="00697BA4"/>
    <w:rsid w:val="00697BB8"/>
    <w:rsid w:val="00697DE7"/>
    <w:rsid w:val="00697DFC"/>
    <w:rsid w:val="006A0059"/>
    <w:rsid w:val="006A0076"/>
    <w:rsid w:val="006A0086"/>
    <w:rsid w:val="006A0113"/>
    <w:rsid w:val="006A0329"/>
    <w:rsid w:val="006A033A"/>
    <w:rsid w:val="006A0499"/>
    <w:rsid w:val="006A04C4"/>
    <w:rsid w:val="006A0573"/>
    <w:rsid w:val="006A08D6"/>
    <w:rsid w:val="006A09D1"/>
    <w:rsid w:val="006A0B8B"/>
    <w:rsid w:val="006A0CB0"/>
    <w:rsid w:val="006A0D2F"/>
    <w:rsid w:val="006A0D7D"/>
    <w:rsid w:val="006A0E7E"/>
    <w:rsid w:val="006A12EF"/>
    <w:rsid w:val="006A13A2"/>
    <w:rsid w:val="006A154D"/>
    <w:rsid w:val="006A15CF"/>
    <w:rsid w:val="006A16B8"/>
    <w:rsid w:val="006A16C3"/>
    <w:rsid w:val="006A1770"/>
    <w:rsid w:val="006A1873"/>
    <w:rsid w:val="006A1D72"/>
    <w:rsid w:val="006A1E52"/>
    <w:rsid w:val="006A1F90"/>
    <w:rsid w:val="006A1FB8"/>
    <w:rsid w:val="006A21FF"/>
    <w:rsid w:val="006A2312"/>
    <w:rsid w:val="006A23A5"/>
    <w:rsid w:val="006A2873"/>
    <w:rsid w:val="006A2963"/>
    <w:rsid w:val="006A2B1F"/>
    <w:rsid w:val="006A2E05"/>
    <w:rsid w:val="006A2FCA"/>
    <w:rsid w:val="006A32AE"/>
    <w:rsid w:val="006A3416"/>
    <w:rsid w:val="006A34D9"/>
    <w:rsid w:val="006A3779"/>
    <w:rsid w:val="006A3A25"/>
    <w:rsid w:val="006A3BE2"/>
    <w:rsid w:val="006A3BF6"/>
    <w:rsid w:val="006A409D"/>
    <w:rsid w:val="006A4138"/>
    <w:rsid w:val="006A43B1"/>
    <w:rsid w:val="006A44EA"/>
    <w:rsid w:val="006A47F5"/>
    <w:rsid w:val="006A4847"/>
    <w:rsid w:val="006A4A21"/>
    <w:rsid w:val="006A4BA0"/>
    <w:rsid w:val="006A4C5C"/>
    <w:rsid w:val="006A4DFA"/>
    <w:rsid w:val="006A4F2E"/>
    <w:rsid w:val="006A511D"/>
    <w:rsid w:val="006A5152"/>
    <w:rsid w:val="006A553C"/>
    <w:rsid w:val="006A5545"/>
    <w:rsid w:val="006A5823"/>
    <w:rsid w:val="006A58A6"/>
    <w:rsid w:val="006A58F3"/>
    <w:rsid w:val="006A5A09"/>
    <w:rsid w:val="006A5A48"/>
    <w:rsid w:val="006A5AE1"/>
    <w:rsid w:val="006A5BC0"/>
    <w:rsid w:val="006A6075"/>
    <w:rsid w:val="006A61E4"/>
    <w:rsid w:val="006A6250"/>
    <w:rsid w:val="006A62F5"/>
    <w:rsid w:val="006A649E"/>
    <w:rsid w:val="006A653F"/>
    <w:rsid w:val="006A6608"/>
    <w:rsid w:val="006A66AB"/>
    <w:rsid w:val="006A6739"/>
    <w:rsid w:val="006A6918"/>
    <w:rsid w:val="006A6B7B"/>
    <w:rsid w:val="006A6CE2"/>
    <w:rsid w:val="006A6DF9"/>
    <w:rsid w:val="006A6F49"/>
    <w:rsid w:val="006A70E8"/>
    <w:rsid w:val="006A72DA"/>
    <w:rsid w:val="006A72F3"/>
    <w:rsid w:val="006A7315"/>
    <w:rsid w:val="006A731B"/>
    <w:rsid w:val="006A733C"/>
    <w:rsid w:val="006A73E2"/>
    <w:rsid w:val="006A767E"/>
    <w:rsid w:val="006A77E7"/>
    <w:rsid w:val="006A7887"/>
    <w:rsid w:val="006A78E7"/>
    <w:rsid w:val="006A7934"/>
    <w:rsid w:val="006A79D3"/>
    <w:rsid w:val="006A7B24"/>
    <w:rsid w:val="006A7D1E"/>
    <w:rsid w:val="006AE266"/>
    <w:rsid w:val="006B0060"/>
    <w:rsid w:val="006B00C3"/>
    <w:rsid w:val="006B0181"/>
    <w:rsid w:val="006B022F"/>
    <w:rsid w:val="006B0449"/>
    <w:rsid w:val="006B05C7"/>
    <w:rsid w:val="006B064A"/>
    <w:rsid w:val="006B0658"/>
    <w:rsid w:val="006B072C"/>
    <w:rsid w:val="006B07A7"/>
    <w:rsid w:val="006B07D0"/>
    <w:rsid w:val="006B0B30"/>
    <w:rsid w:val="006B0F8B"/>
    <w:rsid w:val="006B0FB8"/>
    <w:rsid w:val="006B10BD"/>
    <w:rsid w:val="006B126C"/>
    <w:rsid w:val="006B1632"/>
    <w:rsid w:val="006B1789"/>
    <w:rsid w:val="006B1802"/>
    <w:rsid w:val="006B189F"/>
    <w:rsid w:val="006B190C"/>
    <w:rsid w:val="006B19D0"/>
    <w:rsid w:val="006B1BDC"/>
    <w:rsid w:val="006B1C08"/>
    <w:rsid w:val="006B1C1A"/>
    <w:rsid w:val="006B1CA1"/>
    <w:rsid w:val="006B1FD2"/>
    <w:rsid w:val="006B203E"/>
    <w:rsid w:val="006B219A"/>
    <w:rsid w:val="006B2215"/>
    <w:rsid w:val="006B2279"/>
    <w:rsid w:val="006B2309"/>
    <w:rsid w:val="006B2354"/>
    <w:rsid w:val="006B2467"/>
    <w:rsid w:val="006B2502"/>
    <w:rsid w:val="006B26A0"/>
    <w:rsid w:val="006B28EA"/>
    <w:rsid w:val="006B296F"/>
    <w:rsid w:val="006B2A8B"/>
    <w:rsid w:val="006B2AB7"/>
    <w:rsid w:val="006B2C21"/>
    <w:rsid w:val="006B2C24"/>
    <w:rsid w:val="006B2F08"/>
    <w:rsid w:val="006B2F9A"/>
    <w:rsid w:val="006B2FFF"/>
    <w:rsid w:val="006B3529"/>
    <w:rsid w:val="006B3546"/>
    <w:rsid w:val="006B35A5"/>
    <w:rsid w:val="006B3615"/>
    <w:rsid w:val="006B38CD"/>
    <w:rsid w:val="006B39BD"/>
    <w:rsid w:val="006B3AF0"/>
    <w:rsid w:val="006B3B5F"/>
    <w:rsid w:val="006B4081"/>
    <w:rsid w:val="006B4109"/>
    <w:rsid w:val="006B425F"/>
    <w:rsid w:val="006B4283"/>
    <w:rsid w:val="006B42F9"/>
    <w:rsid w:val="006B43D1"/>
    <w:rsid w:val="006B43D7"/>
    <w:rsid w:val="006B440F"/>
    <w:rsid w:val="006B4520"/>
    <w:rsid w:val="006B46BB"/>
    <w:rsid w:val="006B48F7"/>
    <w:rsid w:val="006B491A"/>
    <w:rsid w:val="006B4C10"/>
    <w:rsid w:val="006B4C87"/>
    <w:rsid w:val="006B4CF7"/>
    <w:rsid w:val="006B4E3C"/>
    <w:rsid w:val="006B50D4"/>
    <w:rsid w:val="006B53EC"/>
    <w:rsid w:val="006B5473"/>
    <w:rsid w:val="006B558E"/>
    <w:rsid w:val="006B572C"/>
    <w:rsid w:val="006B57F2"/>
    <w:rsid w:val="006B5953"/>
    <w:rsid w:val="006B5F06"/>
    <w:rsid w:val="006B5F29"/>
    <w:rsid w:val="006B623B"/>
    <w:rsid w:val="006B6247"/>
    <w:rsid w:val="006B6262"/>
    <w:rsid w:val="006B62B6"/>
    <w:rsid w:val="006B6396"/>
    <w:rsid w:val="006B6416"/>
    <w:rsid w:val="006B6512"/>
    <w:rsid w:val="006B6759"/>
    <w:rsid w:val="006B6985"/>
    <w:rsid w:val="006B6A2D"/>
    <w:rsid w:val="006B6A4A"/>
    <w:rsid w:val="006B6A72"/>
    <w:rsid w:val="006B6AA7"/>
    <w:rsid w:val="006B6B24"/>
    <w:rsid w:val="006B6C2C"/>
    <w:rsid w:val="006B6C7A"/>
    <w:rsid w:val="006B7042"/>
    <w:rsid w:val="006B707F"/>
    <w:rsid w:val="006B71A6"/>
    <w:rsid w:val="006B71D9"/>
    <w:rsid w:val="006B725B"/>
    <w:rsid w:val="006B72BC"/>
    <w:rsid w:val="006B73E1"/>
    <w:rsid w:val="006B73F1"/>
    <w:rsid w:val="006B74F0"/>
    <w:rsid w:val="006B75F3"/>
    <w:rsid w:val="006B76A6"/>
    <w:rsid w:val="006B776C"/>
    <w:rsid w:val="006B7867"/>
    <w:rsid w:val="006B7894"/>
    <w:rsid w:val="006B7A40"/>
    <w:rsid w:val="006B7A7F"/>
    <w:rsid w:val="006B7B99"/>
    <w:rsid w:val="006B7F9F"/>
    <w:rsid w:val="006C004B"/>
    <w:rsid w:val="006C0253"/>
    <w:rsid w:val="006C025B"/>
    <w:rsid w:val="006C036F"/>
    <w:rsid w:val="006C04C1"/>
    <w:rsid w:val="006C0933"/>
    <w:rsid w:val="006C0A66"/>
    <w:rsid w:val="006C0CE4"/>
    <w:rsid w:val="006C0D1E"/>
    <w:rsid w:val="006C0D99"/>
    <w:rsid w:val="006C1036"/>
    <w:rsid w:val="006C1487"/>
    <w:rsid w:val="006C1555"/>
    <w:rsid w:val="006C1561"/>
    <w:rsid w:val="006C17E6"/>
    <w:rsid w:val="006C1812"/>
    <w:rsid w:val="006C191B"/>
    <w:rsid w:val="006C19D4"/>
    <w:rsid w:val="006C1E24"/>
    <w:rsid w:val="006C1F3A"/>
    <w:rsid w:val="006C20AE"/>
    <w:rsid w:val="006C212F"/>
    <w:rsid w:val="006C22F2"/>
    <w:rsid w:val="006C2434"/>
    <w:rsid w:val="006C243C"/>
    <w:rsid w:val="006C28E1"/>
    <w:rsid w:val="006C290F"/>
    <w:rsid w:val="006C2B3A"/>
    <w:rsid w:val="006C2C06"/>
    <w:rsid w:val="006C2D6A"/>
    <w:rsid w:val="006C300E"/>
    <w:rsid w:val="006C31D1"/>
    <w:rsid w:val="006C324A"/>
    <w:rsid w:val="006C324F"/>
    <w:rsid w:val="006C3304"/>
    <w:rsid w:val="006C33E8"/>
    <w:rsid w:val="006C354F"/>
    <w:rsid w:val="006C35A7"/>
    <w:rsid w:val="006C3775"/>
    <w:rsid w:val="006C39C6"/>
    <w:rsid w:val="006C3A4A"/>
    <w:rsid w:val="006C3A8A"/>
    <w:rsid w:val="006C3B29"/>
    <w:rsid w:val="006C3B39"/>
    <w:rsid w:val="006C3BFB"/>
    <w:rsid w:val="006C3C89"/>
    <w:rsid w:val="006C3EA4"/>
    <w:rsid w:val="006C3ECD"/>
    <w:rsid w:val="006C4014"/>
    <w:rsid w:val="006C4018"/>
    <w:rsid w:val="006C4043"/>
    <w:rsid w:val="006C4161"/>
    <w:rsid w:val="006C42B9"/>
    <w:rsid w:val="006C4394"/>
    <w:rsid w:val="006C43FA"/>
    <w:rsid w:val="006C46F7"/>
    <w:rsid w:val="006C476D"/>
    <w:rsid w:val="006C49B3"/>
    <w:rsid w:val="006C4A1A"/>
    <w:rsid w:val="006C4A62"/>
    <w:rsid w:val="006C4CC7"/>
    <w:rsid w:val="006C4D1D"/>
    <w:rsid w:val="006C4FCF"/>
    <w:rsid w:val="006C5019"/>
    <w:rsid w:val="006C502C"/>
    <w:rsid w:val="006C5170"/>
    <w:rsid w:val="006C5470"/>
    <w:rsid w:val="006C55C0"/>
    <w:rsid w:val="006C5665"/>
    <w:rsid w:val="006C58DC"/>
    <w:rsid w:val="006C5974"/>
    <w:rsid w:val="006C5A34"/>
    <w:rsid w:val="006C5AA5"/>
    <w:rsid w:val="006C5B52"/>
    <w:rsid w:val="006C5FAA"/>
    <w:rsid w:val="006C60C2"/>
    <w:rsid w:val="006C614F"/>
    <w:rsid w:val="006C61C4"/>
    <w:rsid w:val="006C6405"/>
    <w:rsid w:val="006C64BD"/>
    <w:rsid w:val="006C654A"/>
    <w:rsid w:val="006C655F"/>
    <w:rsid w:val="006C65CA"/>
    <w:rsid w:val="006C695A"/>
    <w:rsid w:val="006C6A2D"/>
    <w:rsid w:val="006C6C53"/>
    <w:rsid w:val="006C6D7A"/>
    <w:rsid w:val="006C6D9A"/>
    <w:rsid w:val="006C6DE0"/>
    <w:rsid w:val="006C6F29"/>
    <w:rsid w:val="006C6FF3"/>
    <w:rsid w:val="006C71A2"/>
    <w:rsid w:val="006C73D5"/>
    <w:rsid w:val="006C7433"/>
    <w:rsid w:val="006C74AE"/>
    <w:rsid w:val="006C74EF"/>
    <w:rsid w:val="006C7622"/>
    <w:rsid w:val="006C7653"/>
    <w:rsid w:val="006C76E9"/>
    <w:rsid w:val="006C79DD"/>
    <w:rsid w:val="006C7B8A"/>
    <w:rsid w:val="006C7CF3"/>
    <w:rsid w:val="006C7D2A"/>
    <w:rsid w:val="006C7F06"/>
    <w:rsid w:val="006C7F1F"/>
    <w:rsid w:val="006C7F44"/>
    <w:rsid w:val="006D01B8"/>
    <w:rsid w:val="006D025F"/>
    <w:rsid w:val="006D045E"/>
    <w:rsid w:val="006D06E3"/>
    <w:rsid w:val="006D088F"/>
    <w:rsid w:val="006D09A7"/>
    <w:rsid w:val="006D0A93"/>
    <w:rsid w:val="006D0DF0"/>
    <w:rsid w:val="006D108F"/>
    <w:rsid w:val="006D1365"/>
    <w:rsid w:val="006D17E0"/>
    <w:rsid w:val="006D191A"/>
    <w:rsid w:val="006D1C07"/>
    <w:rsid w:val="006D1D51"/>
    <w:rsid w:val="006D2159"/>
    <w:rsid w:val="006D21EE"/>
    <w:rsid w:val="006D2364"/>
    <w:rsid w:val="006D244F"/>
    <w:rsid w:val="006D254C"/>
    <w:rsid w:val="006D2624"/>
    <w:rsid w:val="006D2682"/>
    <w:rsid w:val="006D27AE"/>
    <w:rsid w:val="006D2A37"/>
    <w:rsid w:val="006D2A86"/>
    <w:rsid w:val="006D2AC6"/>
    <w:rsid w:val="006D2B8D"/>
    <w:rsid w:val="006D2B9C"/>
    <w:rsid w:val="006D2DF6"/>
    <w:rsid w:val="006D2EFE"/>
    <w:rsid w:val="006D3059"/>
    <w:rsid w:val="006D3074"/>
    <w:rsid w:val="006D3093"/>
    <w:rsid w:val="006D313C"/>
    <w:rsid w:val="006D3229"/>
    <w:rsid w:val="006D32F4"/>
    <w:rsid w:val="006D34BA"/>
    <w:rsid w:val="006D37A7"/>
    <w:rsid w:val="006D384E"/>
    <w:rsid w:val="006D398E"/>
    <w:rsid w:val="006D3B9C"/>
    <w:rsid w:val="006D3C23"/>
    <w:rsid w:val="006D40B2"/>
    <w:rsid w:val="006D444C"/>
    <w:rsid w:val="006D4575"/>
    <w:rsid w:val="006D4691"/>
    <w:rsid w:val="006D470C"/>
    <w:rsid w:val="006D472A"/>
    <w:rsid w:val="006D4835"/>
    <w:rsid w:val="006D495C"/>
    <w:rsid w:val="006D4CF2"/>
    <w:rsid w:val="006D4EC0"/>
    <w:rsid w:val="006D4F7A"/>
    <w:rsid w:val="006D51A3"/>
    <w:rsid w:val="006D522C"/>
    <w:rsid w:val="006D53B8"/>
    <w:rsid w:val="006D5490"/>
    <w:rsid w:val="006D59B7"/>
    <w:rsid w:val="006D59D2"/>
    <w:rsid w:val="006D5A5A"/>
    <w:rsid w:val="006D5CAA"/>
    <w:rsid w:val="006D5F11"/>
    <w:rsid w:val="006D5FBD"/>
    <w:rsid w:val="006D612A"/>
    <w:rsid w:val="006D6219"/>
    <w:rsid w:val="006D6226"/>
    <w:rsid w:val="006D6479"/>
    <w:rsid w:val="006D650A"/>
    <w:rsid w:val="006D6545"/>
    <w:rsid w:val="006D658D"/>
    <w:rsid w:val="006D66C3"/>
    <w:rsid w:val="006D68D4"/>
    <w:rsid w:val="006D68E1"/>
    <w:rsid w:val="006D6934"/>
    <w:rsid w:val="006D6963"/>
    <w:rsid w:val="006D6A45"/>
    <w:rsid w:val="006D6AFA"/>
    <w:rsid w:val="006D6B72"/>
    <w:rsid w:val="006D6F5F"/>
    <w:rsid w:val="006D706F"/>
    <w:rsid w:val="006D70ED"/>
    <w:rsid w:val="006D70F0"/>
    <w:rsid w:val="006D7195"/>
    <w:rsid w:val="006D71B0"/>
    <w:rsid w:val="006D7322"/>
    <w:rsid w:val="006D74D1"/>
    <w:rsid w:val="006D77F5"/>
    <w:rsid w:val="006D7826"/>
    <w:rsid w:val="006D797E"/>
    <w:rsid w:val="006D7B0A"/>
    <w:rsid w:val="006D7C43"/>
    <w:rsid w:val="006D7D87"/>
    <w:rsid w:val="006D7F1B"/>
    <w:rsid w:val="006E0090"/>
    <w:rsid w:val="006E0094"/>
    <w:rsid w:val="006E01B3"/>
    <w:rsid w:val="006E01C7"/>
    <w:rsid w:val="006E024D"/>
    <w:rsid w:val="006E036A"/>
    <w:rsid w:val="006E047F"/>
    <w:rsid w:val="006E0582"/>
    <w:rsid w:val="006E0708"/>
    <w:rsid w:val="006E073C"/>
    <w:rsid w:val="006E074C"/>
    <w:rsid w:val="006E07F4"/>
    <w:rsid w:val="006E0977"/>
    <w:rsid w:val="006E0D8F"/>
    <w:rsid w:val="006E0DDA"/>
    <w:rsid w:val="006E0E20"/>
    <w:rsid w:val="006E0F06"/>
    <w:rsid w:val="006E11C0"/>
    <w:rsid w:val="006E11C7"/>
    <w:rsid w:val="006E147C"/>
    <w:rsid w:val="006E1545"/>
    <w:rsid w:val="006E1684"/>
    <w:rsid w:val="006E1709"/>
    <w:rsid w:val="006E1735"/>
    <w:rsid w:val="006E178E"/>
    <w:rsid w:val="006E17ED"/>
    <w:rsid w:val="006E18C5"/>
    <w:rsid w:val="006E1A18"/>
    <w:rsid w:val="006E1B87"/>
    <w:rsid w:val="006E1BCD"/>
    <w:rsid w:val="006E1D4F"/>
    <w:rsid w:val="006E1FA7"/>
    <w:rsid w:val="006E1FB7"/>
    <w:rsid w:val="006E2243"/>
    <w:rsid w:val="006E2455"/>
    <w:rsid w:val="006E2707"/>
    <w:rsid w:val="006E2846"/>
    <w:rsid w:val="006E2A3A"/>
    <w:rsid w:val="006E2B76"/>
    <w:rsid w:val="006E2BFD"/>
    <w:rsid w:val="006E2C3C"/>
    <w:rsid w:val="006E3154"/>
    <w:rsid w:val="006E3231"/>
    <w:rsid w:val="006E324A"/>
    <w:rsid w:val="006E3357"/>
    <w:rsid w:val="006E337C"/>
    <w:rsid w:val="006E3392"/>
    <w:rsid w:val="006E3525"/>
    <w:rsid w:val="006E3709"/>
    <w:rsid w:val="006E3774"/>
    <w:rsid w:val="006E39AC"/>
    <w:rsid w:val="006E3B57"/>
    <w:rsid w:val="006E3B91"/>
    <w:rsid w:val="006E3BBD"/>
    <w:rsid w:val="006E3CE6"/>
    <w:rsid w:val="006E3D85"/>
    <w:rsid w:val="006E4199"/>
    <w:rsid w:val="006E457F"/>
    <w:rsid w:val="006E46C2"/>
    <w:rsid w:val="006E472E"/>
    <w:rsid w:val="006E4979"/>
    <w:rsid w:val="006E4ACC"/>
    <w:rsid w:val="006E4CF7"/>
    <w:rsid w:val="006E4E6A"/>
    <w:rsid w:val="006E4F4B"/>
    <w:rsid w:val="006E502D"/>
    <w:rsid w:val="006E5245"/>
    <w:rsid w:val="006E5340"/>
    <w:rsid w:val="006E53C3"/>
    <w:rsid w:val="006E5408"/>
    <w:rsid w:val="006E55CE"/>
    <w:rsid w:val="006E563C"/>
    <w:rsid w:val="006E5684"/>
    <w:rsid w:val="006E5752"/>
    <w:rsid w:val="006E598A"/>
    <w:rsid w:val="006E5A01"/>
    <w:rsid w:val="006E5C3F"/>
    <w:rsid w:val="006E5E06"/>
    <w:rsid w:val="006E640E"/>
    <w:rsid w:val="006E6553"/>
    <w:rsid w:val="006E6588"/>
    <w:rsid w:val="006E667F"/>
    <w:rsid w:val="006E6818"/>
    <w:rsid w:val="006E69B2"/>
    <w:rsid w:val="006E6C49"/>
    <w:rsid w:val="006E6D43"/>
    <w:rsid w:val="006E6FB2"/>
    <w:rsid w:val="006E7119"/>
    <w:rsid w:val="006E75A0"/>
    <w:rsid w:val="006E75BD"/>
    <w:rsid w:val="006E75F2"/>
    <w:rsid w:val="006E761D"/>
    <w:rsid w:val="006E76B4"/>
    <w:rsid w:val="006E76D1"/>
    <w:rsid w:val="006E7A4B"/>
    <w:rsid w:val="006E7A96"/>
    <w:rsid w:val="006E7B46"/>
    <w:rsid w:val="006E7C9D"/>
    <w:rsid w:val="006E7CDE"/>
    <w:rsid w:val="006E7F50"/>
    <w:rsid w:val="006E7FB5"/>
    <w:rsid w:val="006F0052"/>
    <w:rsid w:val="006F005A"/>
    <w:rsid w:val="006F01E1"/>
    <w:rsid w:val="006F0203"/>
    <w:rsid w:val="006F0302"/>
    <w:rsid w:val="006F0479"/>
    <w:rsid w:val="006F05D1"/>
    <w:rsid w:val="006F05E4"/>
    <w:rsid w:val="006F069A"/>
    <w:rsid w:val="006F09D2"/>
    <w:rsid w:val="006F0AAB"/>
    <w:rsid w:val="006F0C9D"/>
    <w:rsid w:val="006F0D42"/>
    <w:rsid w:val="006F0F88"/>
    <w:rsid w:val="006F0FA6"/>
    <w:rsid w:val="006F124F"/>
    <w:rsid w:val="006F16CF"/>
    <w:rsid w:val="006F16D2"/>
    <w:rsid w:val="006F173E"/>
    <w:rsid w:val="006F177D"/>
    <w:rsid w:val="006F195A"/>
    <w:rsid w:val="006F1A27"/>
    <w:rsid w:val="006F1AFB"/>
    <w:rsid w:val="006F1B56"/>
    <w:rsid w:val="006F1BDF"/>
    <w:rsid w:val="006F1CC6"/>
    <w:rsid w:val="006F1D0F"/>
    <w:rsid w:val="006F2069"/>
    <w:rsid w:val="006F20D1"/>
    <w:rsid w:val="006F216C"/>
    <w:rsid w:val="006F22D1"/>
    <w:rsid w:val="006F24D7"/>
    <w:rsid w:val="006F259C"/>
    <w:rsid w:val="006F2601"/>
    <w:rsid w:val="006F2AB0"/>
    <w:rsid w:val="006F2B35"/>
    <w:rsid w:val="006F2ED9"/>
    <w:rsid w:val="006F30F1"/>
    <w:rsid w:val="006F3337"/>
    <w:rsid w:val="006F347B"/>
    <w:rsid w:val="006F3718"/>
    <w:rsid w:val="006F3791"/>
    <w:rsid w:val="006F3952"/>
    <w:rsid w:val="006F3A42"/>
    <w:rsid w:val="006F3AC3"/>
    <w:rsid w:val="006F3BF8"/>
    <w:rsid w:val="006F3C19"/>
    <w:rsid w:val="006F3D50"/>
    <w:rsid w:val="006F3DFF"/>
    <w:rsid w:val="006F410D"/>
    <w:rsid w:val="006F4163"/>
    <w:rsid w:val="006F425E"/>
    <w:rsid w:val="006F43D3"/>
    <w:rsid w:val="006F4488"/>
    <w:rsid w:val="006F4517"/>
    <w:rsid w:val="006F4674"/>
    <w:rsid w:val="006F4682"/>
    <w:rsid w:val="006F46F5"/>
    <w:rsid w:val="006F4791"/>
    <w:rsid w:val="006F4799"/>
    <w:rsid w:val="006F4839"/>
    <w:rsid w:val="006F4945"/>
    <w:rsid w:val="006F4D78"/>
    <w:rsid w:val="006F4D8E"/>
    <w:rsid w:val="006F51D1"/>
    <w:rsid w:val="006F520D"/>
    <w:rsid w:val="006F53D1"/>
    <w:rsid w:val="006F54B5"/>
    <w:rsid w:val="006F5627"/>
    <w:rsid w:val="006F5716"/>
    <w:rsid w:val="006F5871"/>
    <w:rsid w:val="006F5923"/>
    <w:rsid w:val="006F5B61"/>
    <w:rsid w:val="006F5C41"/>
    <w:rsid w:val="006F5DA0"/>
    <w:rsid w:val="006F5DCD"/>
    <w:rsid w:val="006F604A"/>
    <w:rsid w:val="006F61A0"/>
    <w:rsid w:val="006F6259"/>
    <w:rsid w:val="006F62E2"/>
    <w:rsid w:val="006F6340"/>
    <w:rsid w:val="006F634E"/>
    <w:rsid w:val="006F64FC"/>
    <w:rsid w:val="006F6546"/>
    <w:rsid w:val="006F6583"/>
    <w:rsid w:val="006F65D7"/>
    <w:rsid w:val="006F69F1"/>
    <w:rsid w:val="006F6B0C"/>
    <w:rsid w:val="006F6B5F"/>
    <w:rsid w:val="006F6B7F"/>
    <w:rsid w:val="006F6C13"/>
    <w:rsid w:val="006F6C6F"/>
    <w:rsid w:val="006F6DD4"/>
    <w:rsid w:val="006F70C7"/>
    <w:rsid w:val="006F7445"/>
    <w:rsid w:val="006F75F9"/>
    <w:rsid w:val="006F7680"/>
    <w:rsid w:val="006F76B6"/>
    <w:rsid w:val="006F773D"/>
    <w:rsid w:val="006F7789"/>
    <w:rsid w:val="006F77E3"/>
    <w:rsid w:val="006F78BB"/>
    <w:rsid w:val="006F7B69"/>
    <w:rsid w:val="006F7C71"/>
    <w:rsid w:val="006F7CC0"/>
    <w:rsid w:val="006F7CF5"/>
    <w:rsid w:val="006F7D06"/>
    <w:rsid w:val="006F7D40"/>
    <w:rsid w:val="006F7DBC"/>
    <w:rsid w:val="0070034A"/>
    <w:rsid w:val="00700351"/>
    <w:rsid w:val="00700559"/>
    <w:rsid w:val="007005F2"/>
    <w:rsid w:val="00700626"/>
    <w:rsid w:val="007007B2"/>
    <w:rsid w:val="00700B6E"/>
    <w:rsid w:val="00700F87"/>
    <w:rsid w:val="00700FE2"/>
    <w:rsid w:val="00701052"/>
    <w:rsid w:val="007010EA"/>
    <w:rsid w:val="0070112C"/>
    <w:rsid w:val="007011F9"/>
    <w:rsid w:val="0070139A"/>
    <w:rsid w:val="007013D7"/>
    <w:rsid w:val="0070149C"/>
    <w:rsid w:val="007014D6"/>
    <w:rsid w:val="0070152C"/>
    <w:rsid w:val="007015C0"/>
    <w:rsid w:val="0070166A"/>
    <w:rsid w:val="007016E9"/>
    <w:rsid w:val="00701798"/>
    <w:rsid w:val="007017FE"/>
    <w:rsid w:val="0070181C"/>
    <w:rsid w:val="00701931"/>
    <w:rsid w:val="007019A8"/>
    <w:rsid w:val="00701A73"/>
    <w:rsid w:val="00701BE0"/>
    <w:rsid w:val="00701C2C"/>
    <w:rsid w:val="00701C2F"/>
    <w:rsid w:val="00701D0B"/>
    <w:rsid w:val="00701D0C"/>
    <w:rsid w:val="00701F8F"/>
    <w:rsid w:val="00702078"/>
    <w:rsid w:val="00702138"/>
    <w:rsid w:val="00702149"/>
    <w:rsid w:val="00702227"/>
    <w:rsid w:val="00702419"/>
    <w:rsid w:val="007024E6"/>
    <w:rsid w:val="0070270C"/>
    <w:rsid w:val="00702837"/>
    <w:rsid w:val="00702A74"/>
    <w:rsid w:val="00702AA1"/>
    <w:rsid w:val="00702E90"/>
    <w:rsid w:val="00702F97"/>
    <w:rsid w:val="00702FB7"/>
    <w:rsid w:val="00703127"/>
    <w:rsid w:val="00703147"/>
    <w:rsid w:val="00703223"/>
    <w:rsid w:val="00703495"/>
    <w:rsid w:val="007034DF"/>
    <w:rsid w:val="0070383A"/>
    <w:rsid w:val="00703846"/>
    <w:rsid w:val="007038B8"/>
    <w:rsid w:val="00703951"/>
    <w:rsid w:val="00703A53"/>
    <w:rsid w:val="00703D9F"/>
    <w:rsid w:val="00703DEC"/>
    <w:rsid w:val="007041AA"/>
    <w:rsid w:val="007041E0"/>
    <w:rsid w:val="00704328"/>
    <w:rsid w:val="00704370"/>
    <w:rsid w:val="00704481"/>
    <w:rsid w:val="0070471E"/>
    <w:rsid w:val="00704785"/>
    <w:rsid w:val="0070483D"/>
    <w:rsid w:val="0070485B"/>
    <w:rsid w:val="007048E0"/>
    <w:rsid w:val="00704B40"/>
    <w:rsid w:val="00704B8F"/>
    <w:rsid w:val="00704D3E"/>
    <w:rsid w:val="00704F72"/>
    <w:rsid w:val="007050F5"/>
    <w:rsid w:val="00705200"/>
    <w:rsid w:val="00705254"/>
    <w:rsid w:val="007053E3"/>
    <w:rsid w:val="007055DA"/>
    <w:rsid w:val="00705706"/>
    <w:rsid w:val="00705852"/>
    <w:rsid w:val="0070599A"/>
    <w:rsid w:val="007059FF"/>
    <w:rsid w:val="00705BF0"/>
    <w:rsid w:val="00705E6A"/>
    <w:rsid w:val="00705EAD"/>
    <w:rsid w:val="00705EF7"/>
    <w:rsid w:val="00706281"/>
    <w:rsid w:val="00706351"/>
    <w:rsid w:val="00706672"/>
    <w:rsid w:val="007066EB"/>
    <w:rsid w:val="0070676A"/>
    <w:rsid w:val="007067B4"/>
    <w:rsid w:val="00706886"/>
    <w:rsid w:val="00706A18"/>
    <w:rsid w:val="00706A9B"/>
    <w:rsid w:val="00706C66"/>
    <w:rsid w:val="00706D9C"/>
    <w:rsid w:val="00706FB9"/>
    <w:rsid w:val="00707279"/>
    <w:rsid w:val="00707305"/>
    <w:rsid w:val="007075F7"/>
    <w:rsid w:val="00707796"/>
    <w:rsid w:val="007078CC"/>
    <w:rsid w:val="00707BA6"/>
    <w:rsid w:val="00707CA0"/>
    <w:rsid w:val="00707D92"/>
    <w:rsid w:val="00707F09"/>
    <w:rsid w:val="007101CD"/>
    <w:rsid w:val="007102FF"/>
    <w:rsid w:val="0071049B"/>
    <w:rsid w:val="007104E5"/>
    <w:rsid w:val="00710549"/>
    <w:rsid w:val="0071062D"/>
    <w:rsid w:val="007106E6"/>
    <w:rsid w:val="0071096D"/>
    <w:rsid w:val="00710C2F"/>
    <w:rsid w:val="00710C7D"/>
    <w:rsid w:val="00710D52"/>
    <w:rsid w:val="00710E29"/>
    <w:rsid w:val="00711083"/>
    <w:rsid w:val="007110BB"/>
    <w:rsid w:val="00711170"/>
    <w:rsid w:val="007111C6"/>
    <w:rsid w:val="007111EB"/>
    <w:rsid w:val="0071120D"/>
    <w:rsid w:val="007112B0"/>
    <w:rsid w:val="0071142A"/>
    <w:rsid w:val="007114B9"/>
    <w:rsid w:val="007115C1"/>
    <w:rsid w:val="00711746"/>
    <w:rsid w:val="00711B80"/>
    <w:rsid w:val="00711DC1"/>
    <w:rsid w:val="00711EF6"/>
    <w:rsid w:val="00711F9B"/>
    <w:rsid w:val="00712295"/>
    <w:rsid w:val="0071235D"/>
    <w:rsid w:val="007123CA"/>
    <w:rsid w:val="00712417"/>
    <w:rsid w:val="0071258F"/>
    <w:rsid w:val="00712A4B"/>
    <w:rsid w:val="00712AAD"/>
    <w:rsid w:val="00712B04"/>
    <w:rsid w:val="00712D75"/>
    <w:rsid w:val="00712FCA"/>
    <w:rsid w:val="0071302B"/>
    <w:rsid w:val="007136ED"/>
    <w:rsid w:val="007137C5"/>
    <w:rsid w:val="00713D64"/>
    <w:rsid w:val="00714234"/>
    <w:rsid w:val="0071446F"/>
    <w:rsid w:val="0071469E"/>
    <w:rsid w:val="00714775"/>
    <w:rsid w:val="00714952"/>
    <w:rsid w:val="00714AF1"/>
    <w:rsid w:val="00714E51"/>
    <w:rsid w:val="0071509A"/>
    <w:rsid w:val="007154FF"/>
    <w:rsid w:val="0071562E"/>
    <w:rsid w:val="0071578F"/>
    <w:rsid w:val="007157DC"/>
    <w:rsid w:val="0071580A"/>
    <w:rsid w:val="00715887"/>
    <w:rsid w:val="0071595A"/>
    <w:rsid w:val="00715A2E"/>
    <w:rsid w:val="00715C45"/>
    <w:rsid w:val="00715CB8"/>
    <w:rsid w:val="00715F64"/>
    <w:rsid w:val="007161F0"/>
    <w:rsid w:val="007163E8"/>
    <w:rsid w:val="007164A9"/>
    <w:rsid w:val="0071670D"/>
    <w:rsid w:val="0071676B"/>
    <w:rsid w:val="007168D3"/>
    <w:rsid w:val="00716926"/>
    <w:rsid w:val="00716A00"/>
    <w:rsid w:val="00716D5B"/>
    <w:rsid w:val="00716D69"/>
    <w:rsid w:val="00716FC1"/>
    <w:rsid w:val="007176D1"/>
    <w:rsid w:val="007176DB"/>
    <w:rsid w:val="007176E2"/>
    <w:rsid w:val="00717B0C"/>
    <w:rsid w:val="00717BDF"/>
    <w:rsid w:val="00717C37"/>
    <w:rsid w:val="00717CA0"/>
    <w:rsid w:val="00717D95"/>
    <w:rsid w:val="00717E2D"/>
    <w:rsid w:val="00717E96"/>
    <w:rsid w:val="00717FFC"/>
    <w:rsid w:val="007200B5"/>
    <w:rsid w:val="007202B0"/>
    <w:rsid w:val="00720472"/>
    <w:rsid w:val="007205F4"/>
    <w:rsid w:val="00720652"/>
    <w:rsid w:val="007206A8"/>
    <w:rsid w:val="00720A89"/>
    <w:rsid w:val="00720B2A"/>
    <w:rsid w:val="00720B4D"/>
    <w:rsid w:val="00720D6B"/>
    <w:rsid w:val="00720F0D"/>
    <w:rsid w:val="00720F9B"/>
    <w:rsid w:val="00721021"/>
    <w:rsid w:val="007211AD"/>
    <w:rsid w:val="007211B9"/>
    <w:rsid w:val="007212D2"/>
    <w:rsid w:val="00721364"/>
    <w:rsid w:val="007213BE"/>
    <w:rsid w:val="0072165A"/>
    <w:rsid w:val="0072165B"/>
    <w:rsid w:val="0072167C"/>
    <w:rsid w:val="00721DE6"/>
    <w:rsid w:val="00721F15"/>
    <w:rsid w:val="0072230E"/>
    <w:rsid w:val="00722430"/>
    <w:rsid w:val="0072256E"/>
    <w:rsid w:val="0072259F"/>
    <w:rsid w:val="0072265D"/>
    <w:rsid w:val="007226CB"/>
    <w:rsid w:val="00722776"/>
    <w:rsid w:val="00722805"/>
    <w:rsid w:val="00722C0C"/>
    <w:rsid w:val="00722D7B"/>
    <w:rsid w:val="00722E8F"/>
    <w:rsid w:val="00722EFA"/>
    <w:rsid w:val="00722FAA"/>
    <w:rsid w:val="00722FC6"/>
    <w:rsid w:val="00723189"/>
    <w:rsid w:val="007233DB"/>
    <w:rsid w:val="007233EA"/>
    <w:rsid w:val="00723701"/>
    <w:rsid w:val="0072371E"/>
    <w:rsid w:val="0072376E"/>
    <w:rsid w:val="00723906"/>
    <w:rsid w:val="00723907"/>
    <w:rsid w:val="00723A29"/>
    <w:rsid w:val="00723AEE"/>
    <w:rsid w:val="00723C12"/>
    <w:rsid w:val="00723D75"/>
    <w:rsid w:val="00723DAB"/>
    <w:rsid w:val="00723ED5"/>
    <w:rsid w:val="007240A6"/>
    <w:rsid w:val="00724109"/>
    <w:rsid w:val="0072418B"/>
    <w:rsid w:val="007241C6"/>
    <w:rsid w:val="00724332"/>
    <w:rsid w:val="00724448"/>
    <w:rsid w:val="007244CE"/>
    <w:rsid w:val="00724564"/>
    <w:rsid w:val="007245FA"/>
    <w:rsid w:val="007246EB"/>
    <w:rsid w:val="00724815"/>
    <w:rsid w:val="007249A8"/>
    <w:rsid w:val="00724A21"/>
    <w:rsid w:val="00724BA0"/>
    <w:rsid w:val="00724BA2"/>
    <w:rsid w:val="00724C1B"/>
    <w:rsid w:val="00724C3D"/>
    <w:rsid w:val="007250CA"/>
    <w:rsid w:val="00725217"/>
    <w:rsid w:val="00725223"/>
    <w:rsid w:val="0072553C"/>
    <w:rsid w:val="0072556B"/>
    <w:rsid w:val="00725857"/>
    <w:rsid w:val="007258AA"/>
    <w:rsid w:val="007259CF"/>
    <w:rsid w:val="00725AA3"/>
    <w:rsid w:val="00725C44"/>
    <w:rsid w:val="00725E1F"/>
    <w:rsid w:val="00725EB3"/>
    <w:rsid w:val="00725F7D"/>
    <w:rsid w:val="00726248"/>
    <w:rsid w:val="007263E3"/>
    <w:rsid w:val="00726490"/>
    <w:rsid w:val="0072660A"/>
    <w:rsid w:val="00726742"/>
    <w:rsid w:val="007267DD"/>
    <w:rsid w:val="0072692B"/>
    <w:rsid w:val="00726B17"/>
    <w:rsid w:val="00726C2A"/>
    <w:rsid w:val="00726CF7"/>
    <w:rsid w:val="00726DBA"/>
    <w:rsid w:val="00726E7C"/>
    <w:rsid w:val="00726E85"/>
    <w:rsid w:val="007272BE"/>
    <w:rsid w:val="007272F0"/>
    <w:rsid w:val="00727350"/>
    <w:rsid w:val="00727720"/>
    <w:rsid w:val="00727DD5"/>
    <w:rsid w:val="00727E70"/>
    <w:rsid w:val="0073020D"/>
    <w:rsid w:val="007302A5"/>
    <w:rsid w:val="007304DA"/>
    <w:rsid w:val="007304DC"/>
    <w:rsid w:val="0073067D"/>
    <w:rsid w:val="00730768"/>
    <w:rsid w:val="00730C4E"/>
    <w:rsid w:val="00730DB4"/>
    <w:rsid w:val="00730E87"/>
    <w:rsid w:val="00730F5D"/>
    <w:rsid w:val="00730FA2"/>
    <w:rsid w:val="0073111E"/>
    <w:rsid w:val="0073132C"/>
    <w:rsid w:val="00731391"/>
    <w:rsid w:val="007313F8"/>
    <w:rsid w:val="00731419"/>
    <w:rsid w:val="007314A1"/>
    <w:rsid w:val="007316BF"/>
    <w:rsid w:val="007317E7"/>
    <w:rsid w:val="007317F6"/>
    <w:rsid w:val="0073187E"/>
    <w:rsid w:val="00731887"/>
    <w:rsid w:val="007318BA"/>
    <w:rsid w:val="0073191E"/>
    <w:rsid w:val="00731A06"/>
    <w:rsid w:val="00731A83"/>
    <w:rsid w:val="00731B52"/>
    <w:rsid w:val="00731B94"/>
    <w:rsid w:val="00731BE9"/>
    <w:rsid w:val="00731CB2"/>
    <w:rsid w:val="0073209E"/>
    <w:rsid w:val="0073214C"/>
    <w:rsid w:val="007321E3"/>
    <w:rsid w:val="007322C9"/>
    <w:rsid w:val="00732332"/>
    <w:rsid w:val="00732347"/>
    <w:rsid w:val="007324E9"/>
    <w:rsid w:val="00732526"/>
    <w:rsid w:val="0073265D"/>
    <w:rsid w:val="0073267A"/>
    <w:rsid w:val="0073268C"/>
    <w:rsid w:val="00732817"/>
    <w:rsid w:val="00732B44"/>
    <w:rsid w:val="00732BAF"/>
    <w:rsid w:val="00732BDD"/>
    <w:rsid w:val="00732C07"/>
    <w:rsid w:val="00732C7D"/>
    <w:rsid w:val="00732D69"/>
    <w:rsid w:val="00732DD9"/>
    <w:rsid w:val="00732ED3"/>
    <w:rsid w:val="00732F25"/>
    <w:rsid w:val="00733018"/>
    <w:rsid w:val="0073354F"/>
    <w:rsid w:val="00733636"/>
    <w:rsid w:val="00733754"/>
    <w:rsid w:val="007337BB"/>
    <w:rsid w:val="00733C31"/>
    <w:rsid w:val="00733D1C"/>
    <w:rsid w:val="00733E96"/>
    <w:rsid w:val="00733F1C"/>
    <w:rsid w:val="00733FD7"/>
    <w:rsid w:val="007340BB"/>
    <w:rsid w:val="00734313"/>
    <w:rsid w:val="007343FF"/>
    <w:rsid w:val="0073458D"/>
    <w:rsid w:val="00734596"/>
    <w:rsid w:val="00734694"/>
    <w:rsid w:val="00734769"/>
    <w:rsid w:val="007348D5"/>
    <w:rsid w:val="007349F6"/>
    <w:rsid w:val="00734BE2"/>
    <w:rsid w:val="00734C07"/>
    <w:rsid w:val="00734CC6"/>
    <w:rsid w:val="00734DFD"/>
    <w:rsid w:val="00734EBE"/>
    <w:rsid w:val="007351B7"/>
    <w:rsid w:val="0073543E"/>
    <w:rsid w:val="007355D5"/>
    <w:rsid w:val="007356C6"/>
    <w:rsid w:val="00735722"/>
    <w:rsid w:val="0073575D"/>
    <w:rsid w:val="00735882"/>
    <w:rsid w:val="00735A86"/>
    <w:rsid w:val="00735D63"/>
    <w:rsid w:val="00735E33"/>
    <w:rsid w:val="007361D9"/>
    <w:rsid w:val="007362EF"/>
    <w:rsid w:val="00736458"/>
    <w:rsid w:val="007367BF"/>
    <w:rsid w:val="00736841"/>
    <w:rsid w:val="007368DF"/>
    <w:rsid w:val="00736A6B"/>
    <w:rsid w:val="00736AB2"/>
    <w:rsid w:val="00736AF6"/>
    <w:rsid w:val="00736B1E"/>
    <w:rsid w:val="00736CCE"/>
    <w:rsid w:val="00736CF3"/>
    <w:rsid w:val="00736DB0"/>
    <w:rsid w:val="00736F8A"/>
    <w:rsid w:val="007372F1"/>
    <w:rsid w:val="00737635"/>
    <w:rsid w:val="00737924"/>
    <w:rsid w:val="00737B53"/>
    <w:rsid w:val="00737DDC"/>
    <w:rsid w:val="00737EE4"/>
    <w:rsid w:val="00737F20"/>
    <w:rsid w:val="00737F60"/>
    <w:rsid w:val="00740135"/>
    <w:rsid w:val="00740394"/>
    <w:rsid w:val="007404CF"/>
    <w:rsid w:val="0074053D"/>
    <w:rsid w:val="00740711"/>
    <w:rsid w:val="007407C3"/>
    <w:rsid w:val="00740843"/>
    <w:rsid w:val="00740A8C"/>
    <w:rsid w:val="00740AB6"/>
    <w:rsid w:val="00740DF4"/>
    <w:rsid w:val="00740F4C"/>
    <w:rsid w:val="00740FCA"/>
    <w:rsid w:val="00740FDC"/>
    <w:rsid w:val="007411C0"/>
    <w:rsid w:val="00741278"/>
    <w:rsid w:val="00741318"/>
    <w:rsid w:val="007413D4"/>
    <w:rsid w:val="00741740"/>
    <w:rsid w:val="00741803"/>
    <w:rsid w:val="00741D5E"/>
    <w:rsid w:val="00741DCB"/>
    <w:rsid w:val="00741F15"/>
    <w:rsid w:val="00741FBD"/>
    <w:rsid w:val="0074250A"/>
    <w:rsid w:val="00742530"/>
    <w:rsid w:val="00742569"/>
    <w:rsid w:val="007425CC"/>
    <w:rsid w:val="00742772"/>
    <w:rsid w:val="00742791"/>
    <w:rsid w:val="00742854"/>
    <w:rsid w:val="00742964"/>
    <w:rsid w:val="00742977"/>
    <w:rsid w:val="007429D9"/>
    <w:rsid w:val="00742A56"/>
    <w:rsid w:val="00742BF9"/>
    <w:rsid w:val="00742CCB"/>
    <w:rsid w:val="00742D0E"/>
    <w:rsid w:val="00742EFD"/>
    <w:rsid w:val="007430FE"/>
    <w:rsid w:val="00743400"/>
    <w:rsid w:val="00743458"/>
    <w:rsid w:val="007435D6"/>
    <w:rsid w:val="0074363B"/>
    <w:rsid w:val="007439E8"/>
    <w:rsid w:val="00743A42"/>
    <w:rsid w:val="00743AEB"/>
    <w:rsid w:val="00743B55"/>
    <w:rsid w:val="00743BD1"/>
    <w:rsid w:val="00743E1F"/>
    <w:rsid w:val="00743E5D"/>
    <w:rsid w:val="00744150"/>
    <w:rsid w:val="00744321"/>
    <w:rsid w:val="00744338"/>
    <w:rsid w:val="007443AB"/>
    <w:rsid w:val="00744563"/>
    <w:rsid w:val="00744666"/>
    <w:rsid w:val="0074468C"/>
    <w:rsid w:val="007446BA"/>
    <w:rsid w:val="0074480C"/>
    <w:rsid w:val="00744976"/>
    <w:rsid w:val="00744A36"/>
    <w:rsid w:val="00744A9D"/>
    <w:rsid w:val="00744B6E"/>
    <w:rsid w:val="00744BE3"/>
    <w:rsid w:val="00744C59"/>
    <w:rsid w:val="00744D5D"/>
    <w:rsid w:val="00744FF3"/>
    <w:rsid w:val="00745038"/>
    <w:rsid w:val="00745243"/>
    <w:rsid w:val="0074524B"/>
    <w:rsid w:val="00745458"/>
    <w:rsid w:val="007454B1"/>
    <w:rsid w:val="00745589"/>
    <w:rsid w:val="0074569F"/>
    <w:rsid w:val="007456CC"/>
    <w:rsid w:val="007457E5"/>
    <w:rsid w:val="007457EB"/>
    <w:rsid w:val="00745851"/>
    <w:rsid w:val="007458A0"/>
    <w:rsid w:val="00745B3F"/>
    <w:rsid w:val="00745BBF"/>
    <w:rsid w:val="00745C78"/>
    <w:rsid w:val="00745D90"/>
    <w:rsid w:val="00745E01"/>
    <w:rsid w:val="00745E1B"/>
    <w:rsid w:val="00746282"/>
    <w:rsid w:val="0074636C"/>
    <w:rsid w:val="0074657C"/>
    <w:rsid w:val="007465E9"/>
    <w:rsid w:val="00746780"/>
    <w:rsid w:val="00746957"/>
    <w:rsid w:val="007469F2"/>
    <w:rsid w:val="00746AA5"/>
    <w:rsid w:val="00746AF4"/>
    <w:rsid w:val="00746C48"/>
    <w:rsid w:val="00746F3F"/>
    <w:rsid w:val="0074705B"/>
    <w:rsid w:val="0074708D"/>
    <w:rsid w:val="0074717A"/>
    <w:rsid w:val="007471BF"/>
    <w:rsid w:val="00747339"/>
    <w:rsid w:val="007473D3"/>
    <w:rsid w:val="007475DD"/>
    <w:rsid w:val="00747697"/>
    <w:rsid w:val="0074788D"/>
    <w:rsid w:val="0074789B"/>
    <w:rsid w:val="0074789C"/>
    <w:rsid w:val="00747AEC"/>
    <w:rsid w:val="00747B13"/>
    <w:rsid w:val="00747B30"/>
    <w:rsid w:val="00747BF7"/>
    <w:rsid w:val="00747C91"/>
    <w:rsid w:val="00747D88"/>
    <w:rsid w:val="00747DA7"/>
    <w:rsid w:val="00747F14"/>
    <w:rsid w:val="00747FD9"/>
    <w:rsid w:val="00750212"/>
    <w:rsid w:val="007502BC"/>
    <w:rsid w:val="00750380"/>
    <w:rsid w:val="007504DF"/>
    <w:rsid w:val="007506E6"/>
    <w:rsid w:val="007509C1"/>
    <w:rsid w:val="00750ABB"/>
    <w:rsid w:val="00750BA4"/>
    <w:rsid w:val="00750C3C"/>
    <w:rsid w:val="00750DF2"/>
    <w:rsid w:val="00750E09"/>
    <w:rsid w:val="00750E2F"/>
    <w:rsid w:val="00750EBC"/>
    <w:rsid w:val="00750EE8"/>
    <w:rsid w:val="00750F09"/>
    <w:rsid w:val="00750F46"/>
    <w:rsid w:val="00751298"/>
    <w:rsid w:val="00751702"/>
    <w:rsid w:val="00751799"/>
    <w:rsid w:val="00751A3D"/>
    <w:rsid w:val="00751D85"/>
    <w:rsid w:val="00751DBD"/>
    <w:rsid w:val="00751DC4"/>
    <w:rsid w:val="00751DF7"/>
    <w:rsid w:val="00751E17"/>
    <w:rsid w:val="00751F77"/>
    <w:rsid w:val="00751FB8"/>
    <w:rsid w:val="00752013"/>
    <w:rsid w:val="00752017"/>
    <w:rsid w:val="007522A3"/>
    <w:rsid w:val="007522F5"/>
    <w:rsid w:val="00752396"/>
    <w:rsid w:val="00752415"/>
    <w:rsid w:val="00752541"/>
    <w:rsid w:val="0075289E"/>
    <w:rsid w:val="0075294C"/>
    <w:rsid w:val="007529DA"/>
    <w:rsid w:val="00752A6C"/>
    <w:rsid w:val="00752B0C"/>
    <w:rsid w:val="00752C3F"/>
    <w:rsid w:val="007536DD"/>
    <w:rsid w:val="00753729"/>
    <w:rsid w:val="00753787"/>
    <w:rsid w:val="00753883"/>
    <w:rsid w:val="00753914"/>
    <w:rsid w:val="00753BB6"/>
    <w:rsid w:val="00753C42"/>
    <w:rsid w:val="00753F9D"/>
    <w:rsid w:val="00753FF8"/>
    <w:rsid w:val="00754045"/>
    <w:rsid w:val="007540A3"/>
    <w:rsid w:val="007541F3"/>
    <w:rsid w:val="00754337"/>
    <w:rsid w:val="00754375"/>
    <w:rsid w:val="00754474"/>
    <w:rsid w:val="007544C2"/>
    <w:rsid w:val="007547F5"/>
    <w:rsid w:val="007548A9"/>
    <w:rsid w:val="00754D43"/>
    <w:rsid w:val="00754EC9"/>
    <w:rsid w:val="007550A9"/>
    <w:rsid w:val="007550B9"/>
    <w:rsid w:val="007550E6"/>
    <w:rsid w:val="007550EC"/>
    <w:rsid w:val="00755101"/>
    <w:rsid w:val="00755277"/>
    <w:rsid w:val="00755396"/>
    <w:rsid w:val="007555BD"/>
    <w:rsid w:val="00755627"/>
    <w:rsid w:val="00755A22"/>
    <w:rsid w:val="00755A39"/>
    <w:rsid w:val="00755CC0"/>
    <w:rsid w:val="007560D9"/>
    <w:rsid w:val="00756294"/>
    <w:rsid w:val="00756346"/>
    <w:rsid w:val="007563A3"/>
    <w:rsid w:val="00756416"/>
    <w:rsid w:val="007564B9"/>
    <w:rsid w:val="00756567"/>
    <w:rsid w:val="0075658C"/>
    <w:rsid w:val="00756599"/>
    <w:rsid w:val="007566FF"/>
    <w:rsid w:val="0075678E"/>
    <w:rsid w:val="00756BAC"/>
    <w:rsid w:val="00756C16"/>
    <w:rsid w:val="00756F1B"/>
    <w:rsid w:val="0075704E"/>
    <w:rsid w:val="0075707F"/>
    <w:rsid w:val="00757150"/>
    <w:rsid w:val="0075721F"/>
    <w:rsid w:val="007577B5"/>
    <w:rsid w:val="0075781A"/>
    <w:rsid w:val="007579B0"/>
    <w:rsid w:val="00757B44"/>
    <w:rsid w:val="00757C71"/>
    <w:rsid w:val="00757D5E"/>
    <w:rsid w:val="00757EBC"/>
    <w:rsid w:val="007603CF"/>
    <w:rsid w:val="00760412"/>
    <w:rsid w:val="0076046B"/>
    <w:rsid w:val="007605AF"/>
    <w:rsid w:val="00760775"/>
    <w:rsid w:val="0076081D"/>
    <w:rsid w:val="007609E8"/>
    <w:rsid w:val="00760BA9"/>
    <w:rsid w:val="00760D65"/>
    <w:rsid w:val="00760ED8"/>
    <w:rsid w:val="0076102B"/>
    <w:rsid w:val="00761148"/>
    <w:rsid w:val="007611E3"/>
    <w:rsid w:val="00761224"/>
    <w:rsid w:val="0076133A"/>
    <w:rsid w:val="00761402"/>
    <w:rsid w:val="00761772"/>
    <w:rsid w:val="007617FB"/>
    <w:rsid w:val="007618AF"/>
    <w:rsid w:val="00761914"/>
    <w:rsid w:val="00761B27"/>
    <w:rsid w:val="00761C5A"/>
    <w:rsid w:val="00761C76"/>
    <w:rsid w:val="00761CF0"/>
    <w:rsid w:val="00761E7F"/>
    <w:rsid w:val="00761F9C"/>
    <w:rsid w:val="00762038"/>
    <w:rsid w:val="007621AB"/>
    <w:rsid w:val="00762203"/>
    <w:rsid w:val="007622C8"/>
    <w:rsid w:val="007626FF"/>
    <w:rsid w:val="00762A63"/>
    <w:rsid w:val="00762AAD"/>
    <w:rsid w:val="00762B6E"/>
    <w:rsid w:val="00762CD7"/>
    <w:rsid w:val="00762DF4"/>
    <w:rsid w:val="00762FE8"/>
    <w:rsid w:val="007630DC"/>
    <w:rsid w:val="0076313F"/>
    <w:rsid w:val="007631DB"/>
    <w:rsid w:val="00763289"/>
    <w:rsid w:val="007632D9"/>
    <w:rsid w:val="007632EC"/>
    <w:rsid w:val="007633CA"/>
    <w:rsid w:val="00763421"/>
    <w:rsid w:val="007635E2"/>
    <w:rsid w:val="00763899"/>
    <w:rsid w:val="00763BBA"/>
    <w:rsid w:val="00763D1E"/>
    <w:rsid w:val="00763E89"/>
    <w:rsid w:val="007641EB"/>
    <w:rsid w:val="007642AD"/>
    <w:rsid w:val="00764529"/>
    <w:rsid w:val="007646C1"/>
    <w:rsid w:val="00764CA9"/>
    <w:rsid w:val="00764DCF"/>
    <w:rsid w:val="00764E4E"/>
    <w:rsid w:val="00764F06"/>
    <w:rsid w:val="00764FB4"/>
    <w:rsid w:val="00764FF2"/>
    <w:rsid w:val="00765088"/>
    <w:rsid w:val="0076517B"/>
    <w:rsid w:val="0076530A"/>
    <w:rsid w:val="00765470"/>
    <w:rsid w:val="007655E4"/>
    <w:rsid w:val="00765655"/>
    <w:rsid w:val="00765665"/>
    <w:rsid w:val="00765912"/>
    <w:rsid w:val="00765AC5"/>
    <w:rsid w:val="00765B20"/>
    <w:rsid w:val="00765D48"/>
    <w:rsid w:val="00765FB0"/>
    <w:rsid w:val="00766168"/>
    <w:rsid w:val="00766507"/>
    <w:rsid w:val="00766519"/>
    <w:rsid w:val="00766659"/>
    <w:rsid w:val="0076674C"/>
    <w:rsid w:val="0076676B"/>
    <w:rsid w:val="0076679C"/>
    <w:rsid w:val="007667D1"/>
    <w:rsid w:val="007668DE"/>
    <w:rsid w:val="007668F1"/>
    <w:rsid w:val="00766997"/>
    <w:rsid w:val="00766A3C"/>
    <w:rsid w:val="00766B48"/>
    <w:rsid w:val="00766B86"/>
    <w:rsid w:val="00766BCB"/>
    <w:rsid w:val="00766C2B"/>
    <w:rsid w:val="00766C52"/>
    <w:rsid w:val="00766C7F"/>
    <w:rsid w:val="00766FD7"/>
    <w:rsid w:val="0076727C"/>
    <w:rsid w:val="007673E3"/>
    <w:rsid w:val="007679B8"/>
    <w:rsid w:val="00767A54"/>
    <w:rsid w:val="00767D3A"/>
    <w:rsid w:val="00767EB5"/>
    <w:rsid w:val="00767FF4"/>
    <w:rsid w:val="00770120"/>
    <w:rsid w:val="00770181"/>
    <w:rsid w:val="007703EB"/>
    <w:rsid w:val="007703FF"/>
    <w:rsid w:val="00770476"/>
    <w:rsid w:val="00770519"/>
    <w:rsid w:val="00770534"/>
    <w:rsid w:val="0077058C"/>
    <w:rsid w:val="007705E2"/>
    <w:rsid w:val="007706B1"/>
    <w:rsid w:val="00770724"/>
    <w:rsid w:val="007709A9"/>
    <w:rsid w:val="007709F6"/>
    <w:rsid w:val="00770B26"/>
    <w:rsid w:val="00770D64"/>
    <w:rsid w:val="00771238"/>
    <w:rsid w:val="007714C7"/>
    <w:rsid w:val="00771662"/>
    <w:rsid w:val="0077174E"/>
    <w:rsid w:val="00771759"/>
    <w:rsid w:val="00771765"/>
    <w:rsid w:val="00771810"/>
    <w:rsid w:val="007718D1"/>
    <w:rsid w:val="00771C4A"/>
    <w:rsid w:val="00771CF3"/>
    <w:rsid w:val="00771DBC"/>
    <w:rsid w:val="00772000"/>
    <w:rsid w:val="0077238B"/>
    <w:rsid w:val="00772440"/>
    <w:rsid w:val="00772702"/>
    <w:rsid w:val="00772798"/>
    <w:rsid w:val="00772A2F"/>
    <w:rsid w:val="00772C4A"/>
    <w:rsid w:val="00772C72"/>
    <w:rsid w:val="00772D5E"/>
    <w:rsid w:val="00772E7C"/>
    <w:rsid w:val="0077307B"/>
    <w:rsid w:val="007735DF"/>
    <w:rsid w:val="007735FD"/>
    <w:rsid w:val="0077368F"/>
    <w:rsid w:val="00773847"/>
    <w:rsid w:val="00773A0C"/>
    <w:rsid w:val="00773AB2"/>
    <w:rsid w:val="00773B58"/>
    <w:rsid w:val="00773BD1"/>
    <w:rsid w:val="00773BEF"/>
    <w:rsid w:val="00773BFA"/>
    <w:rsid w:val="00773CD9"/>
    <w:rsid w:val="00773D37"/>
    <w:rsid w:val="00774030"/>
    <w:rsid w:val="0077408F"/>
    <w:rsid w:val="00774286"/>
    <w:rsid w:val="00774336"/>
    <w:rsid w:val="0077464D"/>
    <w:rsid w:val="007748DD"/>
    <w:rsid w:val="00774A9F"/>
    <w:rsid w:val="00774C45"/>
    <w:rsid w:val="00774DD8"/>
    <w:rsid w:val="00774DF1"/>
    <w:rsid w:val="00774EC6"/>
    <w:rsid w:val="00774FC8"/>
    <w:rsid w:val="00775038"/>
    <w:rsid w:val="0077505A"/>
    <w:rsid w:val="00775299"/>
    <w:rsid w:val="007752B4"/>
    <w:rsid w:val="007752BB"/>
    <w:rsid w:val="00775484"/>
    <w:rsid w:val="00775585"/>
    <w:rsid w:val="007756FE"/>
    <w:rsid w:val="00775794"/>
    <w:rsid w:val="007757DC"/>
    <w:rsid w:val="00775B98"/>
    <w:rsid w:val="00775C5C"/>
    <w:rsid w:val="00775C6E"/>
    <w:rsid w:val="00775DCE"/>
    <w:rsid w:val="00775F6D"/>
    <w:rsid w:val="00776114"/>
    <w:rsid w:val="007761F4"/>
    <w:rsid w:val="0077621A"/>
    <w:rsid w:val="00776272"/>
    <w:rsid w:val="00776479"/>
    <w:rsid w:val="007764BA"/>
    <w:rsid w:val="007764BE"/>
    <w:rsid w:val="007764DB"/>
    <w:rsid w:val="007766FD"/>
    <w:rsid w:val="007767B9"/>
    <w:rsid w:val="00776CA0"/>
    <w:rsid w:val="00776D3E"/>
    <w:rsid w:val="00777482"/>
    <w:rsid w:val="0077792C"/>
    <w:rsid w:val="00777A3D"/>
    <w:rsid w:val="00777AB3"/>
    <w:rsid w:val="00777BDB"/>
    <w:rsid w:val="00777C0F"/>
    <w:rsid w:val="00777C1F"/>
    <w:rsid w:val="007801A5"/>
    <w:rsid w:val="00780225"/>
    <w:rsid w:val="007802F6"/>
    <w:rsid w:val="007803EC"/>
    <w:rsid w:val="00780420"/>
    <w:rsid w:val="00780549"/>
    <w:rsid w:val="0078054C"/>
    <w:rsid w:val="00780846"/>
    <w:rsid w:val="00780AF4"/>
    <w:rsid w:val="00781246"/>
    <w:rsid w:val="007812C0"/>
    <w:rsid w:val="0078151C"/>
    <w:rsid w:val="00781596"/>
    <w:rsid w:val="007815AF"/>
    <w:rsid w:val="007815E6"/>
    <w:rsid w:val="00781651"/>
    <w:rsid w:val="00781830"/>
    <w:rsid w:val="00781ADC"/>
    <w:rsid w:val="00781DF0"/>
    <w:rsid w:val="00781E2D"/>
    <w:rsid w:val="00781F39"/>
    <w:rsid w:val="00781FE8"/>
    <w:rsid w:val="00782187"/>
    <w:rsid w:val="00782502"/>
    <w:rsid w:val="0078274D"/>
    <w:rsid w:val="00782898"/>
    <w:rsid w:val="007828F1"/>
    <w:rsid w:val="007829EF"/>
    <w:rsid w:val="00782A80"/>
    <w:rsid w:val="00782B41"/>
    <w:rsid w:val="00782C70"/>
    <w:rsid w:val="00782EF3"/>
    <w:rsid w:val="007830DC"/>
    <w:rsid w:val="007830FB"/>
    <w:rsid w:val="007831BD"/>
    <w:rsid w:val="007834C7"/>
    <w:rsid w:val="00783505"/>
    <w:rsid w:val="007838EE"/>
    <w:rsid w:val="007838F6"/>
    <w:rsid w:val="00783920"/>
    <w:rsid w:val="00783A99"/>
    <w:rsid w:val="00783C48"/>
    <w:rsid w:val="00783DF3"/>
    <w:rsid w:val="00783E47"/>
    <w:rsid w:val="00783F0F"/>
    <w:rsid w:val="00784026"/>
    <w:rsid w:val="007840B5"/>
    <w:rsid w:val="0078425B"/>
    <w:rsid w:val="007844A1"/>
    <w:rsid w:val="00784510"/>
    <w:rsid w:val="00784607"/>
    <w:rsid w:val="0078465C"/>
    <w:rsid w:val="00784760"/>
    <w:rsid w:val="007847A0"/>
    <w:rsid w:val="0078495A"/>
    <w:rsid w:val="0078497C"/>
    <w:rsid w:val="0078497E"/>
    <w:rsid w:val="007849A1"/>
    <w:rsid w:val="00784A62"/>
    <w:rsid w:val="00784B06"/>
    <w:rsid w:val="00784C21"/>
    <w:rsid w:val="00784D6F"/>
    <w:rsid w:val="00784EA1"/>
    <w:rsid w:val="0078505E"/>
    <w:rsid w:val="0078510F"/>
    <w:rsid w:val="00785278"/>
    <w:rsid w:val="007852D9"/>
    <w:rsid w:val="007857FB"/>
    <w:rsid w:val="0078582D"/>
    <w:rsid w:val="00785B1C"/>
    <w:rsid w:val="00785B36"/>
    <w:rsid w:val="00785E49"/>
    <w:rsid w:val="00785EC1"/>
    <w:rsid w:val="00785EC5"/>
    <w:rsid w:val="00785F3B"/>
    <w:rsid w:val="00785FC0"/>
    <w:rsid w:val="0078619D"/>
    <w:rsid w:val="00786613"/>
    <w:rsid w:val="0078661A"/>
    <w:rsid w:val="00786809"/>
    <w:rsid w:val="007868AB"/>
    <w:rsid w:val="007868AF"/>
    <w:rsid w:val="007868B7"/>
    <w:rsid w:val="0078692B"/>
    <w:rsid w:val="00786B25"/>
    <w:rsid w:val="00786E78"/>
    <w:rsid w:val="00786F03"/>
    <w:rsid w:val="00786F17"/>
    <w:rsid w:val="00786FE7"/>
    <w:rsid w:val="00787002"/>
    <w:rsid w:val="00787018"/>
    <w:rsid w:val="0078733B"/>
    <w:rsid w:val="00787366"/>
    <w:rsid w:val="007873AD"/>
    <w:rsid w:val="0078750D"/>
    <w:rsid w:val="00787516"/>
    <w:rsid w:val="007875BC"/>
    <w:rsid w:val="007876CA"/>
    <w:rsid w:val="00787963"/>
    <w:rsid w:val="0078797B"/>
    <w:rsid w:val="00787A49"/>
    <w:rsid w:val="00787B31"/>
    <w:rsid w:val="00787CB6"/>
    <w:rsid w:val="00790211"/>
    <w:rsid w:val="0079023E"/>
    <w:rsid w:val="00790540"/>
    <w:rsid w:val="00790606"/>
    <w:rsid w:val="007906F8"/>
    <w:rsid w:val="0079071B"/>
    <w:rsid w:val="007908A5"/>
    <w:rsid w:val="00790951"/>
    <w:rsid w:val="00790B21"/>
    <w:rsid w:val="00790D3D"/>
    <w:rsid w:val="00790E20"/>
    <w:rsid w:val="00790E90"/>
    <w:rsid w:val="00790EEA"/>
    <w:rsid w:val="00790FC0"/>
    <w:rsid w:val="007910B4"/>
    <w:rsid w:val="007910E9"/>
    <w:rsid w:val="007910F3"/>
    <w:rsid w:val="0079116E"/>
    <w:rsid w:val="007911FC"/>
    <w:rsid w:val="0079126D"/>
    <w:rsid w:val="007912E0"/>
    <w:rsid w:val="0079133E"/>
    <w:rsid w:val="00791484"/>
    <w:rsid w:val="0079161C"/>
    <w:rsid w:val="00791758"/>
    <w:rsid w:val="00791768"/>
    <w:rsid w:val="00791B08"/>
    <w:rsid w:val="00791BE7"/>
    <w:rsid w:val="00791D64"/>
    <w:rsid w:val="00792200"/>
    <w:rsid w:val="007924A7"/>
    <w:rsid w:val="007925D6"/>
    <w:rsid w:val="00792675"/>
    <w:rsid w:val="007928AC"/>
    <w:rsid w:val="00792977"/>
    <w:rsid w:val="007929EF"/>
    <w:rsid w:val="00792A51"/>
    <w:rsid w:val="00792BCC"/>
    <w:rsid w:val="00792CC1"/>
    <w:rsid w:val="00792D53"/>
    <w:rsid w:val="00792EF9"/>
    <w:rsid w:val="00793006"/>
    <w:rsid w:val="007930AA"/>
    <w:rsid w:val="0079312A"/>
    <w:rsid w:val="007931E3"/>
    <w:rsid w:val="007932A8"/>
    <w:rsid w:val="00793400"/>
    <w:rsid w:val="0079350A"/>
    <w:rsid w:val="0079362E"/>
    <w:rsid w:val="00793690"/>
    <w:rsid w:val="007937DC"/>
    <w:rsid w:val="007939E5"/>
    <w:rsid w:val="00793A33"/>
    <w:rsid w:val="00793D86"/>
    <w:rsid w:val="00793D9F"/>
    <w:rsid w:val="00793EE6"/>
    <w:rsid w:val="00794197"/>
    <w:rsid w:val="0079441F"/>
    <w:rsid w:val="00794470"/>
    <w:rsid w:val="00794612"/>
    <w:rsid w:val="0079492E"/>
    <w:rsid w:val="00794F92"/>
    <w:rsid w:val="007951D3"/>
    <w:rsid w:val="007951EC"/>
    <w:rsid w:val="0079529B"/>
    <w:rsid w:val="00795356"/>
    <w:rsid w:val="00795508"/>
    <w:rsid w:val="00795524"/>
    <w:rsid w:val="00795525"/>
    <w:rsid w:val="0079563F"/>
    <w:rsid w:val="00795689"/>
    <w:rsid w:val="00795690"/>
    <w:rsid w:val="007956E1"/>
    <w:rsid w:val="00795724"/>
    <w:rsid w:val="00795750"/>
    <w:rsid w:val="007957BF"/>
    <w:rsid w:val="007958CB"/>
    <w:rsid w:val="007958E3"/>
    <w:rsid w:val="0079597B"/>
    <w:rsid w:val="00795B56"/>
    <w:rsid w:val="00795C67"/>
    <w:rsid w:val="0079630E"/>
    <w:rsid w:val="00796484"/>
    <w:rsid w:val="00796493"/>
    <w:rsid w:val="0079654A"/>
    <w:rsid w:val="00796562"/>
    <w:rsid w:val="00796702"/>
    <w:rsid w:val="007968E9"/>
    <w:rsid w:val="00796977"/>
    <w:rsid w:val="00796ACB"/>
    <w:rsid w:val="00796D5A"/>
    <w:rsid w:val="00796F49"/>
    <w:rsid w:val="007970DC"/>
    <w:rsid w:val="007970EA"/>
    <w:rsid w:val="0079716A"/>
    <w:rsid w:val="007971F5"/>
    <w:rsid w:val="007972CD"/>
    <w:rsid w:val="007974D3"/>
    <w:rsid w:val="0079774B"/>
    <w:rsid w:val="0079790D"/>
    <w:rsid w:val="00797973"/>
    <w:rsid w:val="00797A27"/>
    <w:rsid w:val="00797A39"/>
    <w:rsid w:val="00797AA1"/>
    <w:rsid w:val="00797AED"/>
    <w:rsid w:val="00797B36"/>
    <w:rsid w:val="00797B47"/>
    <w:rsid w:val="00797C88"/>
    <w:rsid w:val="00797CF5"/>
    <w:rsid w:val="00797EBE"/>
    <w:rsid w:val="007A0304"/>
    <w:rsid w:val="007A04D8"/>
    <w:rsid w:val="007A052E"/>
    <w:rsid w:val="007A05DF"/>
    <w:rsid w:val="007A06BF"/>
    <w:rsid w:val="007A082C"/>
    <w:rsid w:val="007A0CBB"/>
    <w:rsid w:val="007A0E63"/>
    <w:rsid w:val="007A0E81"/>
    <w:rsid w:val="007A0EC5"/>
    <w:rsid w:val="007A0F0B"/>
    <w:rsid w:val="007A10C1"/>
    <w:rsid w:val="007A1113"/>
    <w:rsid w:val="007A1195"/>
    <w:rsid w:val="007A121C"/>
    <w:rsid w:val="007A1258"/>
    <w:rsid w:val="007A1333"/>
    <w:rsid w:val="007A13F7"/>
    <w:rsid w:val="007A14F8"/>
    <w:rsid w:val="007A189D"/>
    <w:rsid w:val="007A1EBE"/>
    <w:rsid w:val="007A2141"/>
    <w:rsid w:val="007A22EA"/>
    <w:rsid w:val="007A231B"/>
    <w:rsid w:val="007A2400"/>
    <w:rsid w:val="007A243A"/>
    <w:rsid w:val="007A25F7"/>
    <w:rsid w:val="007A2BF7"/>
    <w:rsid w:val="007A2C9A"/>
    <w:rsid w:val="007A2E1D"/>
    <w:rsid w:val="007A2E24"/>
    <w:rsid w:val="007A2E2D"/>
    <w:rsid w:val="007A2EF0"/>
    <w:rsid w:val="007A30F8"/>
    <w:rsid w:val="007A3155"/>
    <w:rsid w:val="007A3276"/>
    <w:rsid w:val="007A32EA"/>
    <w:rsid w:val="007A340F"/>
    <w:rsid w:val="007A36F5"/>
    <w:rsid w:val="007A3700"/>
    <w:rsid w:val="007A370A"/>
    <w:rsid w:val="007A3A22"/>
    <w:rsid w:val="007A3A97"/>
    <w:rsid w:val="007A3D3D"/>
    <w:rsid w:val="007A3FD7"/>
    <w:rsid w:val="007A4189"/>
    <w:rsid w:val="007A429B"/>
    <w:rsid w:val="007A441D"/>
    <w:rsid w:val="007A4578"/>
    <w:rsid w:val="007A4700"/>
    <w:rsid w:val="007A471F"/>
    <w:rsid w:val="007A474A"/>
    <w:rsid w:val="007A47C2"/>
    <w:rsid w:val="007A48FF"/>
    <w:rsid w:val="007A4912"/>
    <w:rsid w:val="007A4AAA"/>
    <w:rsid w:val="007A4ABD"/>
    <w:rsid w:val="007A5150"/>
    <w:rsid w:val="007A5229"/>
    <w:rsid w:val="007A5298"/>
    <w:rsid w:val="007A5359"/>
    <w:rsid w:val="007A5764"/>
    <w:rsid w:val="007A5EC4"/>
    <w:rsid w:val="007A6058"/>
    <w:rsid w:val="007A60E3"/>
    <w:rsid w:val="007A63BA"/>
    <w:rsid w:val="007A65DA"/>
    <w:rsid w:val="007A6884"/>
    <w:rsid w:val="007A68C8"/>
    <w:rsid w:val="007A68C9"/>
    <w:rsid w:val="007A6930"/>
    <w:rsid w:val="007A6B7D"/>
    <w:rsid w:val="007A6C34"/>
    <w:rsid w:val="007A6CC7"/>
    <w:rsid w:val="007A6E07"/>
    <w:rsid w:val="007A7091"/>
    <w:rsid w:val="007A7267"/>
    <w:rsid w:val="007A72FF"/>
    <w:rsid w:val="007A7309"/>
    <w:rsid w:val="007A7589"/>
    <w:rsid w:val="007A7962"/>
    <w:rsid w:val="007A79C6"/>
    <w:rsid w:val="007A7A1D"/>
    <w:rsid w:val="007A7A32"/>
    <w:rsid w:val="007A7DE1"/>
    <w:rsid w:val="007A7EFD"/>
    <w:rsid w:val="007B0140"/>
    <w:rsid w:val="007B039E"/>
    <w:rsid w:val="007B0636"/>
    <w:rsid w:val="007B06AE"/>
    <w:rsid w:val="007B07FE"/>
    <w:rsid w:val="007B0A4A"/>
    <w:rsid w:val="007B0B69"/>
    <w:rsid w:val="007B0E09"/>
    <w:rsid w:val="007B0F01"/>
    <w:rsid w:val="007B18A5"/>
    <w:rsid w:val="007B18D4"/>
    <w:rsid w:val="007B1A3E"/>
    <w:rsid w:val="007B1C3F"/>
    <w:rsid w:val="007B1DD2"/>
    <w:rsid w:val="007B2009"/>
    <w:rsid w:val="007B2387"/>
    <w:rsid w:val="007B23CB"/>
    <w:rsid w:val="007B2433"/>
    <w:rsid w:val="007B2498"/>
    <w:rsid w:val="007B2575"/>
    <w:rsid w:val="007B270B"/>
    <w:rsid w:val="007B270C"/>
    <w:rsid w:val="007B2812"/>
    <w:rsid w:val="007B28A4"/>
    <w:rsid w:val="007B2998"/>
    <w:rsid w:val="007B2A76"/>
    <w:rsid w:val="007B2AB6"/>
    <w:rsid w:val="007B2B7B"/>
    <w:rsid w:val="007B2C53"/>
    <w:rsid w:val="007B2E37"/>
    <w:rsid w:val="007B2E92"/>
    <w:rsid w:val="007B2ED4"/>
    <w:rsid w:val="007B2F6B"/>
    <w:rsid w:val="007B2F76"/>
    <w:rsid w:val="007B33C4"/>
    <w:rsid w:val="007B34CC"/>
    <w:rsid w:val="007B3779"/>
    <w:rsid w:val="007B37E9"/>
    <w:rsid w:val="007B37FC"/>
    <w:rsid w:val="007B399F"/>
    <w:rsid w:val="007B3A20"/>
    <w:rsid w:val="007B3D36"/>
    <w:rsid w:val="007B3DAC"/>
    <w:rsid w:val="007B3ED9"/>
    <w:rsid w:val="007B3F4F"/>
    <w:rsid w:val="007B40FA"/>
    <w:rsid w:val="007B41F1"/>
    <w:rsid w:val="007B4313"/>
    <w:rsid w:val="007B4713"/>
    <w:rsid w:val="007B4776"/>
    <w:rsid w:val="007B4777"/>
    <w:rsid w:val="007B4C30"/>
    <w:rsid w:val="007B4D95"/>
    <w:rsid w:val="007B4EDB"/>
    <w:rsid w:val="007B51CE"/>
    <w:rsid w:val="007B5272"/>
    <w:rsid w:val="007B5282"/>
    <w:rsid w:val="007B5331"/>
    <w:rsid w:val="007B5436"/>
    <w:rsid w:val="007B5438"/>
    <w:rsid w:val="007B54C4"/>
    <w:rsid w:val="007B5561"/>
    <w:rsid w:val="007B5617"/>
    <w:rsid w:val="007B582B"/>
    <w:rsid w:val="007B5A0D"/>
    <w:rsid w:val="007B5A2C"/>
    <w:rsid w:val="007B5A9A"/>
    <w:rsid w:val="007B5BD9"/>
    <w:rsid w:val="007B5C71"/>
    <w:rsid w:val="007B5D4D"/>
    <w:rsid w:val="007B5F11"/>
    <w:rsid w:val="007B6106"/>
    <w:rsid w:val="007B61C0"/>
    <w:rsid w:val="007B6321"/>
    <w:rsid w:val="007B6912"/>
    <w:rsid w:val="007B6963"/>
    <w:rsid w:val="007B69A2"/>
    <w:rsid w:val="007B6A55"/>
    <w:rsid w:val="007B6CCC"/>
    <w:rsid w:val="007B6F26"/>
    <w:rsid w:val="007B7184"/>
    <w:rsid w:val="007B7207"/>
    <w:rsid w:val="007B7A9F"/>
    <w:rsid w:val="007B7B38"/>
    <w:rsid w:val="007B7C15"/>
    <w:rsid w:val="007B7C23"/>
    <w:rsid w:val="007B7CA8"/>
    <w:rsid w:val="007B7CF4"/>
    <w:rsid w:val="007B7E63"/>
    <w:rsid w:val="007B7FD1"/>
    <w:rsid w:val="007C0151"/>
    <w:rsid w:val="007C01F2"/>
    <w:rsid w:val="007C023C"/>
    <w:rsid w:val="007C0286"/>
    <w:rsid w:val="007C072A"/>
    <w:rsid w:val="007C0749"/>
    <w:rsid w:val="007C07D4"/>
    <w:rsid w:val="007C09CF"/>
    <w:rsid w:val="007C0ABC"/>
    <w:rsid w:val="007C0B87"/>
    <w:rsid w:val="007C0BAF"/>
    <w:rsid w:val="007C0C93"/>
    <w:rsid w:val="007C0DF6"/>
    <w:rsid w:val="007C0E45"/>
    <w:rsid w:val="007C0F95"/>
    <w:rsid w:val="007C0FCA"/>
    <w:rsid w:val="007C1038"/>
    <w:rsid w:val="007C1054"/>
    <w:rsid w:val="007C119C"/>
    <w:rsid w:val="007C1277"/>
    <w:rsid w:val="007C1390"/>
    <w:rsid w:val="007C14DC"/>
    <w:rsid w:val="007C1676"/>
    <w:rsid w:val="007C17D5"/>
    <w:rsid w:val="007C1896"/>
    <w:rsid w:val="007C1A8F"/>
    <w:rsid w:val="007C1B20"/>
    <w:rsid w:val="007C1CCD"/>
    <w:rsid w:val="007C1CEB"/>
    <w:rsid w:val="007C1D3C"/>
    <w:rsid w:val="007C1D4B"/>
    <w:rsid w:val="007C1DE1"/>
    <w:rsid w:val="007C1E99"/>
    <w:rsid w:val="007C20A9"/>
    <w:rsid w:val="007C2302"/>
    <w:rsid w:val="007C253A"/>
    <w:rsid w:val="007C2662"/>
    <w:rsid w:val="007C2666"/>
    <w:rsid w:val="007C278C"/>
    <w:rsid w:val="007C2836"/>
    <w:rsid w:val="007C29AA"/>
    <w:rsid w:val="007C2A95"/>
    <w:rsid w:val="007C2A98"/>
    <w:rsid w:val="007C2B4A"/>
    <w:rsid w:val="007C2BAF"/>
    <w:rsid w:val="007C2D5D"/>
    <w:rsid w:val="007C2F22"/>
    <w:rsid w:val="007C2F36"/>
    <w:rsid w:val="007C30DB"/>
    <w:rsid w:val="007C3145"/>
    <w:rsid w:val="007C3211"/>
    <w:rsid w:val="007C338E"/>
    <w:rsid w:val="007C3505"/>
    <w:rsid w:val="007C35A9"/>
    <w:rsid w:val="007C3BD1"/>
    <w:rsid w:val="007C3C91"/>
    <w:rsid w:val="007C3F70"/>
    <w:rsid w:val="007C423D"/>
    <w:rsid w:val="007C43D1"/>
    <w:rsid w:val="007C44F2"/>
    <w:rsid w:val="007C46A6"/>
    <w:rsid w:val="007C46C3"/>
    <w:rsid w:val="007C4948"/>
    <w:rsid w:val="007C495F"/>
    <w:rsid w:val="007C4B87"/>
    <w:rsid w:val="007C4D1F"/>
    <w:rsid w:val="007C4D84"/>
    <w:rsid w:val="007C4DED"/>
    <w:rsid w:val="007C4F4C"/>
    <w:rsid w:val="007C5559"/>
    <w:rsid w:val="007C55C4"/>
    <w:rsid w:val="007C581A"/>
    <w:rsid w:val="007C581B"/>
    <w:rsid w:val="007C58C5"/>
    <w:rsid w:val="007C596E"/>
    <w:rsid w:val="007C5B41"/>
    <w:rsid w:val="007C5C67"/>
    <w:rsid w:val="007C5CCC"/>
    <w:rsid w:val="007C5CF9"/>
    <w:rsid w:val="007C5DE8"/>
    <w:rsid w:val="007C5E13"/>
    <w:rsid w:val="007C5F51"/>
    <w:rsid w:val="007C60A0"/>
    <w:rsid w:val="007C618F"/>
    <w:rsid w:val="007C62F0"/>
    <w:rsid w:val="007C6425"/>
    <w:rsid w:val="007C6437"/>
    <w:rsid w:val="007C656C"/>
    <w:rsid w:val="007C6630"/>
    <w:rsid w:val="007C676D"/>
    <w:rsid w:val="007C67D1"/>
    <w:rsid w:val="007C68ED"/>
    <w:rsid w:val="007C6915"/>
    <w:rsid w:val="007C69C3"/>
    <w:rsid w:val="007C6B78"/>
    <w:rsid w:val="007C6D01"/>
    <w:rsid w:val="007C6D54"/>
    <w:rsid w:val="007C6D5E"/>
    <w:rsid w:val="007C6EFF"/>
    <w:rsid w:val="007C7038"/>
    <w:rsid w:val="007C71BB"/>
    <w:rsid w:val="007C73B8"/>
    <w:rsid w:val="007C74E8"/>
    <w:rsid w:val="007C7684"/>
    <w:rsid w:val="007C770E"/>
    <w:rsid w:val="007C7902"/>
    <w:rsid w:val="007C7A2B"/>
    <w:rsid w:val="007C7F14"/>
    <w:rsid w:val="007C7F1E"/>
    <w:rsid w:val="007D0012"/>
    <w:rsid w:val="007D0076"/>
    <w:rsid w:val="007D00A8"/>
    <w:rsid w:val="007D010C"/>
    <w:rsid w:val="007D013D"/>
    <w:rsid w:val="007D02EA"/>
    <w:rsid w:val="007D031A"/>
    <w:rsid w:val="007D07E1"/>
    <w:rsid w:val="007D0BB1"/>
    <w:rsid w:val="007D0C0E"/>
    <w:rsid w:val="007D0D20"/>
    <w:rsid w:val="007D0EE9"/>
    <w:rsid w:val="007D1019"/>
    <w:rsid w:val="007D11E0"/>
    <w:rsid w:val="007D1241"/>
    <w:rsid w:val="007D15E3"/>
    <w:rsid w:val="007D16F1"/>
    <w:rsid w:val="007D1701"/>
    <w:rsid w:val="007D1841"/>
    <w:rsid w:val="007D194A"/>
    <w:rsid w:val="007D1A1D"/>
    <w:rsid w:val="007D1BDF"/>
    <w:rsid w:val="007D1C35"/>
    <w:rsid w:val="007D1CD6"/>
    <w:rsid w:val="007D1D32"/>
    <w:rsid w:val="007D1DD7"/>
    <w:rsid w:val="007D1FAC"/>
    <w:rsid w:val="007D230F"/>
    <w:rsid w:val="007D23A3"/>
    <w:rsid w:val="007D23BD"/>
    <w:rsid w:val="007D23F2"/>
    <w:rsid w:val="007D2562"/>
    <w:rsid w:val="007D2588"/>
    <w:rsid w:val="007D2739"/>
    <w:rsid w:val="007D2A3B"/>
    <w:rsid w:val="007D2DA7"/>
    <w:rsid w:val="007D2FC1"/>
    <w:rsid w:val="007D31C1"/>
    <w:rsid w:val="007D31DD"/>
    <w:rsid w:val="007D32C6"/>
    <w:rsid w:val="007D3361"/>
    <w:rsid w:val="007D3383"/>
    <w:rsid w:val="007D3438"/>
    <w:rsid w:val="007D3641"/>
    <w:rsid w:val="007D3699"/>
    <w:rsid w:val="007D374E"/>
    <w:rsid w:val="007D375F"/>
    <w:rsid w:val="007D3798"/>
    <w:rsid w:val="007D3B6F"/>
    <w:rsid w:val="007D3C4B"/>
    <w:rsid w:val="007D3CB1"/>
    <w:rsid w:val="007D3F16"/>
    <w:rsid w:val="007D3FEB"/>
    <w:rsid w:val="007D4079"/>
    <w:rsid w:val="007D4242"/>
    <w:rsid w:val="007D445D"/>
    <w:rsid w:val="007D4489"/>
    <w:rsid w:val="007D448E"/>
    <w:rsid w:val="007D44C8"/>
    <w:rsid w:val="007D45E5"/>
    <w:rsid w:val="007D46D4"/>
    <w:rsid w:val="007D4837"/>
    <w:rsid w:val="007D485C"/>
    <w:rsid w:val="007D4A1F"/>
    <w:rsid w:val="007D4AE1"/>
    <w:rsid w:val="007D4C8D"/>
    <w:rsid w:val="007D4D6A"/>
    <w:rsid w:val="007D4DAE"/>
    <w:rsid w:val="007D51DC"/>
    <w:rsid w:val="007D5399"/>
    <w:rsid w:val="007D5498"/>
    <w:rsid w:val="007D55E8"/>
    <w:rsid w:val="007D589E"/>
    <w:rsid w:val="007D58B4"/>
    <w:rsid w:val="007D58E9"/>
    <w:rsid w:val="007D5982"/>
    <w:rsid w:val="007D59F3"/>
    <w:rsid w:val="007D5CBD"/>
    <w:rsid w:val="007D5D39"/>
    <w:rsid w:val="007D5ECB"/>
    <w:rsid w:val="007D5EDC"/>
    <w:rsid w:val="007D5F25"/>
    <w:rsid w:val="007D5F8E"/>
    <w:rsid w:val="007D600C"/>
    <w:rsid w:val="007D6011"/>
    <w:rsid w:val="007D62F2"/>
    <w:rsid w:val="007D667F"/>
    <w:rsid w:val="007D66D1"/>
    <w:rsid w:val="007D6871"/>
    <w:rsid w:val="007D68EF"/>
    <w:rsid w:val="007D691C"/>
    <w:rsid w:val="007D6B32"/>
    <w:rsid w:val="007D6BEE"/>
    <w:rsid w:val="007D6C9D"/>
    <w:rsid w:val="007D6D69"/>
    <w:rsid w:val="007D6E42"/>
    <w:rsid w:val="007D6F1D"/>
    <w:rsid w:val="007D6F66"/>
    <w:rsid w:val="007D6F94"/>
    <w:rsid w:val="007D6FD7"/>
    <w:rsid w:val="007D7304"/>
    <w:rsid w:val="007D730C"/>
    <w:rsid w:val="007D76D5"/>
    <w:rsid w:val="007D7AF0"/>
    <w:rsid w:val="007D7AF5"/>
    <w:rsid w:val="007D7DD8"/>
    <w:rsid w:val="007D7E0D"/>
    <w:rsid w:val="007D7E39"/>
    <w:rsid w:val="007D7E78"/>
    <w:rsid w:val="007D7FCA"/>
    <w:rsid w:val="007E02B5"/>
    <w:rsid w:val="007E042F"/>
    <w:rsid w:val="007E0456"/>
    <w:rsid w:val="007E04DE"/>
    <w:rsid w:val="007E061F"/>
    <w:rsid w:val="007E063F"/>
    <w:rsid w:val="007E09C9"/>
    <w:rsid w:val="007E0A13"/>
    <w:rsid w:val="007E0A14"/>
    <w:rsid w:val="007E0AB4"/>
    <w:rsid w:val="007E0BD6"/>
    <w:rsid w:val="007E0C39"/>
    <w:rsid w:val="007E0E80"/>
    <w:rsid w:val="007E1037"/>
    <w:rsid w:val="007E1329"/>
    <w:rsid w:val="007E140D"/>
    <w:rsid w:val="007E142C"/>
    <w:rsid w:val="007E1645"/>
    <w:rsid w:val="007E167A"/>
    <w:rsid w:val="007E1830"/>
    <w:rsid w:val="007E19E3"/>
    <w:rsid w:val="007E1B65"/>
    <w:rsid w:val="007E1BDE"/>
    <w:rsid w:val="007E1BFD"/>
    <w:rsid w:val="007E1DF4"/>
    <w:rsid w:val="007E1E55"/>
    <w:rsid w:val="007E1F4B"/>
    <w:rsid w:val="007E1F72"/>
    <w:rsid w:val="007E1FC5"/>
    <w:rsid w:val="007E2077"/>
    <w:rsid w:val="007E20BB"/>
    <w:rsid w:val="007E2338"/>
    <w:rsid w:val="007E25DB"/>
    <w:rsid w:val="007E2629"/>
    <w:rsid w:val="007E26BF"/>
    <w:rsid w:val="007E2A7A"/>
    <w:rsid w:val="007E2C5C"/>
    <w:rsid w:val="007E2ED5"/>
    <w:rsid w:val="007E2EFF"/>
    <w:rsid w:val="007E3461"/>
    <w:rsid w:val="007E34D5"/>
    <w:rsid w:val="007E3802"/>
    <w:rsid w:val="007E3ABB"/>
    <w:rsid w:val="007E3B24"/>
    <w:rsid w:val="007E3B48"/>
    <w:rsid w:val="007E401E"/>
    <w:rsid w:val="007E40C4"/>
    <w:rsid w:val="007E41E8"/>
    <w:rsid w:val="007E4367"/>
    <w:rsid w:val="007E440C"/>
    <w:rsid w:val="007E46C9"/>
    <w:rsid w:val="007E4720"/>
    <w:rsid w:val="007E48AA"/>
    <w:rsid w:val="007E48BC"/>
    <w:rsid w:val="007E48D0"/>
    <w:rsid w:val="007E4ADF"/>
    <w:rsid w:val="007E4BB3"/>
    <w:rsid w:val="007E4FB6"/>
    <w:rsid w:val="007E51EE"/>
    <w:rsid w:val="007E54F8"/>
    <w:rsid w:val="007E5662"/>
    <w:rsid w:val="007E5675"/>
    <w:rsid w:val="007E5716"/>
    <w:rsid w:val="007E57E0"/>
    <w:rsid w:val="007E5876"/>
    <w:rsid w:val="007E5A57"/>
    <w:rsid w:val="007E5A92"/>
    <w:rsid w:val="007E5B55"/>
    <w:rsid w:val="007E5D03"/>
    <w:rsid w:val="007E5F27"/>
    <w:rsid w:val="007E5F88"/>
    <w:rsid w:val="007E5FED"/>
    <w:rsid w:val="007E619C"/>
    <w:rsid w:val="007E62B0"/>
    <w:rsid w:val="007E6511"/>
    <w:rsid w:val="007E651A"/>
    <w:rsid w:val="007E659C"/>
    <w:rsid w:val="007E65AE"/>
    <w:rsid w:val="007E668C"/>
    <w:rsid w:val="007E68F3"/>
    <w:rsid w:val="007E6A9C"/>
    <w:rsid w:val="007E6DF7"/>
    <w:rsid w:val="007E6ED1"/>
    <w:rsid w:val="007E7115"/>
    <w:rsid w:val="007E7200"/>
    <w:rsid w:val="007E7415"/>
    <w:rsid w:val="007E7452"/>
    <w:rsid w:val="007E7B41"/>
    <w:rsid w:val="007E7B79"/>
    <w:rsid w:val="007E7E68"/>
    <w:rsid w:val="007E7EFA"/>
    <w:rsid w:val="007F002C"/>
    <w:rsid w:val="007F0311"/>
    <w:rsid w:val="007F04C4"/>
    <w:rsid w:val="007F0577"/>
    <w:rsid w:val="007F08B2"/>
    <w:rsid w:val="007F0A17"/>
    <w:rsid w:val="007F0B75"/>
    <w:rsid w:val="007F0E60"/>
    <w:rsid w:val="007F0EB9"/>
    <w:rsid w:val="007F0F58"/>
    <w:rsid w:val="007F1090"/>
    <w:rsid w:val="007F15D2"/>
    <w:rsid w:val="007F1665"/>
    <w:rsid w:val="007F16B0"/>
    <w:rsid w:val="007F16EF"/>
    <w:rsid w:val="007F18B0"/>
    <w:rsid w:val="007F1A50"/>
    <w:rsid w:val="007F23C4"/>
    <w:rsid w:val="007F269B"/>
    <w:rsid w:val="007F2856"/>
    <w:rsid w:val="007F2967"/>
    <w:rsid w:val="007F2A47"/>
    <w:rsid w:val="007F2C74"/>
    <w:rsid w:val="007F2DB2"/>
    <w:rsid w:val="007F2E89"/>
    <w:rsid w:val="007F2F04"/>
    <w:rsid w:val="007F30D6"/>
    <w:rsid w:val="007F3100"/>
    <w:rsid w:val="007F35EC"/>
    <w:rsid w:val="007F366E"/>
    <w:rsid w:val="007F389B"/>
    <w:rsid w:val="007F3B8C"/>
    <w:rsid w:val="007F3BCC"/>
    <w:rsid w:val="007F3C77"/>
    <w:rsid w:val="007F3CEB"/>
    <w:rsid w:val="007F3F1E"/>
    <w:rsid w:val="007F3F22"/>
    <w:rsid w:val="007F4002"/>
    <w:rsid w:val="007F404B"/>
    <w:rsid w:val="007F4268"/>
    <w:rsid w:val="007F43DF"/>
    <w:rsid w:val="007F44A3"/>
    <w:rsid w:val="007F45A9"/>
    <w:rsid w:val="007F46FC"/>
    <w:rsid w:val="007F4D9C"/>
    <w:rsid w:val="007F4F42"/>
    <w:rsid w:val="007F4FB0"/>
    <w:rsid w:val="007F51AB"/>
    <w:rsid w:val="007F51EA"/>
    <w:rsid w:val="007F5328"/>
    <w:rsid w:val="007F54D9"/>
    <w:rsid w:val="007F5507"/>
    <w:rsid w:val="007F5540"/>
    <w:rsid w:val="007F5560"/>
    <w:rsid w:val="007F557F"/>
    <w:rsid w:val="007F57FB"/>
    <w:rsid w:val="007F5858"/>
    <w:rsid w:val="007F5934"/>
    <w:rsid w:val="007F5DE8"/>
    <w:rsid w:val="007F5E1E"/>
    <w:rsid w:val="007F6017"/>
    <w:rsid w:val="007F602C"/>
    <w:rsid w:val="007F6032"/>
    <w:rsid w:val="007F606B"/>
    <w:rsid w:val="007F6114"/>
    <w:rsid w:val="007F6133"/>
    <w:rsid w:val="007F6173"/>
    <w:rsid w:val="007F61B9"/>
    <w:rsid w:val="007F628C"/>
    <w:rsid w:val="007F6647"/>
    <w:rsid w:val="007F6919"/>
    <w:rsid w:val="007F69BB"/>
    <w:rsid w:val="007F6C90"/>
    <w:rsid w:val="007F6CD5"/>
    <w:rsid w:val="007F6E61"/>
    <w:rsid w:val="007F6E74"/>
    <w:rsid w:val="007F6F5A"/>
    <w:rsid w:val="007F7296"/>
    <w:rsid w:val="007F738D"/>
    <w:rsid w:val="007F7576"/>
    <w:rsid w:val="007F770B"/>
    <w:rsid w:val="007F784E"/>
    <w:rsid w:val="007F7A3F"/>
    <w:rsid w:val="007F7B3E"/>
    <w:rsid w:val="0080033B"/>
    <w:rsid w:val="00800837"/>
    <w:rsid w:val="00800994"/>
    <w:rsid w:val="00800BE1"/>
    <w:rsid w:val="00800C4E"/>
    <w:rsid w:val="00800C8A"/>
    <w:rsid w:val="00800E4F"/>
    <w:rsid w:val="00800F38"/>
    <w:rsid w:val="00800F51"/>
    <w:rsid w:val="00801029"/>
    <w:rsid w:val="00801077"/>
    <w:rsid w:val="00801080"/>
    <w:rsid w:val="008010B2"/>
    <w:rsid w:val="008010DB"/>
    <w:rsid w:val="008012A7"/>
    <w:rsid w:val="008012DF"/>
    <w:rsid w:val="00801363"/>
    <w:rsid w:val="008013BA"/>
    <w:rsid w:val="00801678"/>
    <w:rsid w:val="00801683"/>
    <w:rsid w:val="00801ACD"/>
    <w:rsid w:val="00801DE3"/>
    <w:rsid w:val="008023A6"/>
    <w:rsid w:val="0080248E"/>
    <w:rsid w:val="0080257C"/>
    <w:rsid w:val="00802614"/>
    <w:rsid w:val="00802633"/>
    <w:rsid w:val="00802668"/>
    <w:rsid w:val="008026D9"/>
    <w:rsid w:val="00802821"/>
    <w:rsid w:val="00802ABE"/>
    <w:rsid w:val="00802AC4"/>
    <w:rsid w:val="00802D0E"/>
    <w:rsid w:val="00802D22"/>
    <w:rsid w:val="00802EB9"/>
    <w:rsid w:val="00802FA9"/>
    <w:rsid w:val="008032AD"/>
    <w:rsid w:val="00803358"/>
    <w:rsid w:val="0080346A"/>
    <w:rsid w:val="0080355F"/>
    <w:rsid w:val="0080386F"/>
    <w:rsid w:val="008038FA"/>
    <w:rsid w:val="008039AA"/>
    <w:rsid w:val="00803EDA"/>
    <w:rsid w:val="00804058"/>
    <w:rsid w:val="00804194"/>
    <w:rsid w:val="008041B8"/>
    <w:rsid w:val="0080457D"/>
    <w:rsid w:val="008046EE"/>
    <w:rsid w:val="0080472B"/>
    <w:rsid w:val="00804AE5"/>
    <w:rsid w:val="00804AEA"/>
    <w:rsid w:val="00804CE1"/>
    <w:rsid w:val="00804D01"/>
    <w:rsid w:val="00804D6B"/>
    <w:rsid w:val="00804F04"/>
    <w:rsid w:val="00804F46"/>
    <w:rsid w:val="0080504B"/>
    <w:rsid w:val="008051B1"/>
    <w:rsid w:val="0080529C"/>
    <w:rsid w:val="008052AF"/>
    <w:rsid w:val="008052CC"/>
    <w:rsid w:val="008056A9"/>
    <w:rsid w:val="008059C2"/>
    <w:rsid w:val="00805C92"/>
    <w:rsid w:val="00806166"/>
    <w:rsid w:val="008062F8"/>
    <w:rsid w:val="0080644E"/>
    <w:rsid w:val="008064F8"/>
    <w:rsid w:val="00806659"/>
    <w:rsid w:val="00806676"/>
    <w:rsid w:val="008067C4"/>
    <w:rsid w:val="008068F6"/>
    <w:rsid w:val="0080691A"/>
    <w:rsid w:val="00806986"/>
    <w:rsid w:val="00806D5F"/>
    <w:rsid w:val="00806D9D"/>
    <w:rsid w:val="00806E88"/>
    <w:rsid w:val="00806EFF"/>
    <w:rsid w:val="00806F8F"/>
    <w:rsid w:val="0080710A"/>
    <w:rsid w:val="00807121"/>
    <w:rsid w:val="008071CD"/>
    <w:rsid w:val="00807418"/>
    <w:rsid w:val="0080748F"/>
    <w:rsid w:val="008075A4"/>
    <w:rsid w:val="0080789B"/>
    <w:rsid w:val="0080799E"/>
    <w:rsid w:val="008079C7"/>
    <w:rsid w:val="00807C7D"/>
    <w:rsid w:val="00807D66"/>
    <w:rsid w:val="00807F75"/>
    <w:rsid w:val="008100AD"/>
    <w:rsid w:val="008100D3"/>
    <w:rsid w:val="00810268"/>
    <w:rsid w:val="008102A1"/>
    <w:rsid w:val="00810485"/>
    <w:rsid w:val="0081066D"/>
    <w:rsid w:val="00810709"/>
    <w:rsid w:val="0081079E"/>
    <w:rsid w:val="00810884"/>
    <w:rsid w:val="00810BB1"/>
    <w:rsid w:val="00810BF3"/>
    <w:rsid w:val="00810BF7"/>
    <w:rsid w:val="00810CF2"/>
    <w:rsid w:val="00810E92"/>
    <w:rsid w:val="00810EDF"/>
    <w:rsid w:val="00810EF8"/>
    <w:rsid w:val="0081104A"/>
    <w:rsid w:val="0081106A"/>
    <w:rsid w:val="0081137D"/>
    <w:rsid w:val="00811564"/>
    <w:rsid w:val="008115AE"/>
    <w:rsid w:val="008117F9"/>
    <w:rsid w:val="008117FF"/>
    <w:rsid w:val="00811813"/>
    <w:rsid w:val="00811895"/>
    <w:rsid w:val="00811962"/>
    <w:rsid w:val="00811C1A"/>
    <w:rsid w:val="00811CE4"/>
    <w:rsid w:val="00811D35"/>
    <w:rsid w:val="00811EB1"/>
    <w:rsid w:val="00812155"/>
    <w:rsid w:val="008122D4"/>
    <w:rsid w:val="00812371"/>
    <w:rsid w:val="0081253D"/>
    <w:rsid w:val="00812579"/>
    <w:rsid w:val="00812786"/>
    <w:rsid w:val="00812791"/>
    <w:rsid w:val="008128BF"/>
    <w:rsid w:val="00812B1F"/>
    <w:rsid w:val="00812BB5"/>
    <w:rsid w:val="00812C1A"/>
    <w:rsid w:val="00812C51"/>
    <w:rsid w:val="00812C74"/>
    <w:rsid w:val="00812E81"/>
    <w:rsid w:val="00812ECF"/>
    <w:rsid w:val="00812F2C"/>
    <w:rsid w:val="00813124"/>
    <w:rsid w:val="00813246"/>
    <w:rsid w:val="00813327"/>
    <w:rsid w:val="0081338A"/>
    <w:rsid w:val="008134D8"/>
    <w:rsid w:val="00813671"/>
    <w:rsid w:val="008136F3"/>
    <w:rsid w:val="008138D0"/>
    <w:rsid w:val="00813954"/>
    <w:rsid w:val="00813A6E"/>
    <w:rsid w:val="00813DFA"/>
    <w:rsid w:val="00813E28"/>
    <w:rsid w:val="00813F60"/>
    <w:rsid w:val="008141D5"/>
    <w:rsid w:val="00814234"/>
    <w:rsid w:val="00814467"/>
    <w:rsid w:val="008144F0"/>
    <w:rsid w:val="00814552"/>
    <w:rsid w:val="008145FC"/>
    <w:rsid w:val="008146F4"/>
    <w:rsid w:val="00814914"/>
    <w:rsid w:val="008149A5"/>
    <w:rsid w:val="00814A72"/>
    <w:rsid w:val="00814C30"/>
    <w:rsid w:val="00814CD8"/>
    <w:rsid w:val="00814F46"/>
    <w:rsid w:val="00814FF3"/>
    <w:rsid w:val="00815031"/>
    <w:rsid w:val="008150DC"/>
    <w:rsid w:val="00815146"/>
    <w:rsid w:val="0081519D"/>
    <w:rsid w:val="008155C8"/>
    <w:rsid w:val="00815600"/>
    <w:rsid w:val="00815899"/>
    <w:rsid w:val="008158E5"/>
    <w:rsid w:val="0081598F"/>
    <w:rsid w:val="00815B32"/>
    <w:rsid w:val="00815C9C"/>
    <w:rsid w:val="00815EFD"/>
    <w:rsid w:val="00815FB1"/>
    <w:rsid w:val="008161F2"/>
    <w:rsid w:val="0081633A"/>
    <w:rsid w:val="0081655D"/>
    <w:rsid w:val="008166AD"/>
    <w:rsid w:val="00816921"/>
    <w:rsid w:val="00816A35"/>
    <w:rsid w:val="00816B3D"/>
    <w:rsid w:val="00816CAB"/>
    <w:rsid w:val="00816D6D"/>
    <w:rsid w:val="00816E4A"/>
    <w:rsid w:val="00816F10"/>
    <w:rsid w:val="008171D7"/>
    <w:rsid w:val="008172E5"/>
    <w:rsid w:val="00817376"/>
    <w:rsid w:val="008173D9"/>
    <w:rsid w:val="008176E8"/>
    <w:rsid w:val="008177FC"/>
    <w:rsid w:val="00817994"/>
    <w:rsid w:val="00817AFA"/>
    <w:rsid w:val="00817BA1"/>
    <w:rsid w:val="00817C2F"/>
    <w:rsid w:val="00817C58"/>
    <w:rsid w:val="00817CAE"/>
    <w:rsid w:val="00817D79"/>
    <w:rsid w:val="00817E02"/>
    <w:rsid w:val="00817EF2"/>
    <w:rsid w:val="008200C6"/>
    <w:rsid w:val="008202F2"/>
    <w:rsid w:val="008203D5"/>
    <w:rsid w:val="0082051C"/>
    <w:rsid w:val="0082099F"/>
    <w:rsid w:val="00820A66"/>
    <w:rsid w:val="00820C4F"/>
    <w:rsid w:val="00820E61"/>
    <w:rsid w:val="00820FBE"/>
    <w:rsid w:val="008211C3"/>
    <w:rsid w:val="008212E7"/>
    <w:rsid w:val="00821476"/>
    <w:rsid w:val="008216C2"/>
    <w:rsid w:val="008217C8"/>
    <w:rsid w:val="00821AB9"/>
    <w:rsid w:val="00821CA3"/>
    <w:rsid w:val="00821D54"/>
    <w:rsid w:val="00822057"/>
    <w:rsid w:val="008220A4"/>
    <w:rsid w:val="00822158"/>
    <w:rsid w:val="008221CD"/>
    <w:rsid w:val="0082235F"/>
    <w:rsid w:val="008224C8"/>
    <w:rsid w:val="0082254A"/>
    <w:rsid w:val="00822775"/>
    <w:rsid w:val="00822D29"/>
    <w:rsid w:val="00822F36"/>
    <w:rsid w:val="00822F7A"/>
    <w:rsid w:val="00822F8B"/>
    <w:rsid w:val="0082311B"/>
    <w:rsid w:val="0082315C"/>
    <w:rsid w:val="008231E5"/>
    <w:rsid w:val="0082341C"/>
    <w:rsid w:val="00823569"/>
    <w:rsid w:val="0082363E"/>
    <w:rsid w:val="00823787"/>
    <w:rsid w:val="0082391C"/>
    <w:rsid w:val="0082396D"/>
    <w:rsid w:val="00823CFC"/>
    <w:rsid w:val="00823D42"/>
    <w:rsid w:val="00823DD6"/>
    <w:rsid w:val="00823E68"/>
    <w:rsid w:val="00823F65"/>
    <w:rsid w:val="00824184"/>
    <w:rsid w:val="00824309"/>
    <w:rsid w:val="00824391"/>
    <w:rsid w:val="0082442E"/>
    <w:rsid w:val="00824495"/>
    <w:rsid w:val="008244B4"/>
    <w:rsid w:val="00824553"/>
    <w:rsid w:val="0082468B"/>
    <w:rsid w:val="008246AD"/>
    <w:rsid w:val="00824958"/>
    <w:rsid w:val="00824AC6"/>
    <w:rsid w:val="00824B7A"/>
    <w:rsid w:val="00824E63"/>
    <w:rsid w:val="00824EE5"/>
    <w:rsid w:val="0082510B"/>
    <w:rsid w:val="0082514A"/>
    <w:rsid w:val="00825176"/>
    <w:rsid w:val="008251CD"/>
    <w:rsid w:val="00825269"/>
    <w:rsid w:val="008252B2"/>
    <w:rsid w:val="0082549B"/>
    <w:rsid w:val="008254E7"/>
    <w:rsid w:val="0082553D"/>
    <w:rsid w:val="008255CF"/>
    <w:rsid w:val="008256AE"/>
    <w:rsid w:val="008256C7"/>
    <w:rsid w:val="008259A9"/>
    <w:rsid w:val="00825A01"/>
    <w:rsid w:val="00825BB3"/>
    <w:rsid w:val="00825CFF"/>
    <w:rsid w:val="00825E8C"/>
    <w:rsid w:val="00825EC0"/>
    <w:rsid w:val="00826001"/>
    <w:rsid w:val="008260E1"/>
    <w:rsid w:val="008260F1"/>
    <w:rsid w:val="0082621A"/>
    <w:rsid w:val="00826411"/>
    <w:rsid w:val="00826415"/>
    <w:rsid w:val="0082660D"/>
    <w:rsid w:val="0082666A"/>
    <w:rsid w:val="00826726"/>
    <w:rsid w:val="00826874"/>
    <w:rsid w:val="0082693E"/>
    <w:rsid w:val="00826BD2"/>
    <w:rsid w:val="00826C99"/>
    <w:rsid w:val="00826E2E"/>
    <w:rsid w:val="00826FBD"/>
    <w:rsid w:val="0082703C"/>
    <w:rsid w:val="0082728E"/>
    <w:rsid w:val="008272BB"/>
    <w:rsid w:val="00827445"/>
    <w:rsid w:val="0082780C"/>
    <w:rsid w:val="008278D1"/>
    <w:rsid w:val="00827BC6"/>
    <w:rsid w:val="00827BF4"/>
    <w:rsid w:val="0083029E"/>
    <w:rsid w:val="0083040A"/>
    <w:rsid w:val="0083053B"/>
    <w:rsid w:val="008306AD"/>
    <w:rsid w:val="00830706"/>
    <w:rsid w:val="00830884"/>
    <w:rsid w:val="008308D5"/>
    <w:rsid w:val="00830A42"/>
    <w:rsid w:val="00830D87"/>
    <w:rsid w:val="00830E3C"/>
    <w:rsid w:val="00830EA2"/>
    <w:rsid w:val="00830EDB"/>
    <w:rsid w:val="00830FDD"/>
    <w:rsid w:val="008312B9"/>
    <w:rsid w:val="00831342"/>
    <w:rsid w:val="0083147F"/>
    <w:rsid w:val="008314AB"/>
    <w:rsid w:val="0083160A"/>
    <w:rsid w:val="008316E4"/>
    <w:rsid w:val="00831726"/>
    <w:rsid w:val="008317A6"/>
    <w:rsid w:val="008317EA"/>
    <w:rsid w:val="0083191B"/>
    <w:rsid w:val="00831A20"/>
    <w:rsid w:val="00831AEA"/>
    <w:rsid w:val="00831C2F"/>
    <w:rsid w:val="00831C33"/>
    <w:rsid w:val="00831F69"/>
    <w:rsid w:val="00831F74"/>
    <w:rsid w:val="00831F88"/>
    <w:rsid w:val="00832007"/>
    <w:rsid w:val="00832009"/>
    <w:rsid w:val="00832061"/>
    <w:rsid w:val="008321A3"/>
    <w:rsid w:val="008321EF"/>
    <w:rsid w:val="008321F4"/>
    <w:rsid w:val="00832293"/>
    <w:rsid w:val="0083246E"/>
    <w:rsid w:val="00832596"/>
    <w:rsid w:val="00832872"/>
    <w:rsid w:val="00832967"/>
    <w:rsid w:val="008329B0"/>
    <w:rsid w:val="00832AB0"/>
    <w:rsid w:val="00832BE0"/>
    <w:rsid w:val="00832C01"/>
    <w:rsid w:val="00832C72"/>
    <w:rsid w:val="00832CCB"/>
    <w:rsid w:val="00832E6E"/>
    <w:rsid w:val="00832EEE"/>
    <w:rsid w:val="00832F41"/>
    <w:rsid w:val="00832FE4"/>
    <w:rsid w:val="008332E7"/>
    <w:rsid w:val="0083356F"/>
    <w:rsid w:val="00833577"/>
    <w:rsid w:val="008335A6"/>
    <w:rsid w:val="0083362B"/>
    <w:rsid w:val="00833759"/>
    <w:rsid w:val="00833B07"/>
    <w:rsid w:val="00833D61"/>
    <w:rsid w:val="00833E1E"/>
    <w:rsid w:val="00833ED5"/>
    <w:rsid w:val="00833FBA"/>
    <w:rsid w:val="008340CA"/>
    <w:rsid w:val="0083419F"/>
    <w:rsid w:val="008342A6"/>
    <w:rsid w:val="008342C9"/>
    <w:rsid w:val="008342DE"/>
    <w:rsid w:val="00834316"/>
    <w:rsid w:val="00834399"/>
    <w:rsid w:val="00834454"/>
    <w:rsid w:val="008344DB"/>
    <w:rsid w:val="008345CA"/>
    <w:rsid w:val="00834606"/>
    <w:rsid w:val="008346E3"/>
    <w:rsid w:val="008347CE"/>
    <w:rsid w:val="00834836"/>
    <w:rsid w:val="008348FF"/>
    <w:rsid w:val="00834C89"/>
    <w:rsid w:val="00834E12"/>
    <w:rsid w:val="00834EBC"/>
    <w:rsid w:val="00834FE0"/>
    <w:rsid w:val="00834FF6"/>
    <w:rsid w:val="008351FD"/>
    <w:rsid w:val="008352A2"/>
    <w:rsid w:val="00835339"/>
    <w:rsid w:val="008353EF"/>
    <w:rsid w:val="008355A8"/>
    <w:rsid w:val="00835A17"/>
    <w:rsid w:val="00835C4B"/>
    <w:rsid w:val="00835E46"/>
    <w:rsid w:val="00835F60"/>
    <w:rsid w:val="00835F91"/>
    <w:rsid w:val="00835FA8"/>
    <w:rsid w:val="008360D4"/>
    <w:rsid w:val="00836157"/>
    <w:rsid w:val="0083643E"/>
    <w:rsid w:val="008364E9"/>
    <w:rsid w:val="00836609"/>
    <w:rsid w:val="00836790"/>
    <w:rsid w:val="00836875"/>
    <w:rsid w:val="00836FB6"/>
    <w:rsid w:val="00837075"/>
    <w:rsid w:val="00837129"/>
    <w:rsid w:val="0083725D"/>
    <w:rsid w:val="00837389"/>
    <w:rsid w:val="00837390"/>
    <w:rsid w:val="00837487"/>
    <w:rsid w:val="008375B7"/>
    <w:rsid w:val="00837609"/>
    <w:rsid w:val="0083790E"/>
    <w:rsid w:val="00837913"/>
    <w:rsid w:val="00837915"/>
    <w:rsid w:val="008379EB"/>
    <w:rsid w:val="00837B92"/>
    <w:rsid w:val="00837F69"/>
    <w:rsid w:val="00840156"/>
    <w:rsid w:val="008406BE"/>
    <w:rsid w:val="00840931"/>
    <w:rsid w:val="00840E03"/>
    <w:rsid w:val="00841324"/>
    <w:rsid w:val="008413D3"/>
    <w:rsid w:val="00841454"/>
    <w:rsid w:val="0084146B"/>
    <w:rsid w:val="00841542"/>
    <w:rsid w:val="00841616"/>
    <w:rsid w:val="0084170B"/>
    <w:rsid w:val="0084198E"/>
    <w:rsid w:val="00841C88"/>
    <w:rsid w:val="00841D61"/>
    <w:rsid w:val="00841EE3"/>
    <w:rsid w:val="00842065"/>
    <w:rsid w:val="008420C4"/>
    <w:rsid w:val="00842DA2"/>
    <w:rsid w:val="00842E64"/>
    <w:rsid w:val="00842F07"/>
    <w:rsid w:val="00842F6A"/>
    <w:rsid w:val="00843063"/>
    <w:rsid w:val="0084320A"/>
    <w:rsid w:val="0084328E"/>
    <w:rsid w:val="008433FA"/>
    <w:rsid w:val="00843663"/>
    <w:rsid w:val="0084372F"/>
    <w:rsid w:val="008437DC"/>
    <w:rsid w:val="0084393F"/>
    <w:rsid w:val="0084394D"/>
    <w:rsid w:val="008439D8"/>
    <w:rsid w:val="00843A79"/>
    <w:rsid w:val="00843B18"/>
    <w:rsid w:val="00843CD0"/>
    <w:rsid w:val="00843D37"/>
    <w:rsid w:val="00843D44"/>
    <w:rsid w:val="00843D8B"/>
    <w:rsid w:val="00843E81"/>
    <w:rsid w:val="00844390"/>
    <w:rsid w:val="008445BC"/>
    <w:rsid w:val="00844827"/>
    <w:rsid w:val="0084482C"/>
    <w:rsid w:val="008448F2"/>
    <w:rsid w:val="00844A4E"/>
    <w:rsid w:val="00844B5C"/>
    <w:rsid w:val="00844FF0"/>
    <w:rsid w:val="008452C4"/>
    <w:rsid w:val="008454E3"/>
    <w:rsid w:val="00845893"/>
    <w:rsid w:val="0084597C"/>
    <w:rsid w:val="008459F1"/>
    <w:rsid w:val="00845B0E"/>
    <w:rsid w:val="00845BC6"/>
    <w:rsid w:val="00845C85"/>
    <w:rsid w:val="00845D0E"/>
    <w:rsid w:val="00845D14"/>
    <w:rsid w:val="00845D5A"/>
    <w:rsid w:val="00845E11"/>
    <w:rsid w:val="0084619A"/>
    <w:rsid w:val="008463A5"/>
    <w:rsid w:val="008465BC"/>
    <w:rsid w:val="0084677B"/>
    <w:rsid w:val="008469A8"/>
    <w:rsid w:val="00846B0D"/>
    <w:rsid w:val="00846BDF"/>
    <w:rsid w:val="00846C2C"/>
    <w:rsid w:val="00846C9A"/>
    <w:rsid w:val="00846E5F"/>
    <w:rsid w:val="00846E92"/>
    <w:rsid w:val="00846EF7"/>
    <w:rsid w:val="00847333"/>
    <w:rsid w:val="00847487"/>
    <w:rsid w:val="00847707"/>
    <w:rsid w:val="008477CE"/>
    <w:rsid w:val="00847954"/>
    <w:rsid w:val="00847A34"/>
    <w:rsid w:val="00847A7C"/>
    <w:rsid w:val="00847C53"/>
    <w:rsid w:val="00847E7E"/>
    <w:rsid w:val="00847F4C"/>
    <w:rsid w:val="00850249"/>
    <w:rsid w:val="00850685"/>
    <w:rsid w:val="008506AC"/>
    <w:rsid w:val="00850920"/>
    <w:rsid w:val="00850BDF"/>
    <w:rsid w:val="00850DD2"/>
    <w:rsid w:val="00850E62"/>
    <w:rsid w:val="00850EFB"/>
    <w:rsid w:val="00851073"/>
    <w:rsid w:val="008510CA"/>
    <w:rsid w:val="008511E1"/>
    <w:rsid w:val="008511F5"/>
    <w:rsid w:val="0085133C"/>
    <w:rsid w:val="0085180C"/>
    <w:rsid w:val="0085186D"/>
    <w:rsid w:val="00851889"/>
    <w:rsid w:val="0085194B"/>
    <w:rsid w:val="0085196E"/>
    <w:rsid w:val="00851C27"/>
    <w:rsid w:val="00851D2B"/>
    <w:rsid w:val="00851D4E"/>
    <w:rsid w:val="00851F34"/>
    <w:rsid w:val="0085209C"/>
    <w:rsid w:val="0085236A"/>
    <w:rsid w:val="008523FC"/>
    <w:rsid w:val="00852751"/>
    <w:rsid w:val="008528CC"/>
    <w:rsid w:val="008528D8"/>
    <w:rsid w:val="0085292F"/>
    <w:rsid w:val="0085296D"/>
    <w:rsid w:val="008529B9"/>
    <w:rsid w:val="00852ADC"/>
    <w:rsid w:val="00852B87"/>
    <w:rsid w:val="00852D6F"/>
    <w:rsid w:val="0085307D"/>
    <w:rsid w:val="008531E6"/>
    <w:rsid w:val="00853286"/>
    <w:rsid w:val="008532A4"/>
    <w:rsid w:val="00853582"/>
    <w:rsid w:val="0085369F"/>
    <w:rsid w:val="00853B48"/>
    <w:rsid w:val="00854015"/>
    <w:rsid w:val="008541B5"/>
    <w:rsid w:val="008541FC"/>
    <w:rsid w:val="00854462"/>
    <w:rsid w:val="008544FA"/>
    <w:rsid w:val="00854602"/>
    <w:rsid w:val="00854BA2"/>
    <w:rsid w:val="00854C90"/>
    <w:rsid w:val="0085500F"/>
    <w:rsid w:val="0085502F"/>
    <w:rsid w:val="00855271"/>
    <w:rsid w:val="008552C8"/>
    <w:rsid w:val="008553F6"/>
    <w:rsid w:val="008554C1"/>
    <w:rsid w:val="00855651"/>
    <w:rsid w:val="0085587C"/>
    <w:rsid w:val="00855909"/>
    <w:rsid w:val="00855947"/>
    <w:rsid w:val="00855997"/>
    <w:rsid w:val="00855A6A"/>
    <w:rsid w:val="00855D44"/>
    <w:rsid w:val="0085600E"/>
    <w:rsid w:val="00856132"/>
    <w:rsid w:val="0085641D"/>
    <w:rsid w:val="00856457"/>
    <w:rsid w:val="00856551"/>
    <w:rsid w:val="00856579"/>
    <w:rsid w:val="0085657F"/>
    <w:rsid w:val="00856596"/>
    <w:rsid w:val="008565A1"/>
    <w:rsid w:val="008566BA"/>
    <w:rsid w:val="008567C3"/>
    <w:rsid w:val="0085692B"/>
    <w:rsid w:val="00856E7C"/>
    <w:rsid w:val="00856FD7"/>
    <w:rsid w:val="008570BA"/>
    <w:rsid w:val="00857196"/>
    <w:rsid w:val="00857310"/>
    <w:rsid w:val="0085737A"/>
    <w:rsid w:val="00857448"/>
    <w:rsid w:val="00857477"/>
    <w:rsid w:val="00857510"/>
    <w:rsid w:val="0085751C"/>
    <w:rsid w:val="00857533"/>
    <w:rsid w:val="00857663"/>
    <w:rsid w:val="00857736"/>
    <w:rsid w:val="00857830"/>
    <w:rsid w:val="00857842"/>
    <w:rsid w:val="008578A4"/>
    <w:rsid w:val="008578AF"/>
    <w:rsid w:val="00857A37"/>
    <w:rsid w:val="00857A65"/>
    <w:rsid w:val="00857B27"/>
    <w:rsid w:val="00857B2F"/>
    <w:rsid w:val="00857BD5"/>
    <w:rsid w:val="00857BDA"/>
    <w:rsid w:val="00857C8C"/>
    <w:rsid w:val="00860045"/>
    <w:rsid w:val="008601C4"/>
    <w:rsid w:val="00860222"/>
    <w:rsid w:val="008602FE"/>
    <w:rsid w:val="0086043C"/>
    <w:rsid w:val="00860487"/>
    <w:rsid w:val="008604F7"/>
    <w:rsid w:val="0086053C"/>
    <w:rsid w:val="00860775"/>
    <w:rsid w:val="008608FD"/>
    <w:rsid w:val="00860B05"/>
    <w:rsid w:val="00860B3B"/>
    <w:rsid w:val="00860DF1"/>
    <w:rsid w:val="00860EEA"/>
    <w:rsid w:val="00860F7A"/>
    <w:rsid w:val="00860FA9"/>
    <w:rsid w:val="00860FF3"/>
    <w:rsid w:val="0086100F"/>
    <w:rsid w:val="00861193"/>
    <w:rsid w:val="008611F2"/>
    <w:rsid w:val="00861463"/>
    <w:rsid w:val="008614F4"/>
    <w:rsid w:val="0086161B"/>
    <w:rsid w:val="008618F3"/>
    <w:rsid w:val="00861ADE"/>
    <w:rsid w:val="00861BC5"/>
    <w:rsid w:val="00861CA9"/>
    <w:rsid w:val="00861CF5"/>
    <w:rsid w:val="00861D1F"/>
    <w:rsid w:val="00861D9F"/>
    <w:rsid w:val="00862133"/>
    <w:rsid w:val="008621D1"/>
    <w:rsid w:val="0086220D"/>
    <w:rsid w:val="00862271"/>
    <w:rsid w:val="00862567"/>
    <w:rsid w:val="00862860"/>
    <w:rsid w:val="008628C3"/>
    <w:rsid w:val="00862E1B"/>
    <w:rsid w:val="00862F8B"/>
    <w:rsid w:val="008630EC"/>
    <w:rsid w:val="00863214"/>
    <w:rsid w:val="008633CE"/>
    <w:rsid w:val="00863592"/>
    <w:rsid w:val="00863601"/>
    <w:rsid w:val="008637D3"/>
    <w:rsid w:val="00863AD6"/>
    <w:rsid w:val="00863B3A"/>
    <w:rsid w:val="00863C50"/>
    <w:rsid w:val="00863E84"/>
    <w:rsid w:val="00863F6B"/>
    <w:rsid w:val="0086409F"/>
    <w:rsid w:val="008640BE"/>
    <w:rsid w:val="00864344"/>
    <w:rsid w:val="00864367"/>
    <w:rsid w:val="0086452A"/>
    <w:rsid w:val="0086458D"/>
    <w:rsid w:val="0086482C"/>
    <w:rsid w:val="00864BB6"/>
    <w:rsid w:val="00864C07"/>
    <w:rsid w:val="00864C71"/>
    <w:rsid w:val="00864CED"/>
    <w:rsid w:val="00864E60"/>
    <w:rsid w:val="00864F53"/>
    <w:rsid w:val="00865262"/>
    <w:rsid w:val="0086531A"/>
    <w:rsid w:val="00865452"/>
    <w:rsid w:val="00865474"/>
    <w:rsid w:val="008659EC"/>
    <w:rsid w:val="00865D1E"/>
    <w:rsid w:val="0086619E"/>
    <w:rsid w:val="008664D9"/>
    <w:rsid w:val="0086653E"/>
    <w:rsid w:val="00866561"/>
    <w:rsid w:val="008665DE"/>
    <w:rsid w:val="008666BE"/>
    <w:rsid w:val="00866707"/>
    <w:rsid w:val="00866777"/>
    <w:rsid w:val="00866B8E"/>
    <w:rsid w:val="00866BFD"/>
    <w:rsid w:val="00866E4C"/>
    <w:rsid w:val="00866F29"/>
    <w:rsid w:val="00866F8E"/>
    <w:rsid w:val="00866F96"/>
    <w:rsid w:val="00867237"/>
    <w:rsid w:val="008673A2"/>
    <w:rsid w:val="0086741F"/>
    <w:rsid w:val="008676BF"/>
    <w:rsid w:val="0086797D"/>
    <w:rsid w:val="00867A93"/>
    <w:rsid w:val="00867BC9"/>
    <w:rsid w:val="00867BFC"/>
    <w:rsid w:val="00867C34"/>
    <w:rsid w:val="00867C93"/>
    <w:rsid w:val="00867D8B"/>
    <w:rsid w:val="00867EAD"/>
    <w:rsid w:val="00867F8E"/>
    <w:rsid w:val="008705FF"/>
    <w:rsid w:val="00870830"/>
    <w:rsid w:val="0087085A"/>
    <w:rsid w:val="00870AD3"/>
    <w:rsid w:val="00870B18"/>
    <w:rsid w:val="00870BBE"/>
    <w:rsid w:val="00870F6B"/>
    <w:rsid w:val="00870FF5"/>
    <w:rsid w:val="00871127"/>
    <w:rsid w:val="008711BC"/>
    <w:rsid w:val="00871213"/>
    <w:rsid w:val="008713A4"/>
    <w:rsid w:val="0087155C"/>
    <w:rsid w:val="00871595"/>
    <w:rsid w:val="008715E4"/>
    <w:rsid w:val="00871602"/>
    <w:rsid w:val="00871624"/>
    <w:rsid w:val="008718D2"/>
    <w:rsid w:val="008719DA"/>
    <w:rsid w:val="00871DDB"/>
    <w:rsid w:val="00871E1D"/>
    <w:rsid w:val="0087214B"/>
    <w:rsid w:val="00872262"/>
    <w:rsid w:val="00872294"/>
    <w:rsid w:val="008722CC"/>
    <w:rsid w:val="00872361"/>
    <w:rsid w:val="008724C4"/>
    <w:rsid w:val="008725D8"/>
    <w:rsid w:val="00872988"/>
    <w:rsid w:val="00872990"/>
    <w:rsid w:val="00872A97"/>
    <w:rsid w:val="00872C0B"/>
    <w:rsid w:val="00872D94"/>
    <w:rsid w:val="00872E25"/>
    <w:rsid w:val="00872E46"/>
    <w:rsid w:val="00872E90"/>
    <w:rsid w:val="00872E9D"/>
    <w:rsid w:val="00873008"/>
    <w:rsid w:val="0087317F"/>
    <w:rsid w:val="008732F2"/>
    <w:rsid w:val="008733B1"/>
    <w:rsid w:val="00873458"/>
    <w:rsid w:val="0087356A"/>
    <w:rsid w:val="00873B49"/>
    <w:rsid w:val="00873B93"/>
    <w:rsid w:val="00873C39"/>
    <w:rsid w:val="00873D03"/>
    <w:rsid w:val="00873D60"/>
    <w:rsid w:val="00873DF9"/>
    <w:rsid w:val="00873F36"/>
    <w:rsid w:val="00873F41"/>
    <w:rsid w:val="00873F8B"/>
    <w:rsid w:val="008740DF"/>
    <w:rsid w:val="00874471"/>
    <w:rsid w:val="00874621"/>
    <w:rsid w:val="00874793"/>
    <w:rsid w:val="00874837"/>
    <w:rsid w:val="0087495E"/>
    <w:rsid w:val="00874A96"/>
    <w:rsid w:val="00874B07"/>
    <w:rsid w:val="00874CA6"/>
    <w:rsid w:val="0087533C"/>
    <w:rsid w:val="0087551C"/>
    <w:rsid w:val="00875534"/>
    <w:rsid w:val="008756E4"/>
    <w:rsid w:val="00875974"/>
    <w:rsid w:val="0087600E"/>
    <w:rsid w:val="00876068"/>
    <w:rsid w:val="008760D9"/>
    <w:rsid w:val="008760E2"/>
    <w:rsid w:val="008761DA"/>
    <w:rsid w:val="008761E3"/>
    <w:rsid w:val="008761EE"/>
    <w:rsid w:val="00876437"/>
    <w:rsid w:val="00876479"/>
    <w:rsid w:val="008765F5"/>
    <w:rsid w:val="00876CF3"/>
    <w:rsid w:val="00876DAD"/>
    <w:rsid w:val="00876E16"/>
    <w:rsid w:val="00877039"/>
    <w:rsid w:val="00877108"/>
    <w:rsid w:val="0087710F"/>
    <w:rsid w:val="008778AE"/>
    <w:rsid w:val="00877A42"/>
    <w:rsid w:val="00877BB7"/>
    <w:rsid w:val="00877EF1"/>
    <w:rsid w:val="00880307"/>
    <w:rsid w:val="00880347"/>
    <w:rsid w:val="008804B2"/>
    <w:rsid w:val="0088058B"/>
    <w:rsid w:val="008805FF"/>
    <w:rsid w:val="008808CA"/>
    <w:rsid w:val="00880A05"/>
    <w:rsid w:val="00880A82"/>
    <w:rsid w:val="00880B2B"/>
    <w:rsid w:val="00880C06"/>
    <w:rsid w:val="00880D5A"/>
    <w:rsid w:val="00880DF8"/>
    <w:rsid w:val="00880FB0"/>
    <w:rsid w:val="008810CC"/>
    <w:rsid w:val="0088112A"/>
    <w:rsid w:val="0088118B"/>
    <w:rsid w:val="0088121E"/>
    <w:rsid w:val="008813F4"/>
    <w:rsid w:val="0088146B"/>
    <w:rsid w:val="00881577"/>
    <w:rsid w:val="00881647"/>
    <w:rsid w:val="0088169C"/>
    <w:rsid w:val="008817C1"/>
    <w:rsid w:val="00881990"/>
    <w:rsid w:val="00881B9E"/>
    <w:rsid w:val="00881FC9"/>
    <w:rsid w:val="00881FD1"/>
    <w:rsid w:val="008820D9"/>
    <w:rsid w:val="008820F2"/>
    <w:rsid w:val="008821A8"/>
    <w:rsid w:val="008821D8"/>
    <w:rsid w:val="00882309"/>
    <w:rsid w:val="0088234A"/>
    <w:rsid w:val="00882734"/>
    <w:rsid w:val="00882801"/>
    <w:rsid w:val="00882993"/>
    <w:rsid w:val="00882C5E"/>
    <w:rsid w:val="00882E2B"/>
    <w:rsid w:val="00882F88"/>
    <w:rsid w:val="008831A4"/>
    <w:rsid w:val="0088324B"/>
    <w:rsid w:val="00883553"/>
    <w:rsid w:val="008835B5"/>
    <w:rsid w:val="00883620"/>
    <w:rsid w:val="00883630"/>
    <w:rsid w:val="00883646"/>
    <w:rsid w:val="008836A6"/>
    <w:rsid w:val="008836B9"/>
    <w:rsid w:val="00883873"/>
    <w:rsid w:val="008838B8"/>
    <w:rsid w:val="00883A12"/>
    <w:rsid w:val="00883CCC"/>
    <w:rsid w:val="00883CE1"/>
    <w:rsid w:val="00883DDA"/>
    <w:rsid w:val="00883F8C"/>
    <w:rsid w:val="00884131"/>
    <w:rsid w:val="00884155"/>
    <w:rsid w:val="00884156"/>
    <w:rsid w:val="008843CD"/>
    <w:rsid w:val="00884450"/>
    <w:rsid w:val="00884455"/>
    <w:rsid w:val="008846BA"/>
    <w:rsid w:val="0088470B"/>
    <w:rsid w:val="00884C56"/>
    <w:rsid w:val="00884D31"/>
    <w:rsid w:val="00884D97"/>
    <w:rsid w:val="00884E45"/>
    <w:rsid w:val="00884F8C"/>
    <w:rsid w:val="00885161"/>
    <w:rsid w:val="008851C8"/>
    <w:rsid w:val="008851D7"/>
    <w:rsid w:val="008855A0"/>
    <w:rsid w:val="008855EB"/>
    <w:rsid w:val="00885757"/>
    <w:rsid w:val="00885E21"/>
    <w:rsid w:val="00886018"/>
    <w:rsid w:val="0088601E"/>
    <w:rsid w:val="0088614E"/>
    <w:rsid w:val="0088625E"/>
    <w:rsid w:val="00886275"/>
    <w:rsid w:val="00886534"/>
    <w:rsid w:val="008866F7"/>
    <w:rsid w:val="0088679F"/>
    <w:rsid w:val="008867BE"/>
    <w:rsid w:val="00886919"/>
    <w:rsid w:val="008869BC"/>
    <w:rsid w:val="00886B39"/>
    <w:rsid w:val="00886CC3"/>
    <w:rsid w:val="00886E33"/>
    <w:rsid w:val="00886F49"/>
    <w:rsid w:val="00886FA3"/>
    <w:rsid w:val="00887101"/>
    <w:rsid w:val="008872A3"/>
    <w:rsid w:val="008873C7"/>
    <w:rsid w:val="008876AD"/>
    <w:rsid w:val="008876C1"/>
    <w:rsid w:val="00887A0D"/>
    <w:rsid w:val="00887CE6"/>
    <w:rsid w:val="00887DB8"/>
    <w:rsid w:val="00887E89"/>
    <w:rsid w:val="00887E92"/>
    <w:rsid w:val="00887FC8"/>
    <w:rsid w:val="00890058"/>
    <w:rsid w:val="00890592"/>
    <w:rsid w:val="008905B9"/>
    <w:rsid w:val="008906B6"/>
    <w:rsid w:val="00890711"/>
    <w:rsid w:val="0089071F"/>
    <w:rsid w:val="00890808"/>
    <w:rsid w:val="00890A81"/>
    <w:rsid w:val="00890AB3"/>
    <w:rsid w:val="00890AD0"/>
    <w:rsid w:val="00890B11"/>
    <w:rsid w:val="00890B16"/>
    <w:rsid w:val="00890BDE"/>
    <w:rsid w:val="00890BF7"/>
    <w:rsid w:val="00890C20"/>
    <w:rsid w:val="00890DB7"/>
    <w:rsid w:val="00890EE4"/>
    <w:rsid w:val="00891000"/>
    <w:rsid w:val="008911A4"/>
    <w:rsid w:val="00891314"/>
    <w:rsid w:val="00891545"/>
    <w:rsid w:val="008915B7"/>
    <w:rsid w:val="008915DF"/>
    <w:rsid w:val="008915FC"/>
    <w:rsid w:val="008916AA"/>
    <w:rsid w:val="00891810"/>
    <w:rsid w:val="008918DA"/>
    <w:rsid w:val="00891B7A"/>
    <w:rsid w:val="00891BC0"/>
    <w:rsid w:val="00891D17"/>
    <w:rsid w:val="00891F16"/>
    <w:rsid w:val="00892072"/>
    <w:rsid w:val="008920E9"/>
    <w:rsid w:val="008923DA"/>
    <w:rsid w:val="00892404"/>
    <w:rsid w:val="008925E9"/>
    <w:rsid w:val="008927EE"/>
    <w:rsid w:val="008927FA"/>
    <w:rsid w:val="0089285F"/>
    <w:rsid w:val="008929D7"/>
    <w:rsid w:val="00892A82"/>
    <w:rsid w:val="00892B42"/>
    <w:rsid w:val="00892B67"/>
    <w:rsid w:val="00892BE9"/>
    <w:rsid w:val="00892EB1"/>
    <w:rsid w:val="00892EDC"/>
    <w:rsid w:val="0089359A"/>
    <w:rsid w:val="00893700"/>
    <w:rsid w:val="0089371E"/>
    <w:rsid w:val="00893877"/>
    <w:rsid w:val="00893883"/>
    <w:rsid w:val="00893965"/>
    <w:rsid w:val="00893983"/>
    <w:rsid w:val="00893CBB"/>
    <w:rsid w:val="00893CD1"/>
    <w:rsid w:val="00893D85"/>
    <w:rsid w:val="00893E41"/>
    <w:rsid w:val="00893F1E"/>
    <w:rsid w:val="00894444"/>
    <w:rsid w:val="00894643"/>
    <w:rsid w:val="00894694"/>
    <w:rsid w:val="008949CC"/>
    <w:rsid w:val="00894A1F"/>
    <w:rsid w:val="00894CE0"/>
    <w:rsid w:val="00894F04"/>
    <w:rsid w:val="00894F18"/>
    <w:rsid w:val="008952AA"/>
    <w:rsid w:val="008952E3"/>
    <w:rsid w:val="0089549F"/>
    <w:rsid w:val="00895551"/>
    <w:rsid w:val="00895587"/>
    <w:rsid w:val="0089560B"/>
    <w:rsid w:val="00895758"/>
    <w:rsid w:val="0089578A"/>
    <w:rsid w:val="00895932"/>
    <w:rsid w:val="00895CAB"/>
    <w:rsid w:val="00895D3B"/>
    <w:rsid w:val="00895F3A"/>
    <w:rsid w:val="00895F5C"/>
    <w:rsid w:val="008960BE"/>
    <w:rsid w:val="008962CE"/>
    <w:rsid w:val="008962F1"/>
    <w:rsid w:val="008966D5"/>
    <w:rsid w:val="00896761"/>
    <w:rsid w:val="00896A15"/>
    <w:rsid w:val="00896AB6"/>
    <w:rsid w:val="00896E97"/>
    <w:rsid w:val="00896FE8"/>
    <w:rsid w:val="00897150"/>
    <w:rsid w:val="00897306"/>
    <w:rsid w:val="00897327"/>
    <w:rsid w:val="008973F2"/>
    <w:rsid w:val="00897594"/>
    <w:rsid w:val="008975ED"/>
    <w:rsid w:val="008976EE"/>
    <w:rsid w:val="0089783E"/>
    <w:rsid w:val="008978F9"/>
    <w:rsid w:val="00897A44"/>
    <w:rsid w:val="00897A71"/>
    <w:rsid w:val="00897B55"/>
    <w:rsid w:val="00897DC5"/>
    <w:rsid w:val="00897E3F"/>
    <w:rsid w:val="00897EBE"/>
    <w:rsid w:val="008A00CF"/>
    <w:rsid w:val="008A0249"/>
    <w:rsid w:val="008A0581"/>
    <w:rsid w:val="008A0700"/>
    <w:rsid w:val="008A0765"/>
    <w:rsid w:val="008A0907"/>
    <w:rsid w:val="008A0B5D"/>
    <w:rsid w:val="008A0C71"/>
    <w:rsid w:val="008A0E0A"/>
    <w:rsid w:val="008A0F1E"/>
    <w:rsid w:val="008A1251"/>
    <w:rsid w:val="008A12C7"/>
    <w:rsid w:val="008A13B6"/>
    <w:rsid w:val="008A1410"/>
    <w:rsid w:val="008A14B0"/>
    <w:rsid w:val="008A1618"/>
    <w:rsid w:val="008A17A1"/>
    <w:rsid w:val="008A17FA"/>
    <w:rsid w:val="008A1873"/>
    <w:rsid w:val="008A19E6"/>
    <w:rsid w:val="008A1A2D"/>
    <w:rsid w:val="008A1C1C"/>
    <w:rsid w:val="008A1D36"/>
    <w:rsid w:val="008A1E75"/>
    <w:rsid w:val="008A1EFD"/>
    <w:rsid w:val="008A2099"/>
    <w:rsid w:val="008A20CE"/>
    <w:rsid w:val="008A24C2"/>
    <w:rsid w:val="008A2587"/>
    <w:rsid w:val="008A26D6"/>
    <w:rsid w:val="008A2876"/>
    <w:rsid w:val="008A29F3"/>
    <w:rsid w:val="008A2AD8"/>
    <w:rsid w:val="008A2B60"/>
    <w:rsid w:val="008A2D7D"/>
    <w:rsid w:val="008A2E85"/>
    <w:rsid w:val="008A2EF2"/>
    <w:rsid w:val="008A2F75"/>
    <w:rsid w:val="008A338E"/>
    <w:rsid w:val="008A36B5"/>
    <w:rsid w:val="008A37C4"/>
    <w:rsid w:val="008A3822"/>
    <w:rsid w:val="008A393B"/>
    <w:rsid w:val="008A3994"/>
    <w:rsid w:val="008A3A5D"/>
    <w:rsid w:val="008A3D93"/>
    <w:rsid w:val="008A3E1D"/>
    <w:rsid w:val="008A4313"/>
    <w:rsid w:val="008A43CD"/>
    <w:rsid w:val="008A4426"/>
    <w:rsid w:val="008A44FF"/>
    <w:rsid w:val="008A4606"/>
    <w:rsid w:val="008A4656"/>
    <w:rsid w:val="008A46B9"/>
    <w:rsid w:val="008A48AB"/>
    <w:rsid w:val="008A4BE3"/>
    <w:rsid w:val="008A4E22"/>
    <w:rsid w:val="008A4ED2"/>
    <w:rsid w:val="008A5138"/>
    <w:rsid w:val="008A5176"/>
    <w:rsid w:val="008A527A"/>
    <w:rsid w:val="008A52DE"/>
    <w:rsid w:val="008A536C"/>
    <w:rsid w:val="008A539A"/>
    <w:rsid w:val="008A54FD"/>
    <w:rsid w:val="008A551C"/>
    <w:rsid w:val="008A5722"/>
    <w:rsid w:val="008A578A"/>
    <w:rsid w:val="008A5795"/>
    <w:rsid w:val="008A5809"/>
    <w:rsid w:val="008A5D8E"/>
    <w:rsid w:val="008A5E6B"/>
    <w:rsid w:val="008A5EEB"/>
    <w:rsid w:val="008A616F"/>
    <w:rsid w:val="008A62C7"/>
    <w:rsid w:val="008A6424"/>
    <w:rsid w:val="008A6479"/>
    <w:rsid w:val="008A6607"/>
    <w:rsid w:val="008A6692"/>
    <w:rsid w:val="008A67B4"/>
    <w:rsid w:val="008A680A"/>
    <w:rsid w:val="008A6873"/>
    <w:rsid w:val="008A6C44"/>
    <w:rsid w:val="008A6C7C"/>
    <w:rsid w:val="008A6C8A"/>
    <w:rsid w:val="008A6C98"/>
    <w:rsid w:val="008A6CED"/>
    <w:rsid w:val="008A700D"/>
    <w:rsid w:val="008A7152"/>
    <w:rsid w:val="008A748B"/>
    <w:rsid w:val="008A77CD"/>
    <w:rsid w:val="008A7861"/>
    <w:rsid w:val="008A7963"/>
    <w:rsid w:val="008A797E"/>
    <w:rsid w:val="008A79B2"/>
    <w:rsid w:val="008A7AD3"/>
    <w:rsid w:val="008A7B10"/>
    <w:rsid w:val="008A7B2D"/>
    <w:rsid w:val="008A7B3F"/>
    <w:rsid w:val="008A7CF3"/>
    <w:rsid w:val="008B0077"/>
    <w:rsid w:val="008B0161"/>
    <w:rsid w:val="008B0283"/>
    <w:rsid w:val="008B0485"/>
    <w:rsid w:val="008B0913"/>
    <w:rsid w:val="008B0944"/>
    <w:rsid w:val="008B0992"/>
    <w:rsid w:val="008B0B22"/>
    <w:rsid w:val="008B0B70"/>
    <w:rsid w:val="008B0F01"/>
    <w:rsid w:val="008B102B"/>
    <w:rsid w:val="008B1253"/>
    <w:rsid w:val="008B13A9"/>
    <w:rsid w:val="008B158E"/>
    <w:rsid w:val="008B160C"/>
    <w:rsid w:val="008B16C7"/>
    <w:rsid w:val="008B16CC"/>
    <w:rsid w:val="008B170B"/>
    <w:rsid w:val="008B1783"/>
    <w:rsid w:val="008B1796"/>
    <w:rsid w:val="008B1A3A"/>
    <w:rsid w:val="008B1C48"/>
    <w:rsid w:val="008B1D3A"/>
    <w:rsid w:val="008B1D40"/>
    <w:rsid w:val="008B20A2"/>
    <w:rsid w:val="008B20EC"/>
    <w:rsid w:val="008B2566"/>
    <w:rsid w:val="008B2573"/>
    <w:rsid w:val="008B25F2"/>
    <w:rsid w:val="008B2814"/>
    <w:rsid w:val="008B2B64"/>
    <w:rsid w:val="008B2BA6"/>
    <w:rsid w:val="008B2CF7"/>
    <w:rsid w:val="008B2E6B"/>
    <w:rsid w:val="008B2F92"/>
    <w:rsid w:val="008B30D5"/>
    <w:rsid w:val="008B333B"/>
    <w:rsid w:val="008B343E"/>
    <w:rsid w:val="008B3458"/>
    <w:rsid w:val="008B34E6"/>
    <w:rsid w:val="008B3531"/>
    <w:rsid w:val="008B363C"/>
    <w:rsid w:val="008B3657"/>
    <w:rsid w:val="008B36F6"/>
    <w:rsid w:val="008B394A"/>
    <w:rsid w:val="008B39FE"/>
    <w:rsid w:val="008B3AC6"/>
    <w:rsid w:val="008B3AD2"/>
    <w:rsid w:val="008B3B3A"/>
    <w:rsid w:val="008B3F01"/>
    <w:rsid w:val="008B4012"/>
    <w:rsid w:val="008B40A2"/>
    <w:rsid w:val="008B438D"/>
    <w:rsid w:val="008B43DB"/>
    <w:rsid w:val="008B44C7"/>
    <w:rsid w:val="008B490B"/>
    <w:rsid w:val="008B491F"/>
    <w:rsid w:val="008B4BB3"/>
    <w:rsid w:val="008B4C31"/>
    <w:rsid w:val="008B4D5A"/>
    <w:rsid w:val="008B4E85"/>
    <w:rsid w:val="008B4F5B"/>
    <w:rsid w:val="008B565C"/>
    <w:rsid w:val="008B575C"/>
    <w:rsid w:val="008B57C3"/>
    <w:rsid w:val="008B57DF"/>
    <w:rsid w:val="008B58B4"/>
    <w:rsid w:val="008B5959"/>
    <w:rsid w:val="008B5CF5"/>
    <w:rsid w:val="008B5EA7"/>
    <w:rsid w:val="008B609A"/>
    <w:rsid w:val="008B6284"/>
    <w:rsid w:val="008B6461"/>
    <w:rsid w:val="008B64C2"/>
    <w:rsid w:val="008B64CA"/>
    <w:rsid w:val="008B66CA"/>
    <w:rsid w:val="008B685C"/>
    <w:rsid w:val="008B68BA"/>
    <w:rsid w:val="008B69E5"/>
    <w:rsid w:val="008B6D43"/>
    <w:rsid w:val="008B6D88"/>
    <w:rsid w:val="008B6DE7"/>
    <w:rsid w:val="008B6F89"/>
    <w:rsid w:val="008B7077"/>
    <w:rsid w:val="008B716C"/>
    <w:rsid w:val="008B71E7"/>
    <w:rsid w:val="008B7241"/>
    <w:rsid w:val="008B7313"/>
    <w:rsid w:val="008B7527"/>
    <w:rsid w:val="008B75B3"/>
    <w:rsid w:val="008B76BC"/>
    <w:rsid w:val="008B77D1"/>
    <w:rsid w:val="008B7A46"/>
    <w:rsid w:val="008B7A6F"/>
    <w:rsid w:val="008B7C9C"/>
    <w:rsid w:val="008B7CF5"/>
    <w:rsid w:val="008B7DB4"/>
    <w:rsid w:val="008B7DCF"/>
    <w:rsid w:val="008C006D"/>
    <w:rsid w:val="008C015F"/>
    <w:rsid w:val="008C06A2"/>
    <w:rsid w:val="008C0815"/>
    <w:rsid w:val="008C0897"/>
    <w:rsid w:val="008C097A"/>
    <w:rsid w:val="008C0A27"/>
    <w:rsid w:val="008C0BD5"/>
    <w:rsid w:val="008C0C01"/>
    <w:rsid w:val="008C0C94"/>
    <w:rsid w:val="008C0CC8"/>
    <w:rsid w:val="008C0CCA"/>
    <w:rsid w:val="008C0D11"/>
    <w:rsid w:val="008C10B5"/>
    <w:rsid w:val="008C10D1"/>
    <w:rsid w:val="008C1430"/>
    <w:rsid w:val="008C14A0"/>
    <w:rsid w:val="008C14AB"/>
    <w:rsid w:val="008C1590"/>
    <w:rsid w:val="008C15C9"/>
    <w:rsid w:val="008C16AE"/>
    <w:rsid w:val="008C1CF5"/>
    <w:rsid w:val="008C1ED1"/>
    <w:rsid w:val="008C1F93"/>
    <w:rsid w:val="008C2054"/>
    <w:rsid w:val="008C21B1"/>
    <w:rsid w:val="008C2399"/>
    <w:rsid w:val="008C23D6"/>
    <w:rsid w:val="008C24C6"/>
    <w:rsid w:val="008C263F"/>
    <w:rsid w:val="008C2758"/>
    <w:rsid w:val="008C2804"/>
    <w:rsid w:val="008C2836"/>
    <w:rsid w:val="008C298E"/>
    <w:rsid w:val="008C2D82"/>
    <w:rsid w:val="008C30D1"/>
    <w:rsid w:val="008C33C3"/>
    <w:rsid w:val="008C3475"/>
    <w:rsid w:val="008C361E"/>
    <w:rsid w:val="008C3701"/>
    <w:rsid w:val="008C3754"/>
    <w:rsid w:val="008C375F"/>
    <w:rsid w:val="008C381E"/>
    <w:rsid w:val="008C38AE"/>
    <w:rsid w:val="008C3920"/>
    <w:rsid w:val="008C3B01"/>
    <w:rsid w:val="008C3B4C"/>
    <w:rsid w:val="008C3CE3"/>
    <w:rsid w:val="008C3D5A"/>
    <w:rsid w:val="008C3E36"/>
    <w:rsid w:val="008C41D9"/>
    <w:rsid w:val="008C425B"/>
    <w:rsid w:val="008C4269"/>
    <w:rsid w:val="008C4575"/>
    <w:rsid w:val="008C479E"/>
    <w:rsid w:val="008C47B0"/>
    <w:rsid w:val="008C48EB"/>
    <w:rsid w:val="008C490E"/>
    <w:rsid w:val="008C49C6"/>
    <w:rsid w:val="008C4B6D"/>
    <w:rsid w:val="008C4B8C"/>
    <w:rsid w:val="008C4D53"/>
    <w:rsid w:val="008C4EEE"/>
    <w:rsid w:val="008C4F7C"/>
    <w:rsid w:val="008C4F93"/>
    <w:rsid w:val="008C541B"/>
    <w:rsid w:val="008C5715"/>
    <w:rsid w:val="008C579F"/>
    <w:rsid w:val="008C57EE"/>
    <w:rsid w:val="008C595E"/>
    <w:rsid w:val="008C5A66"/>
    <w:rsid w:val="008C5AC8"/>
    <w:rsid w:val="008C5AFC"/>
    <w:rsid w:val="008C5CFC"/>
    <w:rsid w:val="008C5E20"/>
    <w:rsid w:val="008C5E86"/>
    <w:rsid w:val="008C5F0D"/>
    <w:rsid w:val="008C601C"/>
    <w:rsid w:val="008C6042"/>
    <w:rsid w:val="008C6169"/>
    <w:rsid w:val="008C653D"/>
    <w:rsid w:val="008C66B5"/>
    <w:rsid w:val="008C66DE"/>
    <w:rsid w:val="008C6771"/>
    <w:rsid w:val="008C677B"/>
    <w:rsid w:val="008C6927"/>
    <w:rsid w:val="008C6A44"/>
    <w:rsid w:val="008C6A8B"/>
    <w:rsid w:val="008C6AA5"/>
    <w:rsid w:val="008C6B2D"/>
    <w:rsid w:val="008C6B48"/>
    <w:rsid w:val="008C6C60"/>
    <w:rsid w:val="008C6C8F"/>
    <w:rsid w:val="008C6CF6"/>
    <w:rsid w:val="008C6DA3"/>
    <w:rsid w:val="008C6ED6"/>
    <w:rsid w:val="008C7113"/>
    <w:rsid w:val="008C7152"/>
    <w:rsid w:val="008C7371"/>
    <w:rsid w:val="008C759B"/>
    <w:rsid w:val="008C75C8"/>
    <w:rsid w:val="008C7776"/>
    <w:rsid w:val="008C78AA"/>
    <w:rsid w:val="008C7BC1"/>
    <w:rsid w:val="008C7D25"/>
    <w:rsid w:val="008C7D42"/>
    <w:rsid w:val="008C7F76"/>
    <w:rsid w:val="008D00B5"/>
    <w:rsid w:val="008D00D5"/>
    <w:rsid w:val="008D0196"/>
    <w:rsid w:val="008D0338"/>
    <w:rsid w:val="008D03BE"/>
    <w:rsid w:val="008D0537"/>
    <w:rsid w:val="008D057C"/>
    <w:rsid w:val="008D0604"/>
    <w:rsid w:val="008D0707"/>
    <w:rsid w:val="008D08FD"/>
    <w:rsid w:val="008D097D"/>
    <w:rsid w:val="008D0A29"/>
    <w:rsid w:val="008D0BA6"/>
    <w:rsid w:val="008D0D8E"/>
    <w:rsid w:val="008D125D"/>
    <w:rsid w:val="008D1310"/>
    <w:rsid w:val="008D1330"/>
    <w:rsid w:val="008D1539"/>
    <w:rsid w:val="008D168B"/>
    <w:rsid w:val="008D19C6"/>
    <w:rsid w:val="008D1A5E"/>
    <w:rsid w:val="008D1B1A"/>
    <w:rsid w:val="008D1D6E"/>
    <w:rsid w:val="008D1DFC"/>
    <w:rsid w:val="008D20E3"/>
    <w:rsid w:val="008D2145"/>
    <w:rsid w:val="008D21A3"/>
    <w:rsid w:val="008D2230"/>
    <w:rsid w:val="008D2288"/>
    <w:rsid w:val="008D2408"/>
    <w:rsid w:val="008D2443"/>
    <w:rsid w:val="008D268C"/>
    <w:rsid w:val="008D277D"/>
    <w:rsid w:val="008D28A8"/>
    <w:rsid w:val="008D2A62"/>
    <w:rsid w:val="008D2EBF"/>
    <w:rsid w:val="008D2ED4"/>
    <w:rsid w:val="008D2EDE"/>
    <w:rsid w:val="008D2F46"/>
    <w:rsid w:val="008D3052"/>
    <w:rsid w:val="008D3053"/>
    <w:rsid w:val="008D31BE"/>
    <w:rsid w:val="008D320D"/>
    <w:rsid w:val="008D332D"/>
    <w:rsid w:val="008D3371"/>
    <w:rsid w:val="008D33B2"/>
    <w:rsid w:val="008D3482"/>
    <w:rsid w:val="008D348A"/>
    <w:rsid w:val="008D353F"/>
    <w:rsid w:val="008D360E"/>
    <w:rsid w:val="008D3865"/>
    <w:rsid w:val="008D3884"/>
    <w:rsid w:val="008D3944"/>
    <w:rsid w:val="008D39DE"/>
    <w:rsid w:val="008D39E0"/>
    <w:rsid w:val="008D39F1"/>
    <w:rsid w:val="008D3A61"/>
    <w:rsid w:val="008D3AEC"/>
    <w:rsid w:val="008D3BB5"/>
    <w:rsid w:val="008D4147"/>
    <w:rsid w:val="008D4222"/>
    <w:rsid w:val="008D4336"/>
    <w:rsid w:val="008D4361"/>
    <w:rsid w:val="008D4387"/>
    <w:rsid w:val="008D4824"/>
    <w:rsid w:val="008D489B"/>
    <w:rsid w:val="008D4AA3"/>
    <w:rsid w:val="008D4BFC"/>
    <w:rsid w:val="008D4F01"/>
    <w:rsid w:val="008D4FEB"/>
    <w:rsid w:val="008D51FF"/>
    <w:rsid w:val="008D5341"/>
    <w:rsid w:val="008D549A"/>
    <w:rsid w:val="008D5846"/>
    <w:rsid w:val="008D5AB4"/>
    <w:rsid w:val="008D5CFD"/>
    <w:rsid w:val="008D5EBD"/>
    <w:rsid w:val="008D6146"/>
    <w:rsid w:val="008D6378"/>
    <w:rsid w:val="008D63A3"/>
    <w:rsid w:val="008D6414"/>
    <w:rsid w:val="008D6500"/>
    <w:rsid w:val="008D656B"/>
    <w:rsid w:val="008D68CE"/>
    <w:rsid w:val="008D6A32"/>
    <w:rsid w:val="008D6B60"/>
    <w:rsid w:val="008D6E93"/>
    <w:rsid w:val="008D6EBF"/>
    <w:rsid w:val="008D7243"/>
    <w:rsid w:val="008D72AA"/>
    <w:rsid w:val="008D74A0"/>
    <w:rsid w:val="008D75DF"/>
    <w:rsid w:val="008D77B9"/>
    <w:rsid w:val="008D7D98"/>
    <w:rsid w:val="008D7DD3"/>
    <w:rsid w:val="008D7E38"/>
    <w:rsid w:val="008D7EE1"/>
    <w:rsid w:val="008D7F36"/>
    <w:rsid w:val="008E0071"/>
    <w:rsid w:val="008E0222"/>
    <w:rsid w:val="008E024B"/>
    <w:rsid w:val="008E035C"/>
    <w:rsid w:val="008E07A4"/>
    <w:rsid w:val="008E0831"/>
    <w:rsid w:val="008E0973"/>
    <w:rsid w:val="008E0ACA"/>
    <w:rsid w:val="008E0C7C"/>
    <w:rsid w:val="008E0C96"/>
    <w:rsid w:val="008E0D93"/>
    <w:rsid w:val="008E0E6B"/>
    <w:rsid w:val="008E0F0C"/>
    <w:rsid w:val="008E101C"/>
    <w:rsid w:val="008E1252"/>
    <w:rsid w:val="008E144F"/>
    <w:rsid w:val="008E15CA"/>
    <w:rsid w:val="008E16C8"/>
    <w:rsid w:val="008E1A10"/>
    <w:rsid w:val="008E1A8D"/>
    <w:rsid w:val="008E1B36"/>
    <w:rsid w:val="008E1B9F"/>
    <w:rsid w:val="008E1CF2"/>
    <w:rsid w:val="008E1D99"/>
    <w:rsid w:val="008E1FFB"/>
    <w:rsid w:val="008E2196"/>
    <w:rsid w:val="008E2348"/>
    <w:rsid w:val="008E23F3"/>
    <w:rsid w:val="008E24C9"/>
    <w:rsid w:val="008E27AB"/>
    <w:rsid w:val="008E27D5"/>
    <w:rsid w:val="008E2827"/>
    <w:rsid w:val="008E2850"/>
    <w:rsid w:val="008E2A5F"/>
    <w:rsid w:val="008E2C02"/>
    <w:rsid w:val="008E2C65"/>
    <w:rsid w:val="008E2E19"/>
    <w:rsid w:val="008E2EE8"/>
    <w:rsid w:val="008E30F3"/>
    <w:rsid w:val="008E327C"/>
    <w:rsid w:val="008E3294"/>
    <w:rsid w:val="008E3372"/>
    <w:rsid w:val="008E343F"/>
    <w:rsid w:val="008E35D7"/>
    <w:rsid w:val="008E36E4"/>
    <w:rsid w:val="008E3791"/>
    <w:rsid w:val="008E3803"/>
    <w:rsid w:val="008E38EA"/>
    <w:rsid w:val="008E3D69"/>
    <w:rsid w:val="008E415A"/>
    <w:rsid w:val="008E423E"/>
    <w:rsid w:val="008E42D3"/>
    <w:rsid w:val="008E430F"/>
    <w:rsid w:val="008E449A"/>
    <w:rsid w:val="008E46A4"/>
    <w:rsid w:val="008E4745"/>
    <w:rsid w:val="008E4DBD"/>
    <w:rsid w:val="008E4DF6"/>
    <w:rsid w:val="008E52D5"/>
    <w:rsid w:val="008E544E"/>
    <w:rsid w:val="008E5679"/>
    <w:rsid w:val="008E571F"/>
    <w:rsid w:val="008E5DC9"/>
    <w:rsid w:val="008E6001"/>
    <w:rsid w:val="008E647B"/>
    <w:rsid w:val="008E64A5"/>
    <w:rsid w:val="008E657B"/>
    <w:rsid w:val="008E66D4"/>
    <w:rsid w:val="008E66DD"/>
    <w:rsid w:val="008E6802"/>
    <w:rsid w:val="008E6815"/>
    <w:rsid w:val="008E6893"/>
    <w:rsid w:val="008E698D"/>
    <w:rsid w:val="008E69EC"/>
    <w:rsid w:val="008E6B27"/>
    <w:rsid w:val="008E6D9A"/>
    <w:rsid w:val="008E6E23"/>
    <w:rsid w:val="008E6F9C"/>
    <w:rsid w:val="008E72CD"/>
    <w:rsid w:val="008E7989"/>
    <w:rsid w:val="008E7D20"/>
    <w:rsid w:val="008E7F8B"/>
    <w:rsid w:val="008F009B"/>
    <w:rsid w:val="008F00B2"/>
    <w:rsid w:val="008F0397"/>
    <w:rsid w:val="008F0407"/>
    <w:rsid w:val="008F0938"/>
    <w:rsid w:val="008F0AA2"/>
    <w:rsid w:val="008F0B25"/>
    <w:rsid w:val="008F0B9E"/>
    <w:rsid w:val="008F0BC1"/>
    <w:rsid w:val="008F10D8"/>
    <w:rsid w:val="008F12A3"/>
    <w:rsid w:val="008F136D"/>
    <w:rsid w:val="008F13BE"/>
    <w:rsid w:val="008F1863"/>
    <w:rsid w:val="008F1878"/>
    <w:rsid w:val="008F1923"/>
    <w:rsid w:val="008F19B1"/>
    <w:rsid w:val="008F1A56"/>
    <w:rsid w:val="008F1A92"/>
    <w:rsid w:val="008F1AA4"/>
    <w:rsid w:val="008F1B6C"/>
    <w:rsid w:val="008F1BDE"/>
    <w:rsid w:val="008F1BF1"/>
    <w:rsid w:val="008F1C2F"/>
    <w:rsid w:val="008F1E80"/>
    <w:rsid w:val="008F1F1D"/>
    <w:rsid w:val="008F1FDC"/>
    <w:rsid w:val="008F2003"/>
    <w:rsid w:val="008F2263"/>
    <w:rsid w:val="008F2309"/>
    <w:rsid w:val="008F2350"/>
    <w:rsid w:val="008F2394"/>
    <w:rsid w:val="008F25B8"/>
    <w:rsid w:val="008F25CF"/>
    <w:rsid w:val="008F2986"/>
    <w:rsid w:val="008F2B50"/>
    <w:rsid w:val="008F2C6A"/>
    <w:rsid w:val="008F2F93"/>
    <w:rsid w:val="008F3032"/>
    <w:rsid w:val="008F30EB"/>
    <w:rsid w:val="008F31A7"/>
    <w:rsid w:val="008F3A4A"/>
    <w:rsid w:val="008F3C37"/>
    <w:rsid w:val="008F3C6B"/>
    <w:rsid w:val="008F3F5E"/>
    <w:rsid w:val="008F43F8"/>
    <w:rsid w:val="008F4459"/>
    <w:rsid w:val="008F486C"/>
    <w:rsid w:val="008F48E7"/>
    <w:rsid w:val="008F4A72"/>
    <w:rsid w:val="008F4CC4"/>
    <w:rsid w:val="008F4DDA"/>
    <w:rsid w:val="008F4E03"/>
    <w:rsid w:val="008F4EA5"/>
    <w:rsid w:val="008F51E1"/>
    <w:rsid w:val="008F5212"/>
    <w:rsid w:val="008F53A5"/>
    <w:rsid w:val="008F5445"/>
    <w:rsid w:val="008F54DE"/>
    <w:rsid w:val="008F55BC"/>
    <w:rsid w:val="008F55D1"/>
    <w:rsid w:val="008F575F"/>
    <w:rsid w:val="008F5977"/>
    <w:rsid w:val="008F59CD"/>
    <w:rsid w:val="008F5B1C"/>
    <w:rsid w:val="008F5BBD"/>
    <w:rsid w:val="008F5C6A"/>
    <w:rsid w:val="008F5CCD"/>
    <w:rsid w:val="008F5D5D"/>
    <w:rsid w:val="008F5F56"/>
    <w:rsid w:val="008F5FAC"/>
    <w:rsid w:val="008F6010"/>
    <w:rsid w:val="008F6120"/>
    <w:rsid w:val="008F614B"/>
    <w:rsid w:val="008F62C5"/>
    <w:rsid w:val="008F6379"/>
    <w:rsid w:val="008F6485"/>
    <w:rsid w:val="008F65A0"/>
    <w:rsid w:val="008F683D"/>
    <w:rsid w:val="008F686A"/>
    <w:rsid w:val="008F68AF"/>
    <w:rsid w:val="008F694D"/>
    <w:rsid w:val="008F6A0C"/>
    <w:rsid w:val="008F6DB0"/>
    <w:rsid w:val="008F6EAC"/>
    <w:rsid w:val="008F6ED6"/>
    <w:rsid w:val="008F71DD"/>
    <w:rsid w:val="008F7235"/>
    <w:rsid w:val="008F7434"/>
    <w:rsid w:val="008F7489"/>
    <w:rsid w:val="008F749B"/>
    <w:rsid w:val="008F74A3"/>
    <w:rsid w:val="008F755B"/>
    <w:rsid w:val="008F7574"/>
    <w:rsid w:val="008F7788"/>
    <w:rsid w:val="008F7814"/>
    <w:rsid w:val="008F7885"/>
    <w:rsid w:val="008F7CA1"/>
    <w:rsid w:val="008F7CA9"/>
    <w:rsid w:val="008F7CFD"/>
    <w:rsid w:val="008F7D43"/>
    <w:rsid w:val="008F7E88"/>
    <w:rsid w:val="0090004E"/>
    <w:rsid w:val="009000B4"/>
    <w:rsid w:val="0090011B"/>
    <w:rsid w:val="009001A2"/>
    <w:rsid w:val="00900217"/>
    <w:rsid w:val="0090046B"/>
    <w:rsid w:val="009005F3"/>
    <w:rsid w:val="009007EA"/>
    <w:rsid w:val="0090091F"/>
    <w:rsid w:val="009009FC"/>
    <w:rsid w:val="00900B96"/>
    <w:rsid w:val="00900CB4"/>
    <w:rsid w:val="00900FF2"/>
    <w:rsid w:val="00901002"/>
    <w:rsid w:val="009011BA"/>
    <w:rsid w:val="009012F6"/>
    <w:rsid w:val="009012F9"/>
    <w:rsid w:val="00901644"/>
    <w:rsid w:val="0090169D"/>
    <w:rsid w:val="00901756"/>
    <w:rsid w:val="009018F7"/>
    <w:rsid w:val="00901B4A"/>
    <w:rsid w:val="00902084"/>
    <w:rsid w:val="00902228"/>
    <w:rsid w:val="00902366"/>
    <w:rsid w:val="0090251F"/>
    <w:rsid w:val="009025B7"/>
    <w:rsid w:val="00902759"/>
    <w:rsid w:val="009028D8"/>
    <w:rsid w:val="00902A0A"/>
    <w:rsid w:val="00902BE9"/>
    <w:rsid w:val="00902C31"/>
    <w:rsid w:val="00902D02"/>
    <w:rsid w:val="00903045"/>
    <w:rsid w:val="0090338E"/>
    <w:rsid w:val="00903497"/>
    <w:rsid w:val="009034DF"/>
    <w:rsid w:val="0090360C"/>
    <w:rsid w:val="0090367B"/>
    <w:rsid w:val="009036AC"/>
    <w:rsid w:val="0090381D"/>
    <w:rsid w:val="0090384F"/>
    <w:rsid w:val="00903B15"/>
    <w:rsid w:val="00903CEF"/>
    <w:rsid w:val="0090433E"/>
    <w:rsid w:val="00904385"/>
    <w:rsid w:val="009043A8"/>
    <w:rsid w:val="009043E0"/>
    <w:rsid w:val="009046C4"/>
    <w:rsid w:val="00904750"/>
    <w:rsid w:val="00904767"/>
    <w:rsid w:val="009048C9"/>
    <w:rsid w:val="00904A24"/>
    <w:rsid w:val="00904B73"/>
    <w:rsid w:val="00904CDE"/>
    <w:rsid w:val="00904CEA"/>
    <w:rsid w:val="00904D0B"/>
    <w:rsid w:val="00904DAE"/>
    <w:rsid w:val="00904F0A"/>
    <w:rsid w:val="00904F5A"/>
    <w:rsid w:val="00904F96"/>
    <w:rsid w:val="00904FB4"/>
    <w:rsid w:val="0090503B"/>
    <w:rsid w:val="0090509E"/>
    <w:rsid w:val="009050A6"/>
    <w:rsid w:val="00905134"/>
    <w:rsid w:val="009052D0"/>
    <w:rsid w:val="0090536C"/>
    <w:rsid w:val="00905402"/>
    <w:rsid w:val="00905554"/>
    <w:rsid w:val="009055A9"/>
    <w:rsid w:val="009055D5"/>
    <w:rsid w:val="0090564A"/>
    <w:rsid w:val="00905748"/>
    <w:rsid w:val="00905831"/>
    <w:rsid w:val="00905A4B"/>
    <w:rsid w:val="00905AD2"/>
    <w:rsid w:val="00905EAD"/>
    <w:rsid w:val="00905ECC"/>
    <w:rsid w:val="00905F40"/>
    <w:rsid w:val="00905F46"/>
    <w:rsid w:val="00905F49"/>
    <w:rsid w:val="00905F89"/>
    <w:rsid w:val="00905F8B"/>
    <w:rsid w:val="00906119"/>
    <w:rsid w:val="00906218"/>
    <w:rsid w:val="00906297"/>
    <w:rsid w:val="0090656A"/>
    <w:rsid w:val="009065CA"/>
    <w:rsid w:val="00906705"/>
    <w:rsid w:val="009067D8"/>
    <w:rsid w:val="009069E4"/>
    <w:rsid w:val="00906A62"/>
    <w:rsid w:val="00906D64"/>
    <w:rsid w:val="00906DBD"/>
    <w:rsid w:val="009070BE"/>
    <w:rsid w:val="009070D1"/>
    <w:rsid w:val="00907198"/>
    <w:rsid w:val="009073E5"/>
    <w:rsid w:val="009073E7"/>
    <w:rsid w:val="00907672"/>
    <w:rsid w:val="00907769"/>
    <w:rsid w:val="009077B1"/>
    <w:rsid w:val="00907B76"/>
    <w:rsid w:val="00907DE3"/>
    <w:rsid w:val="00907FEF"/>
    <w:rsid w:val="0091012D"/>
    <w:rsid w:val="009103A1"/>
    <w:rsid w:val="00910508"/>
    <w:rsid w:val="009105A3"/>
    <w:rsid w:val="009107D9"/>
    <w:rsid w:val="00910A13"/>
    <w:rsid w:val="00910A3F"/>
    <w:rsid w:val="00910B2C"/>
    <w:rsid w:val="00910C9E"/>
    <w:rsid w:val="009110C7"/>
    <w:rsid w:val="00911145"/>
    <w:rsid w:val="0091118B"/>
    <w:rsid w:val="00911833"/>
    <w:rsid w:val="0091190E"/>
    <w:rsid w:val="00911BF5"/>
    <w:rsid w:val="00911EE7"/>
    <w:rsid w:val="00911F58"/>
    <w:rsid w:val="0091200E"/>
    <w:rsid w:val="0091207B"/>
    <w:rsid w:val="0091222E"/>
    <w:rsid w:val="00912459"/>
    <w:rsid w:val="009125F3"/>
    <w:rsid w:val="0091277B"/>
    <w:rsid w:val="009128C3"/>
    <w:rsid w:val="009128CC"/>
    <w:rsid w:val="009129A0"/>
    <w:rsid w:val="00912B5D"/>
    <w:rsid w:val="00912E09"/>
    <w:rsid w:val="00912FC0"/>
    <w:rsid w:val="0091308B"/>
    <w:rsid w:val="009130F1"/>
    <w:rsid w:val="009131F9"/>
    <w:rsid w:val="009132D9"/>
    <w:rsid w:val="009136C3"/>
    <w:rsid w:val="00913972"/>
    <w:rsid w:val="0091399E"/>
    <w:rsid w:val="009139D6"/>
    <w:rsid w:val="00913CCA"/>
    <w:rsid w:val="00913DBA"/>
    <w:rsid w:val="00913E2E"/>
    <w:rsid w:val="00913E94"/>
    <w:rsid w:val="00914335"/>
    <w:rsid w:val="009143A2"/>
    <w:rsid w:val="00914474"/>
    <w:rsid w:val="00914488"/>
    <w:rsid w:val="009145D5"/>
    <w:rsid w:val="00914813"/>
    <w:rsid w:val="00914853"/>
    <w:rsid w:val="00914857"/>
    <w:rsid w:val="009148F0"/>
    <w:rsid w:val="0091491D"/>
    <w:rsid w:val="00914956"/>
    <w:rsid w:val="00914E3B"/>
    <w:rsid w:val="0091512A"/>
    <w:rsid w:val="00915299"/>
    <w:rsid w:val="009152A8"/>
    <w:rsid w:val="009152F3"/>
    <w:rsid w:val="00915392"/>
    <w:rsid w:val="009153C4"/>
    <w:rsid w:val="00915558"/>
    <w:rsid w:val="00915589"/>
    <w:rsid w:val="00915706"/>
    <w:rsid w:val="00915820"/>
    <w:rsid w:val="00915998"/>
    <w:rsid w:val="00915B70"/>
    <w:rsid w:val="00915BF5"/>
    <w:rsid w:val="00915E2E"/>
    <w:rsid w:val="009160FC"/>
    <w:rsid w:val="00916192"/>
    <w:rsid w:val="009161A6"/>
    <w:rsid w:val="009162DA"/>
    <w:rsid w:val="0091649D"/>
    <w:rsid w:val="00916559"/>
    <w:rsid w:val="009165DF"/>
    <w:rsid w:val="00916623"/>
    <w:rsid w:val="00916686"/>
    <w:rsid w:val="00916A26"/>
    <w:rsid w:val="00916B45"/>
    <w:rsid w:val="00916FDE"/>
    <w:rsid w:val="009170D0"/>
    <w:rsid w:val="0091712C"/>
    <w:rsid w:val="0091720D"/>
    <w:rsid w:val="00917371"/>
    <w:rsid w:val="00917408"/>
    <w:rsid w:val="00917763"/>
    <w:rsid w:val="0091787E"/>
    <w:rsid w:val="009178B7"/>
    <w:rsid w:val="009178C3"/>
    <w:rsid w:val="009179D7"/>
    <w:rsid w:val="009179E8"/>
    <w:rsid w:val="00917A9F"/>
    <w:rsid w:val="00917BEE"/>
    <w:rsid w:val="00917CC6"/>
    <w:rsid w:val="00917E26"/>
    <w:rsid w:val="00920067"/>
    <w:rsid w:val="009200CB"/>
    <w:rsid w:val="0092020D"/>
    <w:rsid w:val="0092029C"/>
    <w:rsid w:val="009203A8"/>
    <w:rsid w:val="00920452"/>
    <w:rsid w:val="009204E6"/>
    <w:rsid w:val="009205A4"/>
    <w:rsid w:val="00920649"/>
    <w:rsid w:val="0092084F"/>
    <w:rsid w:val="009208D7"/>
    <w:rsid w:val="00920900"/>
    <w:rsid w:val="00920B9E"/>
    <w:rsid w:val="00920BC7"/>
    <w:rsid w:val="00920D09"/>
    <w:rsid w:val="00920E1D"/>
    <w:rsid w:val="00920E6D"/>
    <w:rsid w:val="00920E7B"/>
    <w:rsid w:val="00920E9E"/>
    <w:rsid w:val="009210B7"/>
    <w:rsid w:val="00921123"/>
    <w:rsid w:val="0092117A"/>
    <w:rsid w:val="009212A7"/>
    <w:rsid w:val="009214CE"/>
    <w:rsid w:val="009214EF"/>
    <w:rsid w:val="00921ABD"/>
    <w:rsid w:val="00921C6B"/>
    <w:rsid w:val="00921DD5"/>
    <w:rsid w:val="0092201B"/>
    <w:rsid w:val="00922349"/>
    <w:rsid w:val="00922353"/>
    <w:rsid w:val="009224AE"/>
    <w:rsid w:val="00922891"/>
    <w:rsid w:val="009228BB"/>
    <w:rsid w:val="0092295F"/>
    <w:rsid w:val="00922B53"/>
    <w:rsid w:val="00922B59"/>
    <w:rsid w:val="00922C73"/>
    <w:rsid w:val="00922CBA"/>
    <w:rsid w:val="00922E55"/>
    <w:rsid w:val="00922FE5"/>
    <w:rsid w:val="00923027"/>
    <w:rsid w:val="0092352B"/>
    <w:rsid w:val="00923942"/>
    <w:rsid w:val="00923B65"/>
    <w:rsid w:val="00923B79"/>
    <w:rsid w:val="00923C4D"/>
    <w:rsid w:val="00923CD0"/>
    <w:rsid w:val="00923D2B"/>
    <w:rsid w:val="00923E64"/>
    <w:rsid w:val="00923ECB"/>
    <w:rsid w:val="00923F81"/>
    <w:rsid w:val="00923F8A"/>
    <w:rsid w:val="00923FEE"/>
    <w:rsid w:val="00924071"/>
    <w:rsid w:val="009242FE"/>
    <w:rsid w:val="009245C1"/>
    <w:rsid w:val="0092488F"/>
    <w:rsid w:val="00924AA1"/>
    <w:rsid w:val="00924BDA"/>
    <w:rsid w:val="00924D67"/>
    <w:rsid w:val="00924DB5"/>
    <w:rsid w:val="00924F36"/>
    <w:rsid w:val="00924FB2"/>
    <w:rsid w:val="009250AC"/>
    <w:rsid w:val="00925108"/>
    <w:rsid w:val="00925133"/>
    <w:rsid w:val="00925442"/>
    <w:rsid w:val="009254F3"/>
    <w:rsid w:val="00925668"/>
    <w:rsid w:val="00925981"/>
    <w:rsid w:val="00925B62"/>
    <w:rsid w:val="00925BD7"/>
    <w:rsid w:val="00925DF1"/>
    <w:rsid w:val="00926185"/>
    <w:rsid w:val="00926444"/>
    <w:rsid w:val="00926566"/>
    <w:rsid w:val="00926614"/>
    <w:rsid w:val="009266B8"/>
    <w:rsid w:val="00926749"/>
    <w:rsid w:val="009267E5"/>
    <w:rsid w:val="0092686D"/>
    <w:rsid w:val="0092690C"/>
    <w:rsid w:val="00926A84"/>
    <w:rsid w:val="00926BED"/>
    <w:rsid w:val="00926C2A"/>
    <w:rsid w:val="00926CC5"/>
    <w:rsid w:val="00926D24"/>
    <w:rsid w:val="00926D66"/>
    <w:rsid w:val="009271D7"/>
    <w:rsid w:val="00927245"/>
    <w:rsid w:val="00927AA2"/>
    <w:rsid w:val="00927B27"/>
    <w:rsid w:val="00927DDF"/>
    <w:rsid w:val="00927DF4"/>
    <w:rsid w:val="009304E0"/>
    <w:rsid w:val="009305E7"/>
    <w:rsid w:val="00930C0B"/>
    <w:rsid w:val="00930C87"/>
    <w:rsid w:val="00930D26"/>
    <w:rsid w:val="00930E87"/>
    <w:rsid w:val="00930EE4"/>
    <w:rsid w:val="009310DF"/>
    <w:rsid w:val="009312F0"/>
    <w:rsid w:val="009312FD"/>
    <w:rsid w:val="009313B0"/>
    <w:rsid w:val="009313C3"/>
    <w:rsid w:val="009314AE"/>
    <w:rsid w:val="00931591"/>
    <w:rsid w:val="00931685"/>
    <w:rsid w:val="009317B2"/>
    <w:rsid w:val="00931A40"/>
    <w:rsid w:val="00931A73"/>
    <w:rsid w:val="00931B10"/>
    <w:rsid w:val="00931B4A"/>
    <w:rsid w:val="00931D99"/>
    <w:rsid w:val="00931FA0"/>
    <w:rsid w:val="00931FC7"/>
    <w:rsid w:val="009322B3"/>
    <w:rsid w:val="009328E6"/>
    <w:rsid w:val="009328EC"/>
    <w:rsid w:val="00932BEB"/>
    <w:rsid w:val="00932EB1"/>
    <w:rsid w:val="00933398"/>
    <w:rsid w:val="009335E6"/>
    <w:rsid w:val="009339CA"/>
    <w:rsid w:val="00933B09"/>
    <w:rsid w:val="00933BFF"/>
    <w:rsid w:val="00933DD4"/>
    <w:rsid w:val="00933E30"/>
    <w:rsid w:val="00933FA5"/>
    <w:rsid w:val="00934492"/>
    <w:rsid w:val="00934580"/>
    <w:rsid w:val="009345AB"/>
    <w:rsid w:val="0093470D"/>
    <w:rsid w:val="00934722"/>
    <w:rsid w:val="009348AD"/>
    <w:rsid w:val="009349C0"/>
    <w:rsid w:val="00934AC7"/>
    <w:rsid w:val="00934DD2"/>
    <w:rsid w:val="00934F35"/>
    <w:rsid w:val="00934FE6"/>
    <w:rsid w:val="00935129"/>
    <w:rsid w:val="009351BE"/>
    <w:rsid w:val="009352AC"/>
    <w:rsid w:val="009355E8"/>
    <w:rsid w:val="009356EC"/>
    <w:rsid w:val="009357BF"/>
    <w:rsid w:val="009359F1"/>
    <w:rsid w:val="00935A49"/>
    <w:rsid w:val="00935A64"/>
    <w:rsid w:val="00935AF5"/>
    <w:rsid w:val="00935D09"/>
    <w:rsid w:val="00935D36"/>
    <w:rsid w:val="00935E01"/>
    <w:rsid w:val="00935F8E"/>
    <w:rsid w:val="009360A9"/>
    <w:rsid w:val="0093621E"/>
    <w:rsid w:val="00936597"/>
    <w:rsid w:val="009365A5"/>
    <w:rsid w:val="00936611"/>
    <w:rsid w:val="0093661D"/>
    <w:rsid w:val="0093662C"/>
    <w:rsid w:val="009366BE"/>
    <w:rsid w:val="00936716"/>
    <w:rsid w:val="00936806"/>
    <w:rsid w:val="00936842"/>
    <w:rsid w:val="009369A3"/>
    <w:rsid w:val="009369BD"/>
    <w:rsid w:val="00936A34"/>
    <w:rsid w:val="00936B02"/>
    <w:rsid w:val="00936B7F"/>
    <w:rsid w:val="00936B87"/>
    <w:rsid w:val="00936DE9"/>
    <w:rsid w:val="00936E36"/>
    <w:rsid w:val="009371B1"/>
    <w:rsid w:val="0093721B"/>
    <w:rsid w:val="00937237"/>
    <w:rsid w:val="00937265"/>
    <w:rsid w:val="009372F0"/>
    <w:rsid w:val="009373CF"/>
    <w:rsid w:val="00937557"/>
    <w:rsid w:val="0093758F"/>
    <w:rsid w:val="009376A6"/>
    <w:rsid w:val="009376E7"/>
    <w:rsid w:val="0093770A"/>
    <w:rsid w:val="00937848"/>
    <w:rsid w:val="009378DC"/>
    <w:rsid w:val="00937955"/>
    <w:rsid w:val="00937AC5"/>
    <w:rsid w:val="00937B24"/>
    <w:rsid w:val="00937D7F"/>
    <w:rsid w:val="00937F7F"/>
    <w:rsid w:val="009400D1"/>
    <w:rsid w:val="009400EA"/>
    <w:rsid w:val="0094017D"/>
    <w:rsid w:val="0094027F"/>
    <w:rsid w:val="009403E6"/>
    <w:rsid w:val="0094042C"/>
    <w:rsid w:val="0094056A"/>
    <w:rsid w:val="00940654"/>
    <w:rsid w:val="0094072C"/>
    <w:rsid w:val="009407CD"/>
    <w:rsid w:val="00940A49"/>
    <w:rsid w:val="00940A80"/>
    <w:rsid w:val="00940ADE"/>
    <w:rsid w:val="00940B78"/>
    <w:rsid w:val="00940B83"/>
    <w:rsid w:val="00940C56"/>
    <w:rsid w:val="00940C93"/>
    <w:rsid w:val="00940CB2"/>
    <w:rsid w:val="00940E99"/>
    <w:rsid w:val="00940F19"/>
    <w:rsid w:val="00940F65"/>
    <w:rsid w:val="00941117"/>
    <w:rsid w:val="009411C3"/>
    <w:rsid w:val="00941221"/>
    <w:rsid w:val="00941305"/>
    <w:rsid w:val="009414CE"/>
    <w:rsid w:val="00941701"/>
    <w:rsid w:val="009417E4"/>
    <w:rsid w:val="009418A9"/>
    <w:rsid w:val="009418D0"/>
    <w:rsid w:val="009419B8"/>
    <w:rsid w:val="00941A4C"/>
    <w:rsid w:val="00941DB4"/>
    <w:rsid w:val="00941FDD"/>
    <w:rsid w:val="009420AB"/>
    <w:rsid w:val="0094233D"/>
    <w:rsid w:val="00942375"/>
    <w:rsid w:val="00942643"/>
    <w:rsid w:val="0094288D"/>
    <w:rsid w:val="009429A6"/>
    <w:rsid w:val="00942B89"/>
    <w:rsid w:val="00942D57"/>
    <w:rsid w:val="00942EFF"/>
    <w:rsid w:val="00942FA9"/>
    <w:rsid w:val="00943183"/>
    <w:rsid w:val="00943485"/>
    <w:rsid w:val="009434C5"/>
    <w:rsid w:val="00943863"/>
    <w:rsid w:val="009439CE"/>
    <w:rsid w:val="00943B44"/>
    <w:rsid w:val="00943BF2"/>
    <w:rsid w:val="00943C86"/>
    <w:rsid w:val="00943DED"/>
    <w:rsid w:val="00943E4F"/>
    <w:rsid w:val="00944284"/>
    <w:rsid w:val="009442F0"/>
    <w:rsid w:val="00944306"/>
    <w:rsid w:val="0094486E"/>
    <w:rsid w:val="009448DC"/>
    <w:rsid w:val="009449D1"/>
    <w:rsid w:val="00944C85"/>
    <w:rsid w:val="00944D4B"/>
    <w:rsid w:val="00944DBF"/>
    <w:rsid w:val="00944EE1"/>
    <w:rsid w:val="00944EF4"/>
    <w:rsid w:val="00944F5C"/>
    <w:rsid w:val="00944F8C"/>
    <w:rsid w:val="00945140"/>
    <w:rsid w:val="00945174"/>
    <w:rsid w:val="009455FA"/>
    <w:rsid w:val="00945677"/>
    <w:rsid w:val="00945679"/>
    <w:rsid w:val="00945830"/>
    <w:rsid w:val="00945CE5"/>
    <w:rsid w:val="00945CF5"/>
    <w:rsid w:val="00945E5C"/>
    <w:rsid w:val="00945EB9"/>
    <w:rsid w:val="00946075"/>
    <w:rsid w:val="00946086"/>
    <w:rsid w:val="009460CB"/>
    <w:rsid w:val="00946109"/>
    <w:rsid w:val="009465C1"/>
    <w:rsid w:val="0094660B"/>
    <w:rsid w:val="00946AE7"/>
    <w:rsid w:val="00946B0E"/>
    <w:rsid w:val="00946E9F"/>
    <w:rsid w:val="00947014"/>
    <w:rsid w:val="00947262"/>
    <w:rsid w:val="00947274"/>
    <w:rsid w:val="009475E0"/>
    <w:rsid w:val="00947668"/>
    <w:rsid w:val="009476E6"/>
    <w:rsid w:val="0094774A"/>
    <w:rsid w:val="009477FD"/>
    <w:rsid w:val="00947841"/>
    <w:rsid w:val="00947B60"/>
    <w:rsid w:val="00947CA1"/>
    <w:rsid w:val="00947CB0"/>
    <w:rsid w:val="00947D0C"/>
    <w:rsid w:val="00947E49"/>
    <w:rsid w:val="00947F6D"/>
    <w:rsid w:val="0095009A"/>
    <w:rsid w:val="00950196"/>
    <w:rsid w:val="0095020C"/>
    <w:rsid w:val="00950441"/>
    <w:rsid w:val="00950500"/>
    <w:rsid w:val="009507EA"/>
    <w:rsid w:val="0095082A"/>
    <w:rsid w:val="0095089E"/>
    <w:rsid w:val="009508F4"/>
    <w:rsid w:val="0095090D"/>
    <w:rsid w:val="0095097D"/>
    <w:rsid w:val="00950B24"/>
    <w:rsid w:val="00950B34"/>
    <w:rsid w:val="00950C27"/>
    <w:rsid w:val="00950C75"/>
    <w:rsid w:val="00950F5A"/>
    <w:rsid w:val="009511A9"/>
    <w:rsid w:val="0095166D"/>
    <w:rsid w:val="0095167F"/>
    <w:rsid w:val="00951742"/>
    <w:rsid w:val="00951845"/>
    <w:rsid w:val="00951BAA"/>
    <w:rsid w:val="00951BF5"/>
    <w:rsid w:val="00951C67"/>
    <w:rsid w:val="00951F55"/>
    <w:rsid w:val="0095200B"/>
    <w:rsid w:val="009522A8"/>
    <w:rsid w:val="0095243B"/>
    <w:rsid w:val="009524DF"/>
    <w:rsid w:val="009524E1"/>
    <w:rsid w:val="009525B7"/>
    <w:rsid w:val="009527F2"/>
    <w:rsid w:val="00952B10"/>
    <w:rsid w:val="00952C07"/>
    <w:rsid w:val="00952CD7"/>
    <w:rsid w:val="00952D80"/>
    <w:rsid w:val="00952E8F"/>
    <w:rsid w:val="0095307A"/>
    <w:rsid w:val="009532BC"/>
    <w:rsid w:val="0095334C"/>
    <w:rsid w:val="009533DF"/>
    <w:rsid w:val="00953705"/>
    <w:rsid w:val="00953768"/>
    <w:rsid w:val="009537E8"/>
    <w:rsid w:val="0095398C"/>
    <w:rsid w:val="00953A93"/>
    <w:rsid w:val="00953DDE"/>
    <w:rsid w:val="00954168"/>
    <w:rsid w:val="0095442D"/>
    <w:rsid w:val="0095444C"/>
    <w:rsid w:val="009545CB"/>
    <w:rsid w:val="00954694"/>
    <w:rsid w:val="00954CC1"/>
    <w:rsid w:val="00954E5B"/>
    <w:rsid w:val="00954E7B"/>
    <w:rsid w:val="00954FCE"/>
    <w:rsid w:val="00955003"/>
    <w:rsid w:val="00955060"/>
    <w:rsid w:val="00955184"/>
    <w:rsid w:val="0095526D"/>
    <w:rsid w:val="009553AB"/>
    <w:rsid w:val="00955555"/>
    <w:rsid w:val="00955A8C"/>
    <w:rsid w:val="00955BF2"/>
    <w:rsid w:val="00955CC5"/>
    <w:rsid w:val="00955CDD"/>
    <w:rsid w:val="00955D22"/>
    <w:rsid w:val="00955D8B"/>
    <w:rsid w:val="00955DEE"/>
    <w:rsid w:val="00955E3C"/>
    <w:rsid w:val="0095613E"/>
    <w:rsid w:val="00956192"/>
    <w:rsid w:val="0095619B"/>
    <w:rsid w:val="00956218"/>
    <w:rsid w:val="0095634A"/>
    <w:rsid w:val="0095639C"/>
    <w:rsid w:val="0095642C"/>
    <w:rsid w:val="0095648D"/>
    <w:rsid w:val="0095698B"/>
    <w:rsid w:val="00956A43"/>
    <w:rsid w:val="00956B7F"/>
    <w:rsid w:val="00956C06"/>
    <w:rsid w:val="00956C0D"/>
    <w:rsid w:val="00956CD6"/>
    <w:rsid w:val="00957144"/>
    <w:rsid w:val="009571BB"/>
    <w:rsid w:val="009571EC"/>
    <w:rsid w:val="009571FA"/>
    <w:rsid w:val="009572E1"/>
    <w:rsid w:val="009572F6"/>
    <w:rsid w:val="00957367"/>
    <w:rsid w:val="00957514"/>
    <w:rsid w:val="00957683"/>
    <w:rsid w:val="009578F0"/>
    <w:rsid w:val="009579FB"/>
    <w:rsid w:val="00957AAD"/>
    <w:rsid w:val="00957AC2"/>
    <w:rsid w:val="00957AE9"/>
    <w:rsid w:val="00957C89"/>
    <w:rsid w:val="00957D21"/>
    <w:rsid w:val="00957EFB"/>
    <w:rsid w:val="009600BA"/>
    <w:rsid w:val="0096022A"/>
    <w:rsid w:val="009602DA"/>
    <w:rsid w:val="00960463"/>
    <w:rsid w:val="00960600"/>
    <w:rsid w:val="0096060C"/>
    <w:rsid w:val="00960A0B"/>
    <w:rsid w:val="00960AA2"/>
    <w:rsid w:val="00960CE9"/>
    <w:rsid w:val="00960D9F"/>
    <w:rsid w:val="00961224"/>
    <w:rsid w:val="009612E8"/>
    <w:rsid w:val="009614EA"/>
    <w:rsid w:val="00961512"/>
    <w:rsid w:val="0096169F"/>
    <w:rsid w:val="00961C74"/>
    <w:rsid w:val="00961CDF"/>
    <w:rsid w:val="00961E67"/>
    <w:rsid w:val="00961E77"/>
    <w:rsid w:val="00961E97"/>
    <w:rsid w:val="00961FEF"/>
    <w:rsid w:val="00962054"/>
    <w:rsid w:val="00962168"/>
    <w:rsid w:val="009624A9"/>
    <w:rsid w:val="00962884"/>
    <w:rsid w:val="00962905"/>
    <w:rsid w:val="00962DD6"/>
    <w:rsid w:val="00962F13"/>
    <w:rsid w:val="00963142"/>
    <w:rsid w:val="009631EE"/>
    <w:rsid w:val="0096365E"/>
    <w:rsid w:val="00963718"/>
    <w:rsid w:val="00963831"/>
    <w:rsid w:val="0096386F"/>
    <w:rsid w:val="009638CE"/>
    <w:rsid w:val="009639E6"/>
    <w:rsid w:val="009639F7"/>
    <w:rsid w:val="00963B6A"/>
    <w:rsid w:val="00963E87"/>
    <w:rsid w:val="00963F84"/>
    <w:rsid w:val="00963FCC"/>
    <w:rsid w:val="0096414F"/>
    <w:rsid w:val="009642E4"/>
    <w:rsid w:val="0096452C"/>
    <w:rsid w:val="0096468F"/>
    <w:rsid w:val="009646B1"/>
    <w:rsid w:val="0096492A"/>
    <w:rsid w:val="009649AC"/>
    <w:rsid w:val="00964CE4"/>
    <w:rsid w:val="00964F41"/>
    <w:rsid w:val="00965060"/>
    <w:rsid w:val="009652C9"/>
    <w:rsid w:val="00965623"/>
    <w:rsid w:val="00965660"/>
    <w:rsid w:val="00965820"/>
    <w:rsid w:val="00965D66"/>
    <w:rsid w:val="00965EC9"/>
    <w:rsid w:val="00966068"/>
    <w:rsid w:val="00966416"/>
    <w:rsid w:val="0096644C"/>
    <w:rsid w:val="009664A7"/>
    <w:rsid w:val="00966558"/>
    <w:rsid w:val="009669C0"/>
    <w:rsid w:val="00966A21"/>
    <w:rsid w:val="00966A70"/>
    <w:rsid w:val="00966BF5"/>
    <w:rsid w:val="00966C36"/>
    <w:rsid w:val="00966E72"/>
    <w:rsid w:val="00967027"/>
    <w:rsid w:val="009670B6"/>
    <w:rsid w:val="00967167"/>
    <w:rsid w:val="009671BC"/>
    <w:rsid w:val="009674C7"/>
    <w:rsid w:val="009676B5"/>
    <w:rsid w:val="009678FD"/>
    <w:rsid w:val="009679F8"/>
    <w:rsid w:val="009679FC"/>
    <w:rsid w:val="00967B36"/>
    <w:rsid w:val="00967B9C"/>
    <w:rsid w:val="00967BAB"/>
    <w:rsid w:val="00967FE9"/>
    <w:rsid w:val="009701D9"/>
    <w:rsid w:val="00970328"/>
    <w:rsid w:val="009703B8"/>
    <w:rsid w:val="0097043D"/>
    <w:rsid w:val="00970941"/>
    <w:rsid w:val="00970953"/>
    <w:rsid w:val="009709E3"/>
    <w:rsid w:val="009709FD"/>
    <w:rsid w:val="00970A82"/>
    <w:rsid w:val="00970B48"/>
    <w:rsid w:val="00970B91"/>
    <w:rsid w:val="00970BA9"/>
    <w:rsid w:val="00970CEF"/>
    <w:rsid w:val="00970D8B"/>
    <w:rsid w:val="00970F11"/>
    <w:rsid w:val="00970F21"/>
    <w:rsid w:val="0097106B"/>
    <w:rsid w:val="0097106E"/>
    <w:rsid w:val="009712AF"/>
    <w:rsid w:val="00971634"/>
    <w:rsid w:val="009717BA"/>
    <w:rsid w:val="009717DA"/>
    <w:rsid w:val="00971991"/>
    <w:rsid w:val="00971AC9"/>
    <w:rsid w:val="00971B0E"/>
    <w:rsid w:val="00971B11"/>
    <w:rsid w:val="00971EA7"/>
    <w:rsid w:val="00972230"/>
    <w:rsid w:val="009723FC"/>
    <w:rsid w:val="00972428"/>
    <w:rsid w:val="0097282D"/>
    <w:rsid w:val="009728F9"/>
    <w:rsid w:val="00972944"/>
    <w:rsid w:val="00972B31"/>
    <w:rsid w:val="00972B4E"/>
    <w:rsid w:val="00972B6D"/>
    <w:rsid w:val="00972D5C"/>
    <w:rsid w:val="009730C6"/>
    <w:rsid w:val="0097333C"/>
    <w:rsid w:val="009735FD"/>
    <w:rsid w:val="0097364F"/>
    <w:rsid w:val="009739A8"/>
    <w:rsid w:val="00973A0A"/>
    <w:rsid w:val="00973A42"/>
    <w:rsid w:val="00973A95"/>
    <w:rsid w:val="00973C3A"/>
    <w:rsid w:val="00973F37"/>
    <w:rsid w:val="00973F48"/>
    <w:rsid w:val="00973FC6"/>
    <w:rsid w:val="00974186"/>
    <w:rsid w:val="00974208"/>
    <w:rsid w:val="0097438B"/>
    <w:rsid w:val="009743AF"/>
    <w:rsid w:val="009745CB"/>
    <w:rsid w:val="009749BC"/>
    <w:rsid w:val="00974D72"/>
    <w:rsid w:val="00974DD9"/>
    <w:rsid w:val="00974EA7"/>
    <w:rsid w:val="00974FE5"/>
    <w:rsid w:val="00974FE9"/>
    <w:rsid w:val="0097503F"/>
    <w:rsid w:val="00975319"/>
    <w:rsid w:val="00975321"/>
    <w:rsid w:val="009753FE"/>
    <w:rsid w:val="00975503"/>
    <w:rsid w:val="00975618"/>
    <w:rsid w:val="009757A1"/>
    <w:rsid w:val="00975B09"/>
    <w:rsid w:val="00975B19"/>
    <w:rsid w:val="00975FB2"/>
    <w:rsid w:val="0097600C"/>
    <w:rsid w:val="0097612F"/>
    <w:rsid w:val="00976267"/>
    <w:rsid w:val="00976545"/>
    <w:rsid w:val="009765B8"/>
    <w:rsid w:val="0097673C"/>
    <w:rsid w:val="0097682F"/>
    <w:rsid w:val="00976890"/>
    <w:rsid w:val="009768D2"/>
    <w:rsid w:val="00976919"/>
    <w:rsid w:val="0097693A"/>
    <w:rsid w:val="00976983"/>
    <w:rsid w:val="00976CE4"/>
    <w:rsid w:val="00976D4F"/>
    <w:rsid w:val="00976D6C"/>
    <w:rsid w:val="00976F23"/>
    <w:rsid w:val="0097710F"/>
    <w:rsid w:val="00977428"/>
    <w:rsid w:val="00977433"/>
    <w:rsid w:val="00977593"/>
    <w:rsid w:val="009776EF"/>
    <w:rsid w:val="00977819"/>
    <w:rsid w:val="00977A96"/>
    <w:rsid w:val="00977AC6"/>
    <w:rsid w:val="00977CB3"/>
    <w:rsid w:val="00977CC5"/>
    <w:rsid w:val="00977D21"/>
    <w:rsid w:val="00977D61"/>
    <w:rsid w:val="00977EEC"/>
    <w:rsid w:val="009800FC"/>
    <w:rsid w:val="0098014F"/>
    <w:rsid w:val="0098019A"/>
    <w:rsid w:val="00980238"/>
    <w:rsid w:val="00980305"/>
    <w:rsid w:val="00980562"/>
    <w:rsid w:val="0098056C"/>
    <w:rsid w:val="0098074D"/>
    <w:rsid w:val="009808DD"/>
    <w:rsid w:val="009809E4"/>
    <w:rsid w:val="00980AB3"/>
    <w:rsid w:val="00980E89"/>
    <w:rsid w:val="00980F80"/>
    <w:rsid w:val="009811F1"/>
    <w:rsid w:val="00981337"/>
    <w:rsid w:val="0098148A"/>
    <w:rsid w:val="00981682"/>
    <w:rsid w:val="00981BED"/>
    <w:rsid w:val="00981EDF"/>
    <w:rsid w:val="00981F4F"/>
    <w:rsid w:val="0098201C"/>
    <w:rsid w:val="009820CA"/>
    <w:rsid w:val="009820D2"/>
    <w:rsid w:val="0098227A"/>
    <w:rsid w:val="009822E9"/>
    <w:rsid w:val="009822EE"/>
    <w:rsid w:val="00982320"/>
    <w:rsid w:val="0098238D"/>
    <w:rsid w:val="009823CD"/>
    <w:rsid w:val="00982509"/>
    <w:rsid w:val="00982615"/>
    <w:rsid w:val="0098266E"/>
    <w:rsid w:val="009826CA"/>
    <w:rsid w:val="00982913"/>
    <w:rsid w:val="00982B5E"/>
    <w:rsid w:val="00982D29"/>
    <w:rsid w:val="00982E5E"/>
    <w:rsid w:val="00983091"/>
    <w:rsid w:val="00983248"/>
    <w:rsid w:val="00983293"/>
    <w:rsid w:val="009832ED"/>
    <w:rsid w:val="009832F1"/>
    <w:rsid w:val="00983346"/>
    <w:rsid w:val="0098367A"/>
    <w:rsid w:val="009836BE"/>
    <w:rsid w:val="009836DB"/>
    <w:rsid w:val="0098383E"/>
    <w:rsid w:val="009838E0"/>
    <w:rsid w:val="0098395C"/>
    <w:rsid w:val="00983A3C"/>
    <w:rsid w:val="00983BCF"/>
    <w:rsid w:val="00983D2E"/>
    <w:rsid w:val="00984098"/>
    <w:rsid w:val="00984110"/>
    <w:rsid w:val="0098418A"/>
    <w:rsid w:val="009841F2"/>
    <w:rsid w:val="009845E8"/>
    <w:rsid w:val="0098487A"/>
    <w:rsid w:val="009849D7"/>
    <w:rsid w:val="00984BA4"/>
    <w:rsid w:val="00984C08"/>
    <w:rsid w:val="00984CC0"/>
    <w:rsid w:val="00984D50"/>
    <w:rsid w:val="00984E7F"/>
    <w:rsid w:val="00984F2F"/>
    <w:rsid w:val="0098508C"/>
    <w:rsid w:val="00985116"/>
    <w:rsid w:val="00985118"/>
    <w:rsid w:val="0098519C"/>
    <w:rsid w:val="009854D5"/>
    <w:rsid w:val="0098559C"/>
    <w:rsid w:val="00985964"/>
    <w:rsid w:val="0098596F"/>
    <w:rsid w:val="009859F7"/>
    <w:rsid w:val="00985A68"/>
    <w:rsid w:val="00985AA2"/>
    <w:rsid w:val="00985B51"/>
    <w:rsid w:val="00985B66"/>
    <w:rsid w:val="00985B74"/>
    <w:rsid w:val="00985D8D"/>
    <w:rsid w:val="00985E90"/>
    <w:rsid w:val="00986029"/>
    <w:rsid w:val="009860B0"/>
    <w:rsid w:val="009860D1"/>
    <w:rsid w:val="009864A6"/>
    <w:rsid w:val="009864B0"/>
    <w:rsid w:val="009864F0"/>
    <w:rsid w:val="009866E8"/>
    <w:rsid w:val="00986AB0"/>
    <w:rsid w:val="00986C65"/>
    <w:rsid w:val="00986EE7"/>
    <w:rsid w:val="00986F91"/>
    <w:rsid w:val="0098701F"/>
    <w:rsid w:val="00987131"/>
    <w:rsid w:val="009871FA"/>
    <w:rsid w:val="00987415"/>
    <w:rsid w:val="009876A2"/>
    <w:rsid w:val="009876B7"/>
    <w:rsid w:val="009877E0"/>
    <w:rsid w:val="0098782E"/>
    <w:rsid w:val="00987888"/>
    <w:rsid w:val="00987992"/>
    <w:rsid w:val="00987A10"/>
    <w:rsid w:val="00987C4A"/>
    <w:rsid w:val="00987D34"/>
    <w:rsid w:val="00987DDA"/>
    <w:rsid w:val="00987E02"/>
    <w:rsid w:val="00987F40"/>
    <w:rsid w:val="0099057C"/>
    <w:rsid w:val="00990585"/>
    <w:rsid w:val="00990670"/>
    <w:rsid w:val="00990765"/>
    <w:rsid w:val="0099085E"/>
    <w:rsid w:val="0099098E"/>
    <w:rsid w:val="00990A9D"/>
    <w:rsid w:val="00990B0E"/>
    <w:rsid w:val="00990B1E"/>
    <w:rsid w:val="00990F5B"/>
    <w:rsid w:val="00991465"/>
    <w:rsid w:val="00991510"/>
    <w:rsid w:val="009915D9"/>
    <w:rsid w:val="00991820"/>
    <w:rsid w:val="009918AE"/>
    <w:rsid w:val="00991AD2"/>
    <w:rsid w:val="00991AD9"/>
    <w:rsid w:val="00991CD7"/>
    <w:rsid w:val="00991CF9"/>
    <w:rsid w:val="00991D07"/>
    <w:rsid w:val="00991D25"/>
    <w:rsid w:val="00991DA6"/>
    <w:rsid w:val="00991F4B"/>
    <w:rsid w:val="0099212C"/>
    <w:rsid w:val="009921B5"/>
    <w:rsid w:val="00992223"/>
    <w:rsid w:val="00992282"/>
    <w:rsid w:val="009922D6"/>
    <w:rsid w:val="009922EA"/>
    <w:rsid w:val="00992342"/>
    <w:rsid w:val="00992497"/>
    <w:rsid w:val="009925D2"/>
    <w:rsid w:val="0099262B"/>
    <w:rsid w:val="009928BD"/>
    <w:rsid w:val="0099297E"/>
    <w:rsid w:val="00992C19"/>
    <w:rsid w:val="00992C78"/>
    <w:rsid w:val="00992E01"/>
    <w:rsid w:val="0099304D"/>
    <w:rsid w:val="009931B2"/>
    <w:rsid w:val="009932BA"/>
    <w:rsid w:val="00993340"/>
    <w:rsid w:val="009933EC"/>
    <w:rsid w:val="00993786"/>
    <w:rsid w:val="0099381E"/>
    <w:rsid w:val="00993A1E"/>
    <w:rsid w:val="00993A4C"/>
    <w:rsid w:val="00993AD9"/>
    <w:rsid w:val="00993B22"/>
    <w:rsid w:val="00993B84"/>
    <w:rsid w:val="00993C04"/>
    <w:rsid w:val="00993CE1"/>
    <w:rsid w:val="00993DF1"/>
    <w:rsid w:val="009940F9"/>
    <w:rsid w:val="009942CC"/>
    <w:rsid w:val="00994338"/>
    <w:rsid w:val="00994421"/>
    <w:rsid w:val="00994456"/>
    <w:rsid w:val="009944AD"/>
    <w:rsid w:val="0099459C"/>
    <w:rsid w:val="0099479F"/>
    <w:rsid w:val="00994A3B"/>
    <w:rsid w:val="00994D84"/>
    <w:rsid w:val="00995047"/>
    <w:rsid w:val="009953A6"/>
    <w:rsid w:val="009953B2"/>
    <w:rsid w:val="0099556B"/>
    <w:rsid w:val="00995612"/>
    <w:rsid w:val="0099575A"/>
    <w:rsid w:val="00995983"/>
    <w:rsid w:val="00995B6A"/>
    <w:rsid w:val="00995CEC"/>
    <w:rsid w:val="009966F7"/>
    <w:rsid w:val="009967EB"/>
    <w:rsid w:val="00996B5C"/>
    <w:rsid w:val="00996B62"/>
    <w:rsid w:val="00996BD8"/>
    <w:rsid w:val="00996C42"/>
    <w:rsid w:val="00996C9E"/>
    <w:rsid w:val="00996D8F"/>
    <w:rsid w:val="00996DFE"/>
    <w:rsid w:val="00996E83"/>
    <w:rsid w:val="00996F90"/>
    <w:rsid w:val="009971C7"/>
    <w:rsid w:val="009971FC"/>
    <w:rsid w:val="00997228"/>
    <w:rsid w:val="009972F5"/>
    <w:rsid w:val="00997302"/>
    <w:rsid w:val="009974FF"/>
    <w:rsid w:val="00997541"/>
    <w:rsid w:val="0099757D"/>
    <w:rsid w:val="009976E0"/>
    <w:rsid w:val="009977C4"/>
    <w:rsid w:val="0099794D"/>
    <w:rsid w:val="00997E7A"/>
    <w:rsid w:val="009A003F"/>
    <w:rsid w:val="009A00DC"/>
    <w:rsid w:val="009A017C"/>
    <w:rsid w:val="009A042C"/>
    <w:rsid w:val="009A0475"/>
    <w:rsid w:val="009A04DF"/>
    <w:rsid w:val="009A076A"/>
    <w:rsid w:val="009A0809"/>
    <w:rsid w:val="009A097B"/>
    <w:rsid w:val="009A0B83"/>
    <w:rsid w:val="009A0BA2"/>
    <w:rsid w:val="009A0DD4"/>
    <w:rsid w:val="009A0F1A"/>
    <w:rsid w:val="009A0FFF"/>
    <w:rsid w:val="009A113A"/>
    <w:rsid w:val="009A11A5"/>
    <w:rsid w:val="009A125A"/>
    <w:rsid w:val="009A128E"/>
    <w:rsid w:val="009A12E3"/>
    <w:rsid w:val="009A1469"/>
    <w:rsid w:val="009A14D4"/>
    <w:rsid w:val="009A156C"/>
    <w:rsid w:val="009A1598"/>
    <w:rsid w:val="009A15BE"/>
    <w:rsid w:val="009A1695"/>
    <w:rsid w:val="009A1B51"/>
    <w:rsid w:val="009A1B73"/>
    <w:rsid w:val="009A1BB8"/>
    <w:rsid w:val="009A1EB5"/>
    <w:rsid w:val="009A209A"/>
    <w:rsid w:val="009A20A1"/>
    <w:rsid w:val="009A21C1"/>
    <w:rsid w:val="009A2280"/>
    <w:rsid w:val="009A27B1"/>
    <w:rsid w:val="009A29D1"/>
    <w:rsid w:val="009A2C7B"/>
    <w:rsid w:val="009A2CA9"/>
    <w:rsid w:val="009A2EA3"/>
    <w:rsid w:val="009A2F7E"/>
    <w:rsid w:val="009A2FBC"/>
    <w:rsid w:val="009A3090"/>
    <w:rsid w:val="009A325A"/>
    <w:rsid w:val="009A3582"/>
    <w:rsid w:val="009A36E6"/>
    <w:rsid w:val="009A3722"/>
    <w:rsid w:val="009A374B"/>
    <w:rsid w:val="009A37BF"/>
    <w:rsid w:val="009A387D"/>
    <w:rsid w:val="009A387F"/>
    <w:rsid w:val="009A3AD1"/>
    <w:rsid w:val="009A3CF4"/>
    <w:rsid w:val="009A3FCD"/>
    <w:rsid w:val="009A403F"/>
    <w:rsid w:val="009A4101"/>
    <w:rsid w:val="009A4221"/>
    <w:rsid w:val="009A438D"/>
    <w:rsid w:val="009A47AF"/>
    <w:rsid w:val="009A49F2"/>
    <w:rsid w:val="009A4A02"/>
    <w:rsid w:val="009A4AB5"/>
    <w:rsid w:val="009A4C5E"/>
    <w:rsid w:val="009A4C66"/>
    <w:rsid w:val="009A4E5A"/>
    <w:rsid w:val="009A4EB2"/>
    <w:rsid w:val="009A5161"/>
    <w:rsid w:val="009A529F"/>
    <w:rsid w:val="009A55A3"/>
    <w:rsid w:val="009A561A"/>
    <w:rsid w:val="009A5709"/>
    <w:rsid w:val="009A58DA"/>
    <w:rsid w:val="009A591E"/>
    <w:rsid w:val="009A596D"/>
    <w:rsid w:val="009A5C0D"/>
    <w:rsid w:val="009A5C4F"/>
    <w:rsid w:val="009A5CB7"/>
    <w:rsid w:val="009A5F04"/>
    <w:rsid w:val="009A5F1E"/>
    <w:rsid w:val="009A60CA"/>
    <w:rsid w:val="009A62A5"/>
    <w:rsid w:val="009A63AE"/>
    <w:rsid w:val="009A63FB"/>
    <w:rsid w:val="009A654D"/>
    <w:rsid w:val="009A65DF"/>
    <w:rsid w:val="009A6676"/>
    <w:rsid w:val="009A6870"/>
    <w:rsid w:val="009A6C6B"/>
    <w:rsid w:val="009A6DDB"/>
    <w:rsid w:val="009A6F2F"/>
    <w:rsid w:val="009A6F4B"/>
    <w:rsid w:val="009A6FE7"/>
    <w:rsid w:val="009A723F"/>
    <w:rsid w:val="009A76AA"/>
    <w:rsid w:val="009A7711"/>
    <w:rsid w:val="009A77FA"/>
    <w:rsid w:val="009A7816"/>
    <w:rsid w:val="009A7AE8"/>
    <w:rsid w:val="009A7E22"/>
    <w:rsid w:val="009B001A"/>
    <w:rsid w:val="009B03EA"/>
    <w:rsid w:val="009B04AF"/>
    <w:rsid w:val="009B0627"/>
    <w:rsid w:val="009B076A"/>
    <w:rsid w:val="009B09AF"/>
    <w:rsid w:val="009B0A31"/>
    <w:rsid w:val="009B0B59"/>
    <w:rsid w:val="009B0D44"/>
    <w:rsid w:val="009B0E95"/>
    <w:rsid w:val="009B10EA"/>
    <w:rsid w:val="009B115A"/>
    <w:rsid w:val="009B1478"/>
    <w:rsid w:val="009B1528"/>
    <w:rsid w:val="009B155A"/>
    <w:rsid w:val="009B16D7"/>
    <w:rsid w:val="009B179C"/>
    <w:rsid w:val="009B194E"/>
    <w:rsid w:val="009B1AF8"/>
    <w:rsid w:val="009B1B71"/>
    <w:rsid w:val="009B1EBD"/>
    <w:rsid w:val="009B1FB8"/>
    <w:rsid w:val="009B2145"/>
    <w:rsid w:val="009B217F"/>
    <w:rsid w:val="009B232E"/>
    <w:rsid w:val="009B234E"/>
    <w:rsid w:val="009B2426"/>
    <w:rsid w:val="009B249E"/>
    <w:rsid w:val="009B2581"/>
    <w:rsid w:val="009B261C"/>
    <w:rsid w:val="009B2899"/>
    <w:rsid w:val="009B28CD"/>
    <w:rsid w:val="009B2A80"/>
    <w:rsid w:val="009B2D8A"/>
    <w:rsid w:val="009B2E14"/>
    <w:rsid w:val="009B2E27"/>
    <w:rsid w:val="009B2F48"/>
    <w:rsid w:val="009B3023"/>
    <w:rsid w:val="009B3051"/>
    <w:rsid w:val="009B306D"/>
    <w:rsid w:val="009B3129"/>
    <w:rsid w:val="009B313C"/>
    <w:rsid w:val="009B3290"/>
    <w:rsid w:val="009B34DB"/>
    <w:rsid w:val="009B36A7"/>
    <w:rsid w:val="009B3870"/>
    <w:rsid w:val="009B39EE"/>
    <w:rsid w:val="009B3A4F"/>
    <w:rsid w:val="009B3AB7"/>
    <w:rsid w:val="009B3CA9"/>
    <w:rsid w:val="009B3D36"/>
    <w:rsid w:val="009B3E48"/>
    <w:rsid w:val="009B3F68"/>
    <w:rsid w:val="009B40A4"/>
    <w:rsid w:val="009B40B3"/>
    <w:rsid w:val="009B417F"/>
    <w:rsid w:val="009B42BC"/>
    <w:rsid w:val="009B42E4"/>
    <w:rsid w:val="009B4363"/>
    <w:rsid w:val="009B43E7"/>
    <w:rsid w:val="009B43FE"/>
    <w:rsid w:val="009B4609"/>
    <w:rsid w:val="009B46BD"/>
    <w:rsid w:val="009B4771"/>
    <w:rsid w:val="009B486D"/>
    <w:rsid w:val="009B4A10"/>
    <w:rsid w:val="009B4B72"/>
    <w:rsid w:val="009B4BA4"/>
    <w:rsid w:val="009B4C54"/>
    <w:rsid w:val="009B4D9F"/>
    <w:rsid w:val="009B4E16"/>
    <w:rsid w:val="009B5389"/>
    <w:rsid w:val="009B53A7"/>
    <w:rsid w:val="009B551A"/>
    <w:rsid w:val="009B5545"/>
    <w:rsid w:val="009B571D"/>
    <w:rsid w:val="009B58E4"/>
    <w:rsid w:val="009B5912"/>
    <w:rsid w:val="009B5A64"/>
    <w:rsid w:val="009B5A91"/>
    <w:rsid w:val="009B5C73"/>
    <w:rsid w:val="009B5FAA"/>
    <w:rsid w:val="009B6099"/>
    <w:rsid w:val="009B6303"/>
    <w:rsid w:val="009B6579"/>
    <w:rsid w:val="009B68D8"/>
    <w:rsid w:val="009B6C1C"/>
    <w:rsid w:val="009B6DA4"/>
    <w:rsid w:val="009B6EB8"/>
    <w:rsid w:val="009B700E"/>
    <w:rsid w:val="009B709D"/>
    <w:rsid w:val="009B73E0"/>
    <w:rsid w:val="009B7698"/>
    <w:rsid w:val="009B77E7"/>
    <w:rsid w:val="009B7829"/>
    <w:rsid w:val="009B792A"/>
    <w:rsid w:val="009B7A5C"/>
    <w:rsid w:val="009B7BA4"/>
    <w:rsid w:val="009B7CDB"/>
    <w:rsid w:val="009B7EC0"/>
    <w:rsid w:val="009C002E"/>
    <w:rsid w:val="009C003F"/>
    <w:rsid w:val="009C00C8"/>
    <w:rsid w:val="009C018B"/>
    <w:rsid w:val="009C018E"/>
    <w:rsid w:val="009C0692"/>
    <w:rsid w:val="009C06DA"/>
    <w:rsid w:val="009C0742"/>
    <w:rsid w:val="009C07BB"/>
    <w:rsid w:val="009C08E2"/>
    <w:rsid w:val="009C091F"/>
    <w:rsid w:val="009C09D3"/>
    <w:rsid w:val="009C0AF3"/>
    <w:rsid w:val="009C0B70"/>
    <w:rsid w:val="009C0DCA"/>
    <w:rsid w:val="009C0F1D"/>
    <w:rsid w:val="009C1736"/>
    <w:rsid w:val="009C18A3"/>
    <w:rsid w:val="009C1AC8"/>
    <w:rsid w:val="009C1DAA"/>
    <w:rsid w:val="009C1E10"/>
    <w:rsid w:val="009C2180"/>
    <w:rsid w:val="009C2273"/>
    <w:rsid w:val="009C235B"/>
    <w:rsid w:val="009C2653"/>
    <w:rsid w:val="009C2662"/>
    <w:rsid w:val="009C267D"/>
    <w:rsid w:val="009C27A3"/>
    <w:rsid w:val="009C29B1"/>
    <w:rsid w:val="009C2A4D"/>
    <w:rsid w:val="009C2B2A"/>
    <w:rsid w:val="009C2DBB"/>
    <w:rsid w:val="009C2EBD"/>
    <w:rsid w:val="009C2F01"/>
    <w:rsid w:val="009C3294"/>
    <w:rsid w:val="009C333D"/>
    <w:rsid w:val="009C34DF"/>
    <w:rsid w:val="009C3556"/>
    <w:rsid w:val="009C3B9E"/>
    <w:rsid w:val="009C3DD2"/>
    <w:rsid w:val="009C3F3C"/>
    <w:rsid w:val="009C40FD"/>
    <w:rsid w:val="009C42A1"/>
    <w:rsid w:val="009C45AB"/>
    <w:rsid w:val="009C4798"/>
    <w:rsid w:val="009C47EE"/>
    <w:rsid w:val="009C4A8A"/>
    <w:rsid w:val="009C4B78"/>
    <w:rsid w:val="009C4C1F"/>
    <w:rsid w:val="009C4D1E"/>
    <w:rsid w:val="009C4D74"/>
    <w:rsid w:val="009C4EBC"/>
    <w:rsid w:val="009C4F24"/>
    <w:rsid w:val="009C5124"/>
    <w:rsid w:val="009C5243"/>
    <w:rsid w:val="009C52FB"/>
    <w:rsid w:val="009C53A8"/>
    <w:rsid w:val="009C54DB"/>
    <w:rsid w:val="009C55AF"/>
    <w:rsid w:val="009C564A"/>
    <w:rsid w:val="009C5A38"/>
    <w:rsid w:val="009C5A4D"/>
    <w:rsid w:val="009C5C1D"/>
    <w:rsid w:val="009C5D1F"/>
    <w:rsid w:val="009C5DE3"/>
    <w:rsid w:val="009C5ECB"/>
    <w:rsid w:val="009C5F41"/>
    <w:rsid w:val="009C5FB1"/>
    <w:rsid w:val="009C5FCC"/>
    <w:rsid w:val="009C6270"/>
    <w:rsid w:val="009C62D4"/>
    <w:rsid w:val="009C6368"/>
    <w:rsid w:val="009C647E"/>
    <w:rsid w:val="009C66D6"/>
    <w:rsid w:val="009C68D9"/>
    <w:rsid w:val="009C6946"/>
    <w:rsid w:val="009C6A60"/>
    <w:rsid w:val="009C6B90"/>
    <w:rsid w:val="009C6CC3"/>
    <w:rsid w:val="009C6E6F"/>
    <w:rsid w:val="009C6F45"/>
    <w:rsid w:val="009C6FA9"/>
    <w:rsid w:val="009C7279"/>
    <w:rsid w:val="009C7310"/>
    <w:rsid w:val="009C7360"/>
    <w:rsid w:val="009C74F0"/>
    <w:rsid w:val="009C7849"/>
    <w:rsid w:val="009C78E7"/>
    <w:rsid w:val="009C7A19"/>
    <w:rsid w:val="009C7A30"/>
    <w:rsid w:val="009C7B42"/>
    <w:rsid w:val="009C7B8A"/>
    <w:rsid w:val="009C7C71"/>
    <w:rsid w:val="009C7FD4"/>
    <w:rsid w:val="009D0022"/>
    <w:rsid w:val="009D00F2"/>
    <w:rsid w:val="009D0111"/>
    <w:rsid w:val="009D027A"/>
    <w:rsid w:val="009D02A2"/>
    <w:rsid w:val="009D03C4"/>
    <w:rsid w:val="009D03FE"/>
    <w:rsid w:val="009D044A"/>
    <w:rsid w:val="009D06C6"/>
    <w:rsid w:val="009D0B96"/>
    <w:rsid w:val="009D0D6D"/>
    <w:rsid w:val="009D0DDF"/>
    <w:rsid w:val="009D0E47"/>
    <w:rsid w:val="009D0EC5"/>
    <w:rsid w:val="009D10AB"/>
    <w:rsid w:val="009D1227"/>
    <w:rsid w:val="009D132B"/>
    <w:rsid w:val="009D135B"/>
    <w:rsid w:val="009D15BB"/>
    <w:rsid w:val="009D1622"/>
    <w:rsid w:val="009D1646"/>
    <w:rsid w:val="009D1720"/>
    <w:rsid w:val="009D189D"/>
    <w:rsid w:val="009D19F9"/>
    <w:rsid w:val="009D1A1D"/>
    <w:rsid w:val="009D1A22"/>
    <w:rsid w:val="009D1B12"/>
    <w:rsid w:val="009D1B20"/>
    <w:rsid w:val="009D1C54"/>
    <w:rsid w:val="009D2280"/>
    <w:rsid w:val="009D258C"/>
    <w:rsid w:val="009D25B7"/>
    <w:rsid w:val="009D266A"/>
    <w:rsid w:val="009D274B"/>
    <w:rsid w:val="009D2956"/>
    <w:rsid w:val="009D2D49"/>
    <w:rsid w:val="009D2FFC"/>
    <w:rsid w:val="009D302F"/>
    <w:rsid w:val="009D3048"/>
    <w:rsid w:val="009D3250"/>
    <w:rsid w:val="009D330B"/>
    <w:rsid w:val="009D346B"/>
    <w:rsid w:val="009D363C"/>
    <w:rsid w:val="009D36D1"/>
    <w:rsid w:val="009D3A98"/>
    <w:rsid w:val="009D3CF6"/>
    <w:rsid w:val="009D3FAD"/>
    <w:rsid w:val="009D3FFE"/>
    <w:rsid w:val="009D405C"/>
    <w:rsid w:val="009D40CB"/>
    <w:rsid w:val="009D41C6"/>
    <w:rsid w:val="009D4267"/>
    <w:rsid w:val="009D4397"/>
    <w:rsid w:val="009D43AE"/>
    <w:rsid w:val="009D4681"/>
    <w:rsid w:val="009D48AA"/>
    <w:rsid w:val="009D49C5"/>
    <w:rsid w:val="009D4A2C"/>
    <w:rsid w:val="009D4C9D"/>
    <w:rsid w:val="009D4E74"/>
    <w:rsid w:val="009D4EF5"/>
    <w:rsid w:val="009D4FA1"/>
    <w:rsid w:val="009D5150"/>
    <w:rsid w:val="009D53C0"/>
    <w:rsid w:val="009D5481"/>
    <w:rsid w:val="009D59D1"/>
    <w:rsid w:val="009D5AD3"/>
    <w:rsid w:val="009D5B40"/>
    <w:rsid w:val="009D5D39"/>
    <w:rsid w:val="009D5D67"/>
    <w:rsid w:val="009D5EB3"/>
    <w:rsid w:val="009D5EF4"/>
    <w:rsid w:val="009D5F50"/>
    <w:rsid w:val="009D5FF9"/>
    <w:rsid w:val="009D6016"/>
    <w:rsid w:val="009D6508"/>
    <w:rsid w:val="009D693B"/>
    <w:rsid w:val="009D6BBB"/>
    <w:rsid w:val="009D6D60"/>
    <w:rsid w:val="009D6D83"/>
    <w:rsid w:val="009D6DEF"/>
    <w:rsid w:val="009D7053"/>
    <w:rsid w:val="009D70E5"/>
    <w:rsid w:val="009D71B1"/>
    <w:rsid w:val="009D72B9"/>
    <w:rsid w:val="009D72FD"/>
    <w:rsid w:val="009D73F4"/>
    <w:rsid w:val="009D7523"/>
    <w:rsid w:val="009D780C"/>
    <w:rsid w:val="009D7A19"/>
    <w:rsid w:val="009D7C81"/>
    <w:rsid w:val="009D7E87"/>
    <w:rsid w:val="009D7E9B"/>
    <w:rsid w:val="009D7EB9"/>
    <w:rsid w:val="009E0081"/>
    <w:rsid w:val="009E0383"/>
    <w:rsid w:val="009E0626"/>
    <w:rsid w:val="009E073F"/>
    <w:rsid w:val="009E07C0"/>
    <w:rsid w:val="009E0893"/>
    <w:rsid w:val="009E0AD7"/>
    <w:rsid w:val="009E0DEC"/>
    <w:rsid w:val="009E0E1C"/>
    <w:rsid w:val="009E0EA3"/>
    <w:rsid w:val="009E0F0B"/>
    <w:rsid w:val="009E0F7E"/>
    <w:rsid w:val="009E1039"/>
    <w:rsid w:val="009E12F2"/>
    <w:rsid w:val="009E1462"/>
    <w:rsid w:val="009E1502"/>
    <w:rsid w:val="009E1543"/>
    <w:rsid w:val="009E168B"/>
    <w:rsid w:val="009E1716"/>
    <w:rsid w:val="009E1738"/>
    <w:rsid w:val="009E19B4"/>
    <w:rsid w:val="009E1A22"/>
    <w:rsid w:val="009E1C89"/>
    <w:rsid w:val="009E1E36"/>
    <w:rsid w:val="009E20CE"/>
    <w:rsid w:val="009E2162"/>
    <w:rsid w:val="009E259A"/>
    <w:rsid w:val="009E2602"/>
    <w:rsid w:val="009E271F"/>
    <w:rsid w:val="009E274D"/>
    <w:rsid w:val="009E27D2"/>
    <w:rsid w:val="009E2CEB"/>
    <w:rsid w:val="009E2D30"/>
    <w:rsid w:val="009E2D5C"/>
    <w:rsid w:val="009E2E98"/>
    <w:rsid w:val="009E2EC3"/>
    <w:rsid w:val="009E303E"/>
    <w:rsid w:val="009E3074"/>
    <w:rsid w:val="009E30AC"/>
    <w:rsid w:val="009E31C9"/>
    <w:rsid w:val="009E33B8"/>
    <w:rsid w:val="009E34F4"/>
    <w:rsid w:val="009E36A0"/>
    <w:rsid w:val="009E3921"/>
    <w:rsid w:val="009E3925"/>
    <w:rsid w:val="009E3B32"/>
    <w:rsid w:val="009E3B33"/>
    <w:rsid w:val="009E3B4C"/>
    <w:rsid w:val="009E3B91"/>
    <w:rsid w:val="009E3C8B"/>
    <w:rsid w:val="009E3DC5"/>
    <w:rsid w:val="009E3EF8"/>
    <w:rsid w:val="009E3F86"/>
    <w:rsid w:val="009E4009"/>
    <w:rsid w:val="009E412D"/>
    <w:rsid w:val="009E4304"/>
    <w:rsid w:val="009E4586"/>
    <w:rsid w:val="009E4692"/>
    <w:rsid w:val="009E472F"/>
    <w:rsid w:val="009E47A0"/>
    <w:rsid w:val="009E48E1"/>
    <w:rsid w:val="009E496B"/>
    <w:rsid w:val="009E4A68"/>
    <w:rsid w:val="009E50A4"/>
    <w:rsid w:val="009E51BB"/>
    <w:rsid w:val="009E51DD"/>
    <w:rsid w:val="009E523E"/>
    <w:rsid w:val="009E5A18"/>
    <w:rsid w:val="009E5BEE"/>
    <w:rsid w:val="009E5FA1"/>
    <w:rsid w:val="009E6368"/>
    <w:rsid w:val="009E6380"/>
    <w:rsid w:val="009E63D4"/>
    <w:rsid w:val="009E63FD"/>
    <w:rsid w:val="009E657B"/>
    <w:rsid w:val="009E6690"/>
    <w:rsid w:val="009E675F"/>
    <w:rsid w:val="009E6985"/>
    <w:rsid w:val="009E6BC4"/>
    <w:rsid w:val="009E6C34"/>
    <w:rsid w:val="009E6C95"/>
    <w:rsid w:val="009E6D1D"/>
    <w:rsid w:val="009E6D45"/>
    <w:rsid w:val="009E6ED8"/>
    <w:rsid w:val="009E70A0"/>
    <w:rsid w:val="009E720E"/>
    <w:rsid w:val="009E73E0"/>
    <w:rsid w:val="009E7439"/>
    <w:rsid w:val="009E7B27"/>
    <w:rsid w:val="009E7DFA"/>
    <w:rsid w:val="009E7E61"/>
    <w:rsid w:val="009E7F5B"/>
    <w:rsid w:val="009F012E"/>
    <w:rsid w:val="009F035D"/>
    <w:rsid w:val="009F054B"/>
    <w:rsid w:val="009F0630"/>
    <w:rsid w:val="009F07A5"/>
    <w:rsid w:val="009F0829"/>
    <w:rsid w:val="009F0909"/>
    <w:rsid w:val="009F0E95"/>
    <w:rsid w:val="009F1182"/>
    <w:rsid w:val="009F1663"/>
    <w:rsid w:val="009F167D"/>
    <w:rsid w:val="009F16F3"/>
    <w:rsid w:val="009F186C"/>
    <w:rsid w:val="009F1BF9"/>
    <w:rsid w:val="009F1C01"/>
    <w:rsid w:val="009F1E9F"/>
    <w:rsid w:val="009F20CB"/>
    <w:rsid w:val="009F2123"/>
    <w:rsid w:val="009F2295"/>
    <w:rsid w:val="009F2634"/>
    <w:rsid w:val="009F26A6"/>
    <w:rsid w:val="009F28FA"/>
    <w:rsid w:val="009F298D"/>
    <w:rsid w:val="009F29E8"/>
    <w:rsid w:val="009F2CFD"/>
    <w:rsid w:val="009F2D5B"/>
    <w:rsid w:val="009F307E"/>
    <w:rsid w:val="009F30A1"/>
    <w:rsid w:val="009F320B"/>
    <w:rsid w:val="009F35B5"/>
    <w:rsid w:val="009F3624"/>
    <w:rsid w:val="009F36CA"/>
    <w:rsid w:val="009F37EE"/>
    <w:rsid w:val="009F3824"/>
    <w:rsid w:val="009F3832"/>
    <w:rsid w:val="009F3837"/>
    <w:rsid w:val="009F3C08"/>
    <w:rsid w:val="009F3D05"/>
    <w:rsid w:val="009F3EF5"/>
    <w:rsid w:val="009F41A4"/>
    <w:rsid w:val="009F4280"/>
    <w:rsid w:val="009F4402"/>
    <w:rsid w:val="009F4493"/>
    <w:rsid w:val="009F45C4"/>
    <w:rsid w:val="009F471F"/>
    <w:rsid w:val="009F4AA8"/>
    <w:rsid w:val="009F4E9F"/>
    <w:rsid w:val="009F4F32"/>
    <w:rsid w:val="009F5069"/>
    <w:rsid w:val="009F5078"/>
    <w:rsid w:val="009F512A"/>
    <w:rsid w:val="009F58C9"/>
    <w:rsid w:val="009F59CB"/>
    <w:rsid w:val="009F5B12"/>
    <w:rsid w:val="009F5C64"/>
    <w:rsid w:val="009F5DBE"/>
    <w:rsid w:val="009F5E79"/>
    <w:rsid w:val="009F5F57"/>
    <w:rsid w:val="009F63EE"/>
    <w:rsid w:val="009F644C"/>
    <w:rsid w:val="009F650C"/>
    <w:rsid w:val="009F6616"/>
    <w:rsid w:val="009F67DC"/>
    <w:rsid w:val="009F687D"/>
    <w:rsid w:val="009F68CF"/>
    <w:rsid w:val="009F6BD3"/>
    <w:rsid w:val="009F6F0E"/>
    <w:rsid w:val="009F6F5C"/>
    <w:rsid w:val="009F73CC"/>
    <w:rsid w:val="009F74B8"/>
    <w:rsid w:val="009F7761"/>
    <w:rsid w:val="009F7828"/>
    <w:rsid w:val="009F783A"/>
    <w:rsid w:val="009F79E5"/>
    <w:rsid w:val="009F7A25"/>
    <w:rsid w:val="009F7B50"/>
    <w:rsid w:val="009F7BA9"/>
    <w:rsid w:val="009F7CC1"/>
    <w:rsid w:val="009F7CFF"/>
    <w:rsid w:val="009F7D36"/>
    <w:rsid w:val="009F7DC8"/>
    <w:rsid w:val="009F7F62"/>
    <w:rsid w:val="00A000F9"/>
    <w:rsid w:val="00A00261"/>
    <w:rsid w:val="00A003A6"/>
    <w:rsid w:val="00A004D6"/>
    <w:rsid w:val="00A004F1"/>
    <w:rsid w:val="00A006D8"/>
    <w:rsid w:val="00A00926"/>
    <w:rsid w:val="00A00EB0"/>
    <w:rsid w:val="00A01246"/>
    <w:rsid w:val="00A012A3"/>
    <w:rsid w:val="00A013B0"/>
    <w:rsid w:val="00A013BB"/>
    <w:rsid w:val="00A016DF"/>
    <w:rsid w:val="00A016F5"/>
    <w:rsid w:val="00A01792"/>
    <w:rsid w:val="00A01A69"/>
    <w:rsid w:val="00A01ADE"/>
    <w:rsid w:val="00A01B54"/>
    <w:rsid w:val="00A01D09"/>
    <w:rsid w:val="00A01DE6"/>
    <w:rsid w:val="00A01FBA"/>
    <w:rsid w:val="00A0215E"/>
    <w:rsid w:val="00A0239F"/>
    <w:rsid w:val="00A025E1"/>
    <w:rsid w:val="00A02744"/>
    <w:rsid w:val="00A02B67"/>
    <w:rsid w:val="00A02D36"/>
    <w:rsid w:val="00A02D5D"/>
    <w:rsid w:val="00A02DC7"/>
    <w:rsid w:val="00A02E8F"/>
    <w:rsid w:val="00A02FA5"/>
    <w:rsid w:val="00A02FB9"/>
    <w:rsid w:val="00A03015"/>
    <w:rsid w:val="00A03059"/>
    <w:rsid w:val="00A03178"/>
    <w:rsid w:val="00A032C1"/>
    <w:rsid w:val="00A03325"/>
    <w:rsid w:val="00A03506"/>
    <w:rsid w:val="00A035E9"/>
    <w:rsid w:val="00A035EA"/>
    <w:rsid w:val="00A03802"/>
    <w:rsid w:val="00A0383A"/>
    <w:rsid w:val="00A03858"/>
    <w:rsid w:val="00A03986"/>
    <w:rsid w:val="00A03A59"/>
    <w:rsid w:val="00A03C97"/>
    <w:rsid w:val="00A03D5E"/>
    <w:rsid w:val="00A03FAD"/>
    <w:rsid w:val="00A04096"/>
    <w:rsid w:val="00A040C5"/>
    <w:rsid w:val="00A0419F"/>
    <w:rsid w:val="00A041FB"/>
    <w:rsid w:val="00A042DA"/>
    <w:rsid w:val="00A04338"/>
    <w:rsid w:val="00A043AE"/>
    <w:rsid w:val="00A0441E"/>
    <w:rsid w:val="00A04976"/>
    <w:rsid w:val="00A049C0"/>
    <w:rsid w:val="00A049DA"/>
    <w:rsid w:val="00A04A99"/>
    <w:rsid w:val="00A04B1F"/>
    <w:rsid w:val="00A04EC6"/>
    <w:rsid w:val="00A04FDD"/>
    <w:rsid w:val="00A05073"/>
    <w:rsid w:val="00A05135"/>
    <w:rsid w:val="00A05280"/>
    <w:rsid w:val="00A0528C"/>
    <w:rsid w:val="00A055A5"/>
    <w:rsid w:val="00A05711"/>
    <w:rsid w:val="00A0593B"/>
    <w:rsid w:val="00A05E62"/>
    <w:rsid w:val="00A05F5A"/>
    <w:rsid w:val="00A05FE9"/>
    <w:rsid w:val="00A060AF"/>
    <w:rsid w:val="00A06247"/>
    <w:rsid w:val="00A06384"/>
    <w:rsid w:val="00A0672F"/>
    <w:rsid w:val="00A067CC"/>
    <w:rsid w:val="00A0681E"/>
    <w:rsid w:val="00A0695F"/>
    <w:rsid w:val="00A06D11"/>
    <w:rsid w:val="00A06FBE"/>
    <w:rsid w:val="00A0706A"/>
    <w:rsid w:val="00A07083"/>
    <w:rsid w:val="00A0724B"/>
    <w:rsid w:val="00A0732C"/>
    <w:rsid w:val="00A0739B"/>
    <w:rsid w:val="00A073B9"/>
    <w:rsid w:val="00A07416"/>
    <w:rsid w:val="00A07479"/>
    <w:rsid w:val="00A0749B"/>
    <w:rsid w:val="00A07507"/>
    <w:rsid w:val="00A0754C"/>
    <w:rsid w:val="00A0776B"/>
    <w:rsid w:val="00A07A07"/>
    <w:rsid w:val="00A07C8C"/>
    <w:rsid w:val="00A07CB5"/>
    <w:rsid w:val="00A07CDE"/>
    <w:rsid w:val="00A100B2"/>
    <w:rsid w:val="00A10205"/>
    <w:rsid w:val="00A10274"/>
    <w:rsid w:val="00A10523"/>
    <w:rsid w:val="00A1060F"/>
    <w:rsid w:val="00A10BC1"/>
    <w:rsid w:val="00A10BDC"/>
    <w:rsid w:val="00A10C21"/>
    <w:rsid w:val="00A10EF3"/>
    <w:rsid w:val="00A1106B"/>
    <w:rsid w:val="00A110C8"/>
    <w:rsid w:val="00A11165"/>
    <w:rsid w:val="00A11266"/>
    <w:rsid w:val="00A112B5"/>
    <w:rsid w:val="00A11586"/>
    <w:rsid w:val="00A1184D"/>
    <w:rsid w:val="00A11995"/>
    <w:rsid w:val="00A11B94"/>
    <w:rsid w:val="00A11CC1"/>
    <w:rsid w:val="00A11E04"/>
    <w:rsid w:val="00A11E9E"/>
    <w:rsid w:val="00A11EAE"/>
    <w:rsid w:val="00A11F2D"/>
    <w:rsid w:val="00A121A4"/>
    <w:rsid w:val="00A121D0"/>
    <w:rsid w:val="00A12A85"/>
    <w:rsid w:val="00A12B4E"/>
    <w:rsid w:val="00A12C5F"/>
    <w:rsid w:val="00A12D05"/>
    <w:rsid w:val="00A12D09"/>
    <w:rsid w:val="00A12E49"/>
    <w:rsid w:val="00A12EE2"/>
    <w:rsid w:val="00A12F61"/>
    <w:rsid w:val="00A13070"/>
    <w:rsid w:val="00A13091"/>
    <w:rsid w:val="00A131B4"/>
    <w:rsid w:val="00A1326A"/>
    <w:rsid w:val="00A1334D"/>
    <w:rsid w:val="00A134BA"/>
    <w:rsid w:val="00A136A3"/>
    <w:rsid w:val="00A136F1"/>
    <w:rsid w:val="00A13781"/>
    <w:rsid w:val="00A13873"/>
    <w:rsid w:val="00A13A3E"/>
    <w:rsid w:val="00A13CC1"/>
    <w:rsid w:val="00A13CF8"/>
    <w:rsid w:val="00A13DBA"/>
    <w:rsid w:val="00A13DF4"/>
    <w:rsid w:val="00A14060"/>
    <w:rsid w:val="00A14077"/>
    <w:rsid w:val="00A14078"/>
    <w:rsid w:val="00A140DF"/>
    <w:rsid w:val="00A1442D"/>
    <w:rsid w:val="00A14492"/>
    <w:rsid w:val="00A144C3"/>
    <w:rsid w:val="00A145DD"/>
    <w:rsid w:val="00A14809"/>
    <w:rsid w:val="00A14836"/>
    <w:rsid w:val="00A14942"/>
    <w:rsid w:val="00A14B02"/>
    <w:rsid w:val="00A14E5D"/>
    <w:rsid w:val="00A14F41"/>
    <w:rsid w:val="00A15571"/>
    <w:rsid w:val="00A1566D"/>
    <w:rsid w:val="00A1582E"/>
    <w:rsid w:val="00A158F8"/>
    <w:rsid w:val="00A15931"/>
    <w:rsid w:val="00A15D5F"/>
    <w:rsid w:val="00A15E7C"/>
    <w:rsid w:val="00A15EE7"/>
    <w:rsid w:val="00A16028"/>
    <w:rsid w:val="00A16067"/>
    <w:rsid w:val="00A160AD"/>
    <w:rsid w:val="00A160FA"/>
    <w:rsid w:val="00A162AE"/>
    <w:rsid w:val="00A163D4"/>
    <w:rsid w:val="00A16420"/>
    <w:rsid w:val="00A1644F"/>
    <w:rsid w:val="00A165DA"/>
    <w:rsid w:val="00A16608"/>
    <w:rsid w:val="00A16652"/>
    <w:rsid w:val="00A167EF"/>
    <w:rsid w:val="00A16846"/>
    <w:rsid w:val="00A16AEE"/>
    <w:rsid w:val="00A16B89"/>
    <w:rsid w:val="00A16D41"/>
    <w:rsid w:val="00A16DE4"/>
    <w:rsid w:val="00A16DFF"/>
    <w:rsid w:val="00A16E14"/>
    <w:rsid w:val="00A17112"/>
    <w:rsid w:val="00A17145"/>
    <w:rsid w:val="00A1729D"/>
    <w:rsid w:val="00A1732E"/>
    <w:rsid w:val="00A17340"/>
    <w:rsid w:val="00A1737B"/>
    <w:rsid w:val="00A1743B"/>
    <w:rsid w:val="00A1772E"/>
    <w:rsid w:val="00A177B7"/>
    <w:rsid w:val="00A1790D"/>
    <w:rsid w:val="00A1798B"/>
    <w:rsid w:val="00A17C68"/>
    <w:rsid w:val="00A17CA6"/>
    <w:rsid w:val="00A17D37"/>
    <w:rsid w:val="00A17FE9"/>
    <w:rsid w:val="00A201C8"/>
    <w:rsid w:val="00A20331"/>
    <w:rsid w:val="00A2038D"/>
    <w:rsid w:val="00A20414"/>
    <w:rsid w:val="00A204FF"/>
    <w:rsid w:val="00A205B9"/>
    <w:rsid w:val="00A20773"/>
    <w:rsid w:val="00A2093F"/>
    <w:rsid w:val="00A20B40"/>
    <w:rsid w:val="00A20BAC"/>
    <w:rsid w:val="00A20F4F"/>
    <w:rsid w:val="00A21288"/>
    <w:rsid w:val="00A214F9"/>
    <w:rsid w:val="00A2161C"/>
    <w:rsid w:val="00A2189D"/>
    <w:rsid w:val="00A21907"/>
    <w:rsid w:val="00A21C3C"/>
    <w:rsid w:val="00A21E2C"/>
    <w:rsid w:val="00A21E54"/>
    <w:rsid w:val="00A21E79"/>
    <w:rsid w:val="00A22066"/>
    <w:rsid w:val="00A22186"/>
    <w:rsid w:val="00A223E8"/>
    <w:rsid w:val="00A22489"/>
    <w:rsid w:val="00A2266C"/>
    <w:rsid w:val="00A228AB"/>
    <w:rsid w:val="00A22A9B"/>
    <w:rsid w:val="00A22CA7"/>
    <w:rsid w:val="00A22E98"/>
    <w:rsid w:val="00A22F1E"/>
    <w:rsid w:val="00A22FCE"/>
    <w:rsid w:val="00A22FCF"/>
    <w:rsid w:val="00A232B0"/>
    <w:rsid w:val="00A232F9"/>
    <w:rsid w:val="00A233C6"/>
    <w:rsid w:val="00A233F5"/>
    <w:rsid w:val="00A235E2"/>
    <w:rsid w:val="00A237F8"/>
    <w:rsid w:val="00A23AE5"/>
    <w:rsid w:val="00A23B0A"/>
    <w:rsid w:val="00A23B0F"/>
    <w:rsid w:val="00A23D02"/>
    <w:rsid w:val="00A240B8"/>
    <w:rsid w:val="00A2414C"/>
    <w:rsid w:val="00A2426E"/>
    <w:rsid w:val="00A2449F"/>
    <w:rsid w:val="00A244A1"/>
    <w:rsid w:val="00A244CF"/>
    <w:rsid w:val="00A24524"/>
    <w:rsid w:val="00A24923"/>
    <w:rsid w:val="00A24A0F"/>
    <w:rsid w:val="00A24A3B"/>
    <w:rsid w:val="00A24DF8"/>
    <w:rsid w:val="00A24F35"/>
    <w:rsid w:val="00A252AE"/>
    <w:rsid w:val="00A25338"/>
    <w:rsid w:val="00A25342"/>
    <w:rsid w:val="00A2550B"/>
    <w:rsid w:val="00A256BF"/>
    <w:rsid w:val="00A2576B"/>
    <w:rsid w:val="00A25855"/>
    <w:rsid w:val="00A258C9"/>
    <w:rsid w:val="00A25956"/>
    <w:rsid w:val="00A25A64"/>
    <w:rsid w:val="00A25B69"/>
    <w:rsid w:val="00A25BA4"/>
    <w:rsid w:val="00A25D2C"/>
    <w:rsid w:val="00A25E8C"/>
    <w:rsid w:val="00A25FE5"/>
    <w:rsid w:val="00A26021"/>
    <w:rsid w:val="00A2606C"/>
    <w:rsid w:val="00A262A7"/>
    <w:rsid w:val="00A2636E"/>
    <w:rsid w:val="00A2641C"/>
    <w:rsid w:val="00A264C6"/>
    <w:rsid w:val="00A2654B"/>
    <w:rsid w:val="00A2663E"/>
    <w:rsid w:val="00A266F5"/>
    <w:rsid w:val="00A2670B"/>
    <w:rsid w:val="00A267AD"/>
    <w:rsid w:val="00A269B0"/>
    <w:rsid w:val="00A26A22"/>
    <w:rsid w:val="00A26AE9"/>
    <w:rsid w:val="00A26B16"/>
    <w:rsid w:val="00A26B62"/>
    <w:rsid w:val="00A2703B"/>
    <w:rsid w:val="00A27044"/>
    <w:rsid w:val="00A2717A"/>
    <w:rsid w:val="00A271DA"/>
    <w:rsid w:val="00A271E8"/>
    <w:rsid w:val="00A27265"/>
    <w:rsid w:val="00A274E3"/>
    <w:rsid w:val="00A275FB"/>
    <w:rsid w:val="00A276A2"/>
    <w:rsid w:val="00A276F8"/>
    <w:rsid w:val="00A276FD"/>
    <w:rsid w:val="00A2792D"/>
    <w:rsid w:val="00A27966"/>
    <w:rsid w:val="00A27982"/>
    <w:rsid w:val="00A27BFD"/>
    <w:rsid w:val="00A27C79"/>
    <w:rsid w:val="00A27E35"/>
    <w:rsid w:val="00A27FF6"/>
    <w:rsid w:val="00A30074"/>
    <w:rsid w:val="00A300F7"/>
    <w:rsid w:val="00A3028D"/>
    <w:rsid w:val="00A302D2"/>
    <w:rsid w:val="00A3054C"/>
    <w:rsid w:val="00A309F0"/>
    <w:rsid w:val="00A30A3F"/>
    <w:rsid w:val="00A30C1D"/>
    <w:rsid w:val="00A30C64"/>
    <w:rsid w:val="00A30C79"/>
    <w:rsid w:val="00A30E4C"/>
    <w:rsid w:val="00A30EFC"/>
    <w:rsid w:val="00A30F2F"/>
    <w:rsid w:val="00A31662"/>
    <w:rsid w:val="00A3172D"/>
    <w:rsid w:val="00A31866"/>
    <w:rsid w:val="00A31869"/>
    <w:rsid w:val="00A31904"/>
    <w:rsid w:val="00A31A5A"/>
    <w:rsid w:val="00A31B51"/>
    <w:rsid w:val="00A31C42"/>
    <w:rsid w:val="00A31C61"/>
    <w:rsid w:val="00A31D6C"/>
    <w:rsid w:val="00A31DE4"/>
    <w:rsid w:val="00A31F2F"/>
    <w:rsid w:val="00A31FB6"/>
    <w:rsid w:val="00A324F3"/>
    <w:rsid w:val="00A32537"/>
    <w:rsid w:val="00A326B6"/>
    <w:rsid w:val="00A32747"/>
    <w:rsid w:val="00A328D8"/>
    <w:rsid w:val="00A329E9"/>
    <w:rsid w:val="00A32AEE"/>
    <w:rsid w:val="00A32C28"/>
    <w:rsid w:val="00A32C3F"/>
    <w:rsid w:val="00A32C43"/>
    <w:rsid w:val="00A32D4B"/>
    <w:rsid w:val="00A32E15"/>
    <w:rsid w:val="00A32EC8"/>
    <w:rsid w:val="00A32F91"/>
    <w:rsid w:val="00A32FB7"/>
    <w:rsid w:val="00A33633"/>
    <w:rsid w:val="00A33786"/>
    <w:rsid w:val="00A338A1"/>
    <w:rsid w:val="00A338DE"/>
    <w:rsid w:val="00A33E1C"/>
    <w:rsid w:val="00A33E4A"/>
    <w:rsid w:val="00A33FB1"/>
    <w:rsid w:val="00A340AD"/>
    <w:rsid w:val="00A34324"/>
    <w:rsid w:val="00A34333"/>
    <w:rsid w:val="00A343B5"/>
    <w:rsid w:val="00A34434"/>
    <w:rsid w:val="00A34759"/>
    <w:rsid w:val="00A34A5B"/>
    <w:rsid w:val="00A34CDD"/>
    <w:rsid w:val="00A34D60"/>
    <w:rsid w:val="00A34FE2"/>
    <w:rsid w:val="00A35491"/>
    <w:rsid w:val="00A35532"/>
    <w:rsid w:val="00A35D95"/>
    <w:rsid w:val="00A35DAC"/>
    <w:rsid w:val="00A35DAD"/>
    <w:rsid w:val="00A35E62"/>
    <w:rsid w:val="00A35E9D"/>
    <w:rsid w:val="00A35F72"/>
    <w:rsid w:val="00A35F98"/>
    <w:rsid w:val="00A35FC5"/>
    <w:rsid w:val="00A35FCD"/>
    <w:rsid w:val="00A360BC"/>
    <w:rsid w:val="00A362BA"/>
    <w:rsid w:val="00A36327"/>
    <w:rsid w:val="00A363C8"/>
    <w:rsid w:val="00A365F8"/>
    <w:rsid w:val="00A366C4"/>
    <w:rsid w:val="00A36717"/>
    <w:rsid w:val="00A36721"/>
    <w:rsid w:val="00A36910"/>
    <w:rsid w:val="00A36BBC"/>
    <w:rsid w:val="00A36D40"/>
    <w:rsid w:val="00A36FBC"/>
    <w:rsid w:val="00A370DD"/>
    <w:rsid w:val="00A37395"/>
    <w:rsid w:val="00A373A1"/>
    <w:rsid w:val="00A37563"/>
    <w:rsid w:val="00A376B5"/>
    <w:rsid w:val="00A37A17"/>
    <w:rsid w:val="00A37AFA"/>
    <w:rsid w:val="00A37B5D"/>
    <w:rsid w:val="00A37BB3"/>
    <w:rsid w:val="00A37BB5"/>
    <w:rsid w:val="00A37D66"/>
    <w:rsid w:val="00A37E8D"/>
    <w:rsid w:val="00A401CC"/>
    <w:rsid w:val="00A40447"/>
    <w:rsid w:val="00A40461"/>
    <w:rsid w:val="00A40508"/>
    <w:rsid w:val="00A4051A"/>
    <w:rsid w:val="00A40745"/>
    <w:rsid w:val="00A40773"/>
    <w:rsid w:val="00A40AB4"/>
    <w:rsid w:val="00A40B4A"/>
    <w:rsid w:val="00A4105B"/>
    <w:rsid w:val="00A411B3"/>
    <w:rsid w:val="00A4122D"/>
    <w:rsid w:val="00A4154A"/>
    <w:rsid w:val="00A415D7"/>
    <w:rsid w:val="00A4174F"/>
    <w:rsid w:val="00A4186E"/>
    <w:rsid w:val="00A41A8A"/>
    <w:rsid w:val="00A41E2D"/>
    <w:rsid w:val="00A42048"/>
    <w:rsid w:val="00A420A0"/>
    <w:rsid w:val="00A42116"/>
    <w:rsid w:val="00A421B1"/>
    <w:rsid w:val="00A4223F"/>
    <w:rsid w:val="00A42348"/>
    <w:rsid w:val="00A423C9"/>
    <w:rsid w:val="00A423FF"/>
    <w:rsid w:val="00A424B5"/>
    <w:rsid w:val="00A426CB"/>
    <w:rsid w:val="00A42736"/>
    <w:rsid w:val="00A42981"/>
    <w:rsid w:val="00A42A03"/>
    <w:rsid w:val="00A42A0F"/>
    <w:rsid w:val="00A42AA5"/>
    <w:rsid w:val="00A42AA9"/>
    <w:rsid w:val="00A42B10"/>
    <w:rsid w:val="00A43138"/>
    <w:rsid w:val="00A4331D"/>
    <w:rsid w:val="00A43323"/>
    <w:rsid w:val="00A43498"/>
    <w:rsid w:val="00A434E9"/>
    <w:rsid w:val="00A43523"/>
    <w:rsid w:val="00A43562"/>
    <w:rsid w:val="00A4366B"/>
    <w:rsid w:val="00A43AB6"/>
    <w:rsid w:val="00A43AF3"/>
    <w:rsid w:val="00A43DA6"/>
    <w:rsid w:val="00A43E77"/>
    <w:rsid w:val="00A43F16"/>
    <w:rsid w:val="00A4405E"/>
    <w:rsid w:val="00A44099"/>
    <w:rsid w:val="00A441EF"/>
    <w:rsid w:val="00A4423B"/>
    <w:rsid w:val="00A44399"/>
    <w:rsid w:val="00A44544"/>
    <w:rsid w:val="00A4464C"/>
    <w:rsid w:val="00A447EB"/>
    <w:rsid w:val="00A44AB3"/>
    <w:rsid w:val="00A44AE4"/>
    <w:rsid w:val="00A44D14"/>
    <w:rsid w:val="00A44D1B"/>
    <w:rsid w:val="00A45303"/>
    <w:rsid w:val="00A453CC"/>
    <w:rsid w:val="00A45469"/>
    <w:rsid w:val="00A456DB"/>
    <w:rsid w:val="00A4582E"/>
    <w:rsid w:val="00A458CA"/>
    <w:rsid w:val="00A459DF"/>
    <w:rsid w:val="00A45B7E"/>
    <w:rsid w:val="00A45C7C"/>
    <w:rsid w:val="00A45CED"/>
    <w:rsid w:val="00A45E04"/>
    <w:rsid w:val="00A45E38"/>
    <w:rsid w:val="00A45FD6"/>
    <w:rsid w:val="00A46360"/>
    <w:rsid w:val="00A464B9"/>
    <w:rsid w:val="00A4668E"/>
    <w:rsid w:val="00A468A6"/>
    <w:rsid w:val="00A469F2"/>
    <w:rsid w:val="00A46A0E"/>
    <w:rsid w:val="00A46BBA"/>
    <w:rsid w:val="00A46DB5"/>
    <w:rsid w:val="00A46F39"/>
    <w:rsid w:val="00A47078"/>
    <w:rsid w:val="00A4716C"/>
    <w:rsid w:val="00A471B8"/>
    <w:rsid w:val="00A475DC"/>
    <w:rsid w:val="00A47ED5"/>
    <w:rsid w:val="00A47F21"/>
    <w:rsid w:val="00A50255"/>
    <w:rsid w:val="00A503A6"/>
    <w:rsid w:val="00A5047B"/>
    <w:rsid w:val="00A50648"/>
    <w:rsid w:val="00A5068B"/>
    <w:rsid w:val="00A50844"/>
    <w:rsid w:val="00A50872"/>
    <w:rsid w:val="00A50A51"/>
    <w:rsid w:val="00A50A82"/>
    <w:rsid w:val="00A50C22"/>
    <w:rsid w:val="00A50C2D"/>
    <w:rsid w:val="00A50DEA"/>
    <w:rsid w:val="00A50F4A"/>
    <w:rsid w:val="00A50FBE"/>
    <w:rsid w:val="00A510F5"/>
    <w:rsid w:val="00A5121D"/>
    <w:rsid w:val="00A512EC"/>
    <w:rsid w:val="00A513B7"/>
    <w:rsid w:val="00A51415"/>
    <w:rsid w:val="00A51454"/>
    <w:rsid w:val="00A51459"/>
    <w:rsid w:val="00A514A9"/>
    <w:rsid w:val="00A514AA"/>
    <w:rsid w:val="00A5160E"/>
    <w:rsid w:val="00A5161A"/>
    <w:rsid w:val="00A51669"/>
    <w:rsid w:val="00A5166C"/>
    <w:rsid w:val="00A51A04"/>
    <w:rsid w:val="00A51A78"/>
    <w:rsid w:val="00A51AA2"/>
    <w:rsid w:val="00A51ECE"/>
    <w:rsid w:val="00A52089"/>
    <w:rsid w:val="00A522E2"/>
    <w:rsid w:val="00A523D7"/>
    <w:rsid w:val="00A524BE"/>
    <w:rsid w:val="00A5265C"/>
    <w:rsid w:val="00A52660"/>
    <w:rsid w:val="00A527AB"/>
    <w:rsid w:val="00A52889"/>
    <w:rsid w:val="00A528C0"/>
    <w:rsid w:val="00A528C1"/>
    <w:rsid w:val="00A528F9"/>
    <w:rsid w:val="00A52A18"/>
    <w:rsid w:val="00A52A82"/>
    <w:rsid w:val="00A52EC8"/>
    <w:rsid w:val="00A52F1E"/>
    <w:rsid w:val="00A52F69"/>
    <w:rsid w:val="00A52F9A"/>
    <w:rsid w:val="00A52FE7"/>
    <w:rsid w:val="00A531B9"/>
    <w:rsid w:val="00A532A2"/>
    <w:rsid w:val="00A5340C"/>
    <w:rsid w:val="00A534C8"/>
    <w:rsid w:val="00A5356C"/>
    <w:rsid w:val="00A53613"/>
    <w:rsid w:val="00A53714"/>
    <w:rsid w:val="00A537A3"/>
    <w:rsid w:val="00A53D1D"/>
    <w:rsid w:val="00A542D7"/>
    <w:rsid w:val="00A54420"/>
    <w:rsid w:val="00A544B0"/>
    <w:rsid w:val="00A54521"/>
    <w:rsid w:val="00A54658"/>
    <w:rsid w:val="00A54754"/>
    <w:rsid w:val="00A54C3A"/>
    <w:rsid w:val="00A550C9"/>
    <w:rsid w:val="00A551FD"/>
    <w:rsid w:val="00A552C4"/>
    <w:rsid w:val="00A555E1"/>
    <w:rsid w:val="00A55843"/>
    <w:rsid w:val="00A5593E"/>
    <w:rsid w:val="00A55992"/>
    <w:rsid w:val="00A55C20"/>
    <w:rsid w:val="00A55C79"/>
    <w:rsid w:val="00A55CA8"/>
    <w:rsid w:val="00A55E78"/>
    <w:rsid w:val="00A55F51"/>
    <w:rsid w:val="00A55FE6"/>
    <w:rsid w:val="00A56102"/>
    <w:rsid w:val="00A561DA"/>
    <w:rsid w:val="00A56257"/>
    <w:rsid w:val="00A56295"/>
    <w:rsid w:val="00A563E5"/>
    <w:rsid w:val="00A568BF"/>
    <w:rsid w:val="00A568ED"/>
    <w:rsid w:val="00A569CC"/>
    <w:rsid w:val="00A56B65"/>
    <w:rsid w:val="00A56B6A"/>
    <w:rsid w:val="00A56BD4"/>
    <w:rsid w:val="00A56D23"/>
    <w:rsid w:val="00A56E5F"/>
    <w:rsid w:val="00A56F58"/>
    <w:rsid w:val="00A56F86"/>
    <w:rsid w:val="00A56FA9"/>
    <w:rsid w:val="00A5722C"/>
    <w:rsid w:val="00A57370"/>
    <w:rsid w:val="00A573AF"/>
    <w:rsid w:val="00A574CF"/>
    <w:rsid w:val="00A57902"/>
    <w:rsid w:val="00A57CCA"/>
    <w:rsid w:val="00A57DE2"/>
    <w:rsid w:val="00A57E28"/>
    <w:rsid w:val="00A57EA1"/>
    <w:rsid w:val="00A57FC0"/>
    <w:rsid w:val="00A6048E"/>
    <w:rsid w:val="00A607D7"/>
    <w:rsid w:val="00A608D8"/>
    <w:rsid w:val="00A609FB"/>
    <w:rsid w:val="00A60C5C"/>
    <w:rsid w:val="00A60C77"/>
    <w:rsid w:val="00A60D0C"/>
    <w:rsid w:val="00A60D28"/>
    <w:rsid w:val="00A60D58"/>
    <w:rsid w:val="00A61019"/>
    <w:rsid w:val="00A61096"/>
    <w:rsid w:val="00A61214"/>
    <w:rsid w:val="00A61425"/>
    <w:rsid w:val="00A6158A"/>
    <w:rsid w:val="00A6167E"/>
    <w:rsid w:val="00A618BD"/>
    <w:rsid w:val="00A619F7"/>
    <w:rsid w:val="00A61AEC"/>
    <w:rsid w:val="00A61B98"/>
    <w:rsid w:val="00A61F42"/>
    <w:rsid w:val="00A61FB7"/>
    <w:rsid w:val="00A61FC6"/>
    <w:rsid w:val="00A62043"/>
    <w:rsid w:val="00A62217"/>
    <w:rsid w:val="00A62304"/>
    <w:rsid w:val="00A6233C"/>
    <w:rsid w:val="00A62442"/>
    <w:rsid w:val="00A6299A"/>
    <w:rsid w:val="00A62C39"/>
    <w:rsid w:val="00A62D82"/>
    <w:rsid w:val="00A62DBF"/>
    <w:rsid w:val="00A62DCA"/>
    <w:rsid w:val="00A62E6B"/>
    <w:rsid w:val="00A62F3E"/>
    <w:rsid w:val="00A63056"/>
    <w:rsid w:val="00A63129"/>
    <w:rsid w:val="00A6316D"/>
    <w:rsid w:val="00A631D0"/>
    <w:rsid w:val="00A632B0"/>
    <w:rsid w:val="00A63330"/>
    <w:rsid w:val="00A6335D"/>
    <w:rsid w:val="00A633A2"/>
    <w:rsid w:val="00A633D7"/>
    <w:rsid w:val="00A6342F"/>
    <w:rsid w:val="00A63552"/>
    <w:rsid w:val="00A63654"/>
    <w:rsid w:val="00A636A5"/>
    <w:rsid w:val="00A637A4"/>
    <w:rsid w:val="00A6389C"/>
    <w:rsid w:val="00A639BC"/>
    <w:rsid w:val="00A63B9F"/>
    <w:rsid w:val="00A63E55"/>
    <w:rsid w:val="00A6408D"/>
    <w:rsid w:val="00A640E4"/>
    <w:rsid w:val="00A64112"/>
    <w:rsid w:val="00A642CE"/>
    <w:rsid w:val="00A6436D"/>
    <w:rsid w:val="00A644D5"/>
    <w:rsid w:val="00A6465F"/>
    <w:rsid w:val="00A6473B"/>
    <w:rsid w:val="00A6491D"/>
    <w:rsid w:val="00A64B7F"/>
    <w:rsid w:val="00A64C7F"/>
    <w:rsid w:val="00A64CCD"/>
    <w:rsid w:val="00A64F0C"/>
    <w:rsid w:val="00A650FC"/>
    <w:rsid w:val="00A6515A"/>
    <w:rsid w:val="00A6542A"/>
    <w:rsid w:val="00A656B9"/>
    <w:rsid w:val="00A6582E"/>
    <w:rsid w:val="00A65893"/>
    <w:rsid w:val="00A658D9"/>
    <w:rsid w:val="00A65A15"/>
    <w:rsid w:val="00A65B35"/>
    <w:rsid w:val="00A65BFE"/>
    <w:rsid w:val="00A65CB9"/>
    <w:rsid w:val="00A65E62"/>
    <w:rsid w:val="00A65FFD"/>
    <w:rsid w:val="00A6606C"/>
    <w:rsid w:val="00A66139"/>
    <w:rsid w:val="00A661AF"/>
    <w:rsid w:val="00A66364"/>
    <w:rsid w:val="00A663DC"/>
    <w:rsid w:val="00A66470"/>
    <w:rsid w:val="00A66514"/>
    <w:rsid w:val="00A66559"/>
    <w:rsid w:val="00A6670C"/>
    <w:rsid w:val="00A66A9E"/>
    <w:rsid w:val="00A66ADE"/>
    <w:rsid w:val="00A66B41"/>
    <w:rsid w:val="00A66C10"/>
    <w:rsid w:val="00A66C2C"/>
    <w:rsid w:val="00A67150"/>
    <w:rsid w:val="00A67324"/>
    <w:rsid w:val="00A673EC"/>
    <w:rsid w:val="00A674A3"/>
    <w:rsid w:val="00A6754B"/>
    <w:rsid w:val="00A675C9"/>
    <w:rsid w:val="00A675CB"/>
    <w:rsid w:val="00A67642"/>
    <w:rsid w:val="00A677BC"/>
    <w:rsid w:val="00A67907"/>
    <w:rsid w:val="00A67A26"/>
    <w:rsid w:val="00A67B43"/>
    <w:rsid w:val="00A67D94"/>
    <w:rsid w:val="00A700FA"/>
    <w:rsid w:val="00A70172"/>
    <w:rsid w:val="00A7023A"/>
    <w:rsid w:val="00A70436"/>
    <w:rsid w:val="00A7054D"/>
    <w:rsid w:val="00A705D3"/>
    <w:rsid w:val="00A705E1"/>
    <w:rsid w:val="00A70601"/>
    <w:rsid w:val="00A7066B"/>
    <w:rsid w:val="00A706B5"/>
    <w:rsid w:val="00A70727"/>
    <w:rsid w:val="00A70730"/>
    <w:rsid w:val="00A70798"/>
    <w:rsid w:val="00A70B0A"/>
    <w:rsid w:val="00A70BD2"/>
    <w:rsid w:val="00A70E31"/>
    <w:rsid w:val="00A71019"/>
    <w:rsid w:val="00A7117B"/>
    <w:rsid w:val="00A712B2"/>
    <w:rsid w:val="00A7130E"/>
    <w:rsid w:val="00A71311"/>
    <w:rsid w:val="00A71314"/>
    <w:rsid w:val="00A71571"/>
    <w:rsid w:val="00A715B7"/>
    <w:rsid w:val="00A71878"/>
    <w:rsid w:val="00A71BBF"/>
    <w:rsid w:val="00A71BFB"/>
    <w:rsid w:val="00A71D23"/>
    <w:rsid w:val="00A71EC9"/>
    <w:rsid w:val="00A71F04"/>
    <w:rsid w:val="00A71FEB"/>
    <w:rsid w:val="00A72307"/>
    <w:rsid w:val="00A7230C"/>
    <w:rsid w:val="00A7251C"/>
    <w:rsid w:val="00A7262B"/>
    <w:rsid w:val="00A72732"/>
    <w:rsid w:val="00A72A97"/>
    <w:rsid w:val="00A72C6A"/>
    <w:rsid w:val="00A72C80"/>
    <w:rsid w:val="00A72D4D"/>
    <w:rsid w:val="00A72D73"/>
    <w:rsid w:val="00A72E05"/>
    <w:rsid w:val="00A72FAA"/>
    <w:rsid w:val="00A72FE8"/>
    <w:rsid w:val="00A730D2"/>
    <w:rsid w:val="00A7319B"/>
    <w:rsid w:val="00A73243"/>
    <w:rsid w:val="00A7328A"/>
    <w:rsid w:val="00A7328D"/>
    <w:rsid w:val="00A732B9"/>
    <w:rsid w:val="00A737EA"/>
    <w:rsid w:val="00A739B6"/>
    <w:rsid w:val="00A73C5F"/>
    <w:rsid w:val="00A73D43"/>
    <w:rsid w:val="00A73D51"/>
    <w:rsid w:val="00A740D1"/>
    <w:rsid w:val="00A7418E"/>
    <w:rsid w:val="00A74235"/>
    <w:rsid w:val="00A742C2"/>
    <w:rsid w:val="00A744BB"/>
    <w:rsid w:val="00A7463F"/>
    <w:rsid w:val="00A747D7"/>
    <w:rsid w:val="00A74806"/>
    <w:rsid w:val="00A749A8"/>
    <w:rsid w:val="00A74B43"/>
    <w:rsid w:val="00A74B84"/>
    <w:rsid w:val="00A74C4F"/>
    <w:rsid w:val="00A74D1D"/>
    <w:rsid w:val="00A74DEF"/>
    <w:rsid w:val="00A74F4F"/>
    <w:rsid w:val="00A74FED"/>
    <w:rsid w:val="00A7530F"/>
    <w:rsid w:val="00A753CA"/>
    <w:rsid w:val="00A753EB"/>
    <w:rsid w:val="00A75606"/>
    <w:rsid w:val="00A757D2"/>
    <w:rsid w:val="00A75872"/>
    <w:rsid w:val="00A75C23"/>
    <w:rsid w:val="00A75ECD"/>
    <w:rsid w:val="00A75F9D"/>
    <w:rsid w:val="00A75FE7"/>
    <w:rsid w:val="00A7612E"/>
    <w:rsid w:val="00A761D1"/>
    <w:rsid w:val="00A76289"/>
    <w:rsid w:val="00A764DF"/>
    <w:rsid w:val="00A76868"/>
    <w:rsid w:val="00A76B79"/>
    <w:rsid w:val="00A76B99"/>
    <w:rsid w:val="00A770C2"/>
    <w:rsid w:val="00A77118"/>
    <w:rsid w:val="00A7717C"/>
    <w:rsid w:val="00A7730B"/>
    <w:rsid w:val="00A7741C"/>
    <w:rsid w:val="00A77567"/>
    <w:rsid w:val="00A776D2"/>
    <w:rsid w:val="00A776E3"/>
    <w:rsid w:val="00A77799"/>
    <w:rsid w:val="00A778CF"/>
    <w:rsid w:val="00A778F2"/>
    <w:rsid w:val="00A779A1"/>
    <w:rsid w:val="00A77A46"/>
    <w:rsid w:val="00A77BBC"/>
    <w:rsid w:val="00A77C8B"/>
    <w:rsid w:val="00A77D60"/>
    <w:rsid w:val="00A77D66"/>
    <w:rsid w:val="00A77E37"/>
    <w:rsid w:val="00A77E38"/>
    <w:rsid w:val="00A80025"/>
    <w:rsid w:val="00A8006E"/>
    <w:rsid w:val="00A80188"/>
    <w:rsid w:val="00A803A4"/>
    <w:rsid w:val="00A80769"/>
    <w:rsid w:val="00A80809"/>
    <w:rsid w:val="00A8089E"/>
    <w:rsid w:val="00A809A6"/>
    <w:rsid w:val="00A80AFF"/>
    <w:rsid w:val="00A80B5A"/>
    <w:rsid w:val="00A80DFF"/>
    <w:rsid w:val="00A81120"/>
    <w:rsid w:val="00A8113D"/>
    <w:rsid w:val="00A8115D"/>
    <w:rsid w:val="00A81183"/>
    <w:rsid w:val="00A81263"/>
    <w:rsid w:val="00A816E5"/>
    <w:rsid w:val="00A817D3"/>
    <w:rsid w:val="00A817D4"/>
    <w:rsid w:val="00A817EB"/>
    <w:rsid w:val="00A81CD2"/>
    <w:rsid w:val="00A81F0D"/>
    <w:rsid w:val="00A820B3"/>
    <w:rsid w:val="00A82197"/>
    <w:rsid w:val="00A8242E"/>
    <w:rsid w:val="00A82430"/>
    <w:rsid w:val="00A82569"/>
    <w:rsid w:val="00A8261A"/>
    <w:rsid w:val="00A8266D"/>
    <w:rsid w:val="00A82809"/>
    <w:rsid w:val="00A828A7"/>
    <w:rsid w:val="00A828DE"/>
    <w:rsid w:val="00A829F4"/>
    <w:rsid w:val="00A82A3B"/>
    <w:rsid w:val="00A82A79"/>
    <w:rsid w:val="00A82AFD"/>
    <w:rsid w:val="00A82B0E"/>
    <w:rsid w:val="00A82BA2"/>
    <w:rsid w:val="00A82C77"/>
    <w:rsid w:val="00A82E30"/>
    <w:rsid w:val="00A82F29"/>
    <w:rsid w:val="00A82F5E"/>
    <w:rsid w:val="00A83220"/>
    <w:rsid w:val="00A83398"/>
    <w:rsid w:val="00A8356B"/>
    <w:rsid w:val="00A83721"/>
    <w:rsid w:val="00A8376A"/>
    <w:rsid w:val="00A83981"/>
    <w:rsid w:val="00A83A62"/>
    <w:rsid w:val="00A83A71"/>
    <w:rsid w:val="00A83B67"/>
    <w:rsid w:val="00A83DF4"/>
    <w:rsid w:val="00A83EA3"/>
    <w:rsid w:val="00A83F25"/>
    <w:rsid w:val="00A84447"/>
    <w:rsid w:val="00A84495"/>
    <w:rsid w:val="00A84548"/>
    <w:rsid w:val="00A84788"/>
    <w:rsid w:val="00A84894"/>
    <w:rsid w:val="00A8494A"/>
    <w:rsid w:val="00A849EA"/>
    <w:rsid w:val="00A84BC1"/>
    <w:rsid w:val="00A84D77"/>
    <w:rsid w:val="00A84D8E"/>
    <w:rsid w:val="00A84DC7"/>
    <w:rsid w:val="00A84EF3"/>
    <w:rsid w:val="00A85024"/>
    <w:rsid w:val="00A85037"/>
    <w:rsid w:val="00A85193"/>
    <w:rsid w:val="00A85282"/>
    <w:rsid w:val="00A85456"/>
    <w:rsid w:val="00A85595"/>
    <w:rsid w:val="00A85632"/>
    <w:rsid w:val="00A85ABD"/>
    <w:rsid w:val="00A85F39"/>
    <w:rsid w:val="00A85F40"/>
    <w:rsid w:val="00A86070"/>
    <w:rsid w:val="00A860B2"/>
    <w:rsid w:val="00A860C8"/>
    <w:rsid w:val="00A861DB"/>
    <w:rsid w:val="00A862CC"/>
    <w:rsid w:val="00A8631A"/>
    <w:rsid w:val="00A8694B"/>
    <w:rsid w:val="00A86B46"/>
    <w:rsid w:val="00A86C3E"/>
    <w:rsid w:val="00A86D61"/>
    <w:rsid w:val="00A86E16"/>
    <w:rsid w:val="00A86F19"/>
    <w:rsid w:val="00A86F57"/>
    <w:rsid w:val="00A86FDE"/>
    <w:rsid w:val="00A873FD"/>
    <w:rsid w:val="00A8762A"/>
    <w:rsid w:val="00A8775A"/>
    <w:rsid w:val="00A87C92"/>
    <w:rsid w:val="00A87CA4"/>
    <w:rsid w:val="00A87E18"/>
    <w:rsid w:val="00A9000B"/>
    <w:rsid w:val="00A901BA"/>
    <w:rsid w:val="00A90363"/>
    <w:rsid w:val="00A903ED"/>
    <w:rsid w:val="00A9054F"/>
    <w:rsid w:val="00A9064A"/>
    <w:rsid w:val="00A906DF"/>
    <w:rsid w:val="00A9077D"/>
    <w:rsid w:val="00A90805"/>
    <w:rsid w:val="00A9096A"/>
    <w:rsid w:val="00A90A1A"/>
    <w:rsid w:val="00A90AFA"/>
    <w:rsid w:val="00A90B09"/>
    <w:rsid w:val="00A90B14"/>
    <w:rsid w:val="00A90C14"/>
    <w:rsid w:val="00A90E99"/>
    <w:rsid w:val="00A91082"/>
    <w:rsid w:val="00A91123"/>
    <w:rsid w:val="00A915AC"/>
    <w:rsid w:val="00A915BF"/>
    <w:rsid w:val="00A916AE"/>
    <w:rsid w:val="00A9186A"/>
    <w:rsid w:val="00A918B2"/>
    <w:rsid w:val="00A9191C"/>
    <w:rsid w:val="00A9197F"/>
    <w:rsid w:val="00A91C35"/>
    <w:rsid w:val="00A91C55"/>
    <w:rsid w:val="00A91C5E"/>
    <w:rsid w:val="00A91E8F"/>
    <w:rsid w:val="00A91ED5"/>
    <w:rsid w:val="00A91EF1"/>
    <w:rsid w:val="00A91F7B"/>
    <w:rsid w:val="00A921F2"/>
    <w:rsid w:val="00A92330"/>
    <w:rsid w:val="00A923A2"/>
    <w:rsid w:val="00A92550"/>
    <w:rsid w:val="00A9258E"/>
    <w:rsid w:val="00A9267A"/>
    <w:rsid w:val="00A927F8"/>
    <w:rsid w:val="00A9286D"/>
    <w:rsid w:val="00A92897"/>
    <w:rsid w:val="00A92983"/>
    <w:rsid w:val="00A92984"/>
    <w:rsid w:val="00A929B0"/>
    <w:rsid w:val="00A929C5"/>
    <w:rsid w:val="00A92B31"/>
    <w:rsid w:val="00A92DCB"/>
    <w:rsid w:val="00A92FE4"/>
    <w:rsid w:val="00A93127"/>
    <w:rsid w:val="00A9321F"/>
    <w:rsid w:val="00A93327"/>
    <w:rsid w:val="00A9346C"/>
    <w:rsid w:val="00A934B4"/>
    <w:rsid w:val="00A9354E"/>
    <w:rsid w:val="00A9358C"/>
    <w:rsid w:val="00A9373F"/>
    <w:rsid w:val="00A9379A"/>
    <w:rsid w:val="00A9396F"/>
    <w:rsid w:val="00A93BF4"/>
    <w:rsid w:val="00A93C5F"/>
    <w:rsid w:val="00A93CF2"/>
    <w:rsid w:val="00A93E82"/>
    <w:rsid w:val="00A93F0C"/>
    <w:rsid w:val="00A94ACC"/>
    <w:rsid w:val="00A94C27"/>
    <w:rsid w:val="00A94C6A"/>
    <w:rsid w:val="00A94C7E"/>
    <w:rsid w:val="00A94CC2"/>
    <w:rsid w:val="00A94E4E"/>
    <w:rsid w:val="00A94EBE"/>
    <w:rsid w:val="00A94EEE"/>
    <w:rsid w:val="00A9522D"/>
    <w:rsid w:val="00A95285"/>
    <w:rsid w:val="00A9529D"/>
    <w:rsid w:val="00A952E8"/>
    <w:rsid w:val="00A9531B"/>
    <w:rsid w:val="00A95588"/>
    <w:rsid w:val="00A9567D"/>
    <w:rsid w:val="00A956E9"/>
    <w:rsid w:val="00A9589F"/>
    <w:rsid w:val="00A958B7"/>
    <w:rsid w:val="00A95AAB"/>
    <w:rsid w:val="00A95CA1"/>
    <w:rsid w:val="00A95D77"/>
    <w:rsid w:val="00A965D0"/>
    <w:rsid w:val="00A966CF"/>
    <w:rsid w:val="00A966E4"/>
    <w:rsid w:val="00A9676B"/>
    <w:rsid w:val="00A9696E"/>
    <w:rsid w:val="00A96B2B"/>
    <w:rsid w:val="00A96DFC"/>
    <w:rsid w:val="00A96E4D"/>
    <w:rsid w:val="00A97100"/>
    <w:rsid w:val="00A9728C"/>
    <w:rsid w:val="00A972B8"/>
    <w:rsid w:val="00A97350"/>
    <w:rsid w:val="00A97378"/>
    <w:rsid w:val="00A97392"/>
    <w:rsid w:val="00A975F4"/>
    <w:rsid w:val="00A9774F"/>
    <w:rsid w:val="00A978FF"/>
    <w:rsid w:val="00A979A8"/>
    <w:rsid w:val="00AA0039"/>
    <w:rsid w:val="00AA00BE"/>
    <w:rsid w:val="00AA01B7"/>
    <w:rsid w:val="00AA0260"/>
    <w:rsid w:val="00AA039B"/>
    <w:rsid w:val="00AA073F"/>
    <w:rsid w:val="00AA0840"/>
    <w:rsid w:val="00AA08C8"/>
    <w:rsid w:val="00AA0C91"/>
    <w:rsid w:val="00AA0D18"/>
    <w:rsid w:val="00AA0D1B"/>
    <w:rsid w:val="00AA0D32"/>
    <w:rsid w:val="00AA0D77"/>
    <w:rsid w:val="00AA0DB2"/>
    <w:rsid w:val="00AA0DFA"/>
    <w:rsid w:val="00AA0F17"/>
    <w:rsid w:val="00AA1250"/>
    <w:rsid w:val="00AA12AE"/>
    <w:rsid w:val="00AA1335"/>
    <w:rsid w:val="00AA13F9"/>
    <w:rsid w:val="00AA1713"/>
    <w:rsid w:val="00AA19CF"/>
    <w:rsid w:val="00AA19EB"/>
    <w:rsid w:val="00AA1A2B"/>
    <w:rsid w:val="00AA1F72"/>
    <w:rsid w:val="00AA2221"/>
    <w:rsid w:val="00AA224A"/>
    <w:rsid w:val="00AA2260"/>
    <w:rsid w:val="00AA23A5"/>
    <w:rsid w:val="00AA2515"/>
    <w:rsid w:val="00AA2789"/>
    <w:rsid w:val="00AA2932"/>
    <w:rsid w:val="00AA2AFE"/>
    <w:rsid w:val="00AA2B09"/>
    <w:rsid w:val="00AA2B4E"/>
    <w:rsid w:val="00AA2E19"/>
    <w:rsid w:val="00AA2E42"/>
    <w:rsid w:val="00AA2FAD"/>
    <w:rsid w:val="00AA3020"/>
    <w:rsid w:val="00AA322B"/>
    <w:rsid w:val="00AA334A"/>
    <w:rsid w:val="00AA33DB"/>
    <w:rsid w:val="00AA3459"/>
    <w:rsid w:val="00AA34AC"/>
    <w:rsid w:val="00AA368B"/>
    <w:rsid w:val="00AA3892"/>
    <w:rsid w:val="00AA38EB"/>
    <w:rsid w:val="00AA3946"/>
    <w:rsid w:val="00AA394D"/>
    <w:rsid w:val="00AA39BD"/>
    <w:rsid w:val="00AA3BA3"/>
    <w:rsid w:val="00AA3BA8"/>
    <w:rsid w:val="00AA3CBA"/>
    <w:rsid w:val="00AA3CC6"/>
    <w:rsid w:val="00AA3D35"/>
    <w:rsid w:val="00AA3D92"/>
    <w:rsid w:val="00AA3ECB"/>
    <w:rsid w:val="00AA4074"/>
    <w:rsid w:val="00AA479A"/>
    <w:rsid w:val="00AA4838"/>
    <w:rsid w:val="00AA4925"/>
    <w:rsid w:val="00AA4943"/>
    <w:rsid w:val="00AA4A18"/>
    <w:rsid w:val="00AA4ACB"/>
    <w:rsid w:val="00AA4B52"/>
    <w:rsid w:val="00AA4C9A"/>
    <w:rsid w:val="00AA4FB3"/>
    <w:rsid w:val="00AA529A"/>
    <w:rsid w:val="00AA5386"/>
    <w:rsid w:val="00AA542B"/>
    <w:rsid w:val="00AA5A1C"/>
    <w:rsid w:val="00AA5A95"/>
    <w:rsid w:val="00AA5AA2"/>
    <w:rsid w:val="00AA5DE1"/>
    <w:rsid w:val="00AA5DF0"/>
    <w:rsid w:val="00AA5F11"/>
    <w:rsid w:val="00AA5F6B"/>
    <w:rsid w:val="00AA627C"/>
    <w:rsid w:val="00AA6340"/>
    <w:rsid w:val="00AA6350"/>
    <w:rsid w:val="00AA645F"/>
    <w:rsid w:val="00AA6491"/>
    <w:rsid w:val="00AA66CC"/>
    <w:rsid w:val="00AA681B"/>
    <w:rsid w:val="00AA6882"/>
    <w:rsid w:val="00AA6942"/>
    <w:rsid w:val="00AA69CB"/>
    <w:rsid w:val="00AA6F2D"/>
    <w:rsid w:val="00AA6FEE"/>
    <w:rsid w:val="00AA7216"/>
    <w:rsid w:val="00AA73E1"/>
    <w:rsid w:val="00AA745B"/>
    <w:rsid w:val="00AA74C7"/>
    <w:rsid w:val="00AA75DF"/>
    <w:rsid w:val="00AA75FA"/>
    <w:rsid w:val="00AA7DC2"/>
    <w:rsid w:val="00AA7DFD"/>
    <w:rsid w:val="00AA7E3F"/>
    <w:rsid w:val="00AB00D7"/>
    <w:rsid w:val="00AB0276"/>
    <w:rsid w:val="00AB02F0"/>
    <w:rsid w:val="00AB061D"/>
    <w:rsid w:val="00AB099F"/>
    <w:rsid w:val="00AB09FF"/>
    <w:rsid w:val="00AB0A07"/>
    <w:rsid w:val="00AB0E03"/>
    <w:rsid w:val="00AB0E91"/>
    <w:rsid w:val="00AB0EE5"/>
    <w:rsid w:val="00AB1002"/>
    <w:rsid w:val="00AB1026"/>
    <w:rsid w:val="00AB116B"/>
    <w:rsid w:val="00AB1362"/>
    <w:rsid w:val="00AB1458"/>
    <w:rsid w:val="00AB182F"/>
    <w:rsid w:val="00AB18AF"/>
    <w:rsid w:val="00AB19BC"/>
    <w:rsid w:val="00AB1AD3"/>
    <w:rsid w:val="00AB1ADE"/>
    <w:rsid w:val="00AB1B6B"/>
    <w:rsid w:val="00AB1D1A"/>
    <w:rsid w:val="00AB1D77"/>
    <w:rsid w:val="00AB222C"/>
    <w:rsid w:val="00AB22FC"/>
    <w:rsid w:val="00AB2397"/>
    <w:rsid w:val="00AB2561"/>
    <w:rsid w:val="00AB277D"/>
    <w:rsid w:val="00AB2819"/>
    <w:rsid w:val="00AB28CB"/>
    <w:rsid w:val="00AB2919"/>
    <w:rsid w:val="00AB296F"/>
    <w:rsid w:val="00AB29CF"/>
    <w:rsid w:val="00AB2ACA"/>
    <w:rsid w:val="00AB2C48"/>
    <w:rsid w:val="00AB2D74"/>
    <w:rsid w:val="00AB2F91"/>
    <w:rsid w:val="00AB3081"/>
    <w:rsid w:val="00AB3290"/>
    <w:rsid w:val="00AB3667"/>
    <w:rsid w:val="00AB3725"/>
    <w:rsid w:val="00AB38AC"/>
    <w:rsid w:val="00AB3A15"/>
    <w:rsid w:val="00AB3A4B"/>
    <w:rsid w:val="00AB3A71"/>
    <w:rsid w:val="00AB3B74"/>
    <w:rsid w:val="00AB3B8E"/>
    <w:rsid w:val="00AB3E67"/>
    <w:rsid w:val="00AB3ED6"/>
    <w:rsid w:val="00AB4163"/>
    <w:rsid w:val="00AB42F8"/>
    <w:rsid w:val="00AB453B"/>
    <w:rsid w:val="00AB45C3"/>
    <w:rsid w:val="00AB470A"/>
    <w:rsid w:val="00AB4829"/>
    <w:rsid w:val="00AB491C"/>
    <w:rsid w:val="00AB49A1"/>
    <w:rsid w:val="00AB4BE1"/>
    <w:rsid w:val="00AB4D03"/>
    <w:rsid w:val="00AB4E8B"/>
    <w:rsid w:val="00AB5013"/>
    <w:rsid w:val="00AB502C"/>
    <w:rsid w:val="00AB502E"/>
    <w:rsid w:val="00AB5242"/>
    <w:rsid w:val="00AB5340"/>
    <w:rsid w:val="00AB560B"/>
    <w:rsid w:val="00AB568C"/>
    <w:rsid w:val="00AB59FE"/>
    <w:rsid w:val="00AB5BBC"/>
    <w:rsid w:val="00AB5BDC"/>
    <w:rsid w:val="00AB5C97"/>
    <w:rsid w:val="00AB5DD2"/>
    <w:rsid w:val="00AB5E02"/>
    <w:rsid w:val="00AB5ECE"/>
    <w:rsid w:val="00AB5EFF"/>
    <w:rsid w:val="00AB5F86"/>
    <w:rsid w:val="00AB6042"/>
    <w:rsid w:val="00AB61D5"/>
    <w:rsid w:val="00AB6468"/>
    <w:rsid w:val="00AB65C9"/>
    <w:rsid w:val="00AB6765"/>
    <w:rsid w:val="00AB676F"/>
    <w:rsid w:val="00AB6839"/>
    <w:rsid w:val="00AB686A"/>
    <w:rsid w:val="00AB6B96"/>
    <w:rsid w:val="00AB6CB5"/>
    <w:rsid w:val="00AB722F"/>
    <w:rsid w:val="00AB7236"/>
    <w:rsid w:val="00AB7272"/>
    <w:rsid w:val="00AB7354"/>
    <w:rsid w:val="00AB7469"/>
    <w:rsid w:val="00AB74D5"/>
    <w:rsid w:val="00AB75A2"/>
    <w:rsid w:val="00AB76E8"/>
    <w:rsid w:val="00AB7733"/>
    <w:rsid w:val="00AB7907"/>
    <w:rsid w:val="00AB7C79"/>
    <w:rsid w:val="00AB7CBB"/>
    <w:rsid w:val="00AB7CFA"/>
    <w:rsid w:val="00AB7F50"/>
    <w:rsid w:val="00AB7F5A"/>
    <w:rsid w:val="00AB7FBF"/>
    <w:rsid w:val="00AC009F"/>
    <w:rsid w:val="00AC017C"/>
    <w:rsid w:val="00AC07F1"/>
    <w:rsid w:val="00AC07F3"/>
    <w:rsid w:val="00AC099D"/>
    <w:rsid w:val="00AC0A5F"/>
    <w:rsid w:val="00AC0BED"/>
    <w:rsid w:val="00AC0C51"/>
    <w:rsid w:val="00AC0E0A"/>
    <w:rsid w:val="00AC0E6B"/>
    <w:rsid w:val="00AC0F4F"/>
    <w:rsid w:val="00AC0F95"/>
    <w:rsid w:val="00AC104B"/>
    <w:rsid w:val="00AC10DF"/>
    <w:rsid w:val="00AC10E2"/>
    <w:rsid w:val="00AC12EC"/>
    <w:rsid w:val="00AC1385"/>
    <w:rsid w:val="00AC13CB"/>
    <w:rsid w:val="00AC14CC"/>
    <w:rsid w:val="00AC1505"/>
    <w:rsid w:val="00AC1533"/>
    <w:rsid w:val="00AC1555"/>
    <w:rsid w:val="00AC1647"/>
    <w:rsid w:val="00AC17D9"/>
    <w:rsid w:val="00AC1B22"/>
    <w:rsid w:val="00AC1C01"/>
    <w:rsid w:val="00AC1F38"/>
    <w:rsid w:val="00AC214A"/>
    <w:rsid w:val="00AC215F"/>
    <w:rsid w:val="00AC22DE"/>
    <w:rsid w:val="00AC2325"/>
    <w:rsid w:val="00AC257F"/>
    <w:rsid w:val="00AC270D"/>
    <w:rsid w:val="00AC2B9C"/>
    <w:rsid w:val="00AC2E3C"/>
    <w:rsid w:val="00AC2E6B"/>
    <w:rsid w:val="00AC2F01"/>
    <w:rsid w:val="00AC2F1A"/>
    <w:rsid w:val="00AC2FC4"/>
    <w:rsid w:val="00AC311D"/>
    <w:rsid w:val="00AC31C8"/>
    <w:rsid w:val="00AC3280"/>
    <w:rsid w:val="00AC39F2"/>
    <w:rsid w:val="00AC3A26"/>
    <w:rsid w:val="00AC3A2D"/>
    <w:rsid w:val="00AC3E72"/>
    <w:rsid w:val="00AC406E"/>
    <w:rsid w:val="00AC40F1"/>
    <w:rsid w:val="00AC413A"/>
    <w:rsid w:val="00AC41E8"/>
    <w:rsid w:val="00AC41FA"/>
    <w:rsid w:val="00AC4212"/>
    <w:rsid w:val="00AC43B4"/>
    <w:rsid w:val="00AC440F"/>
    <w:rsid w:val="00AC4577"/>
    <w:rsid w:val="00AC48A5"/>
    <w:rsid w:val="00AC4A3B"/>
    <w:rsid w:val="00AC4A46"/>
    <w:rsid w:val="00AC4AB2"/>
    <w:rsid w:val="00AC4B06"/>
    <w:rsid w:val="00AC4D44"/>
    <w:rsid w:val="00AC4D68"/>
    <w:rsid w:val="00AC4D83"/>
    <w:rsid w:val="00AC4F77"/>
    <w:rsid w:val="00AC5237"/>
    <w:rsid w:val="00AC528B"/>
    <w:rsid w:val="00AC5331"/>
    <w:rsid w:val="00AC5354"/>
    <w:rsid w:val="00AC5487"/>
    <w:rsid w:val="00AC54B8"/>
    <w:rsid w:val="00AC56BE"/>
    <w:rsid w:val="00AC5A05"/>
    <w:rsid w:val="00AC5A46"/>
    <w:rsid w:val="00AC5CAE"/>
    <w:rsid w:val="00AC5CBD"/>
    <w:rsid w:val="00AC5E98"/>
    <w:rsid w:val="00AC6081"/>
    <w:rsid w:val="00AC618C"/>
    <w:rsid w:val="00AC61AF"/>
    <w:rsid w:val="00AC6278"/>
    <w:rsid w:val="00AC6297"/>
    <w:rsid w:val="00AC63A8"/>
    <w:rsid w:val="00AC6609"/>
    <w:rsid w:val="00AC6844"/>
    <w:rsid w:val="00AC6D73"/>
    <w:rsid w:val="00AC6D7C"/>
    <w:rsid w:val="00AC70EC"/>
    <w:rsid w:val="00AC70F5"/>
    <w:rsid w:val="00AC7200"/>
    <w:rsid w:val="00AC7237"/>
    <w:rsid w:val="00AC7292"/>
    <w:rsid w:val="00AC73B4"/>
    <w:rsid w:val="00AC73D2"/>
    <w:rsid w:val="00AC75C1"/>
    <w:rsid w:val="00AC7663"/>
    <w:rsid w:val="00AC76F0"/>
    <w:rsid w:val="00AC77ED"/>
    <w:rsid w:val="00AC7A0E"/>
    <w:rsid w:val="00AC7B41"/>
    <w:rsid w:val="00AC7C0C"/>
    <w:rsid w:val="00AC7EF0"/>
    <w:rsid w:val="00AC7F92"/>
    <w:rsid w:val="00AD009F"/>
    <w:rsid w:val="00AD01EC"/>
    <w:rsid w:val="00AD0463"/>
    <w:rsid w:val="00AD0504"/>
    <w:rsid w:val="00AD056D"/>
    <w:rsid w:val="00AD0742"/>
    <w:rsid w:val="00AD07B0"/>
    <w:rsid w:val="00AD082D"/>
    <w:rsid w:val="00AD0917"/>
    <w:rsid w:val="00AD0952"/>
    <w:rsid w:val="00AD0982"/>
    <w:rsid w:val="00AD0A48"/>
    <w:rsid w:val="00AD0AC8"/>
    <w:rsid w:val="00AD0B81"/>
    <w:rsid w:val="00AD0C89"/>
    <w:rsid w:val="00AD0D02"/>
    <w:rsid w:val="00AD0EBF"/>
    <w:rsid w:val="00AD1021"/>
    <w:rsid w:val="00AD1114"/>
    <w:rsid w:val="00AD111C"/>
    <w:rsid w:val="00AD114F"/>
    <w:rsid w:val="00AD1239"/>
    <w:rsid w:val="00AD14B1"/>
    <w:rsid w:val="00AD14EA"/>
    <w:rsid w:val="00AD15EA"/>
    <w:rsid w:val="00AD1660"/>
    <w:rsid w:val="00AD1689"/>
    <w:rsid w:val="00AD16A9"/>
    <w:rsid w:val="00AD192E"/>
    <w:rsid w:val="00AD1948"/>
    <w:rsid w:val="00AD1A80"/>
    <w:rsid w:val="00AD2239"/>
    <w:rsid w:val="00AD22E6"/>
    <w:rsid w:val="00AD24D8"/>
    <w:rsid w:val="00AD266E"/>
    <w:rsid w:val="00AD26A6"/>
    <w:rsid w:val="00AD26F0"/>
    <w:rsid w:val="00AD2827"/>
    <w:rsid w:val="00AD29D1"/>
    <w:rsid w:val="00AD2C84"/>
    <w:rsid w:val="00AD2D64"/>
    <w:rsid w:val="00AD2DCA"/>
    <w:rsid w:val="00AD2F17"/>
    <w:rsid w:val="00AD2FCE"/>
    <w:rsid w:val="00AD32DC"/>
    <w:rsid w:val="00AD333D"/>
    <w:rsid w:val="00AD36CF"/>
    <w:rsid w:val="00AD37BB"/>
    <w:rsid w:val="00AD37E8"/>
    <w:rsid w:val="00AD3F3C"/>
    <w:rsid w:val="00AD41B1"/>
    <w:rsid w:val="00AD41F0"/>
    <w:rsid w:val="00AD4266"/>
    <w:rsid w:val="00AD42AC"/>
    <w:rsid w:val="00AD437F"/>
    <w:rsid w:val="00AD44DD"/>
    <w:rsid w:val="00AD4521"/>
    <w:rsid w:val="00AD4957"/>
    <w:rsid w:val="00AD49B5"/>
    <w:rsid w:val="00AD4A44"/>
    <w:rsid w:val="00AD4BB9"/>
    <w:rsid w:val="00AD515C"/>
    <w:rsid w:val="00AD51DB"/>
    <w:rsid w:val="00AD51EC"/>
    <w:rsid w:val="00AD567C"/>
    <w:rsid w:val="00AD5713"/>
    <w:rsid w:val="00AD5758"/>
    <w:rsid w:val="00AD5763"/>
    <w:rsid w:val="00AD5959"/>
    <w:rsid w:val="00AD5DE4"/>
    <w:rsid w:val="00AD5E38"/>
    <w:rsid w:val="00AD5F7A"/>
    <w:rsid w:val="00AD61D0"/>
    <w:rsid w:val="00AD6278"/>
    <w:rsid w:val="00AD63D6"/>
    <w:rsid w:val="00AD650B"/>
    <w:rsid w:val="00AD677B"/>
    <w:rsid w:val="00AD67D0"/>
    <w:rsid w:val="00AD6A42"/>
    <w:rsid w:val="00AD6B78"/>
    <w:rsid w:val="00AD6CFC"/>
    <w:rsid w:val="00AD6D36"/>
    <w:rsid w:val="00AD71A6"/>
    <w:rsid w:val="00AD71D7"/>
    <w:rsid w:val="00AD725B"/>
    <w:rsid w:val="00AD7528"/>
    <w:rsid w:val="00AD76B4"/>
    <w:rsid w:val="00AD76D8"/>
    <w:rsid w:val="00AD7722"/>
    <w:rsid w:val="00AD7F9C"/>
    <w:rsid w:val="00ADD451"/>
    <w:rsid w:val="00AE0196"/>
    <w:rsid w:val="00AE01C5"/>
    <w:rsid w:val="00AE02DD"/>
    <w:rsid w:val="00AE043A"/>
    <w:rsid w:val="00AE068E"/>
    <w:rsid w:val="00AE06F4"/>
    <w:rsid w:val="00AE0A81"/>
    <w:rsid w:val="00AE0B82"/>
    <w:rsid w:val="00AE0C57"/>
    <w:rsid w:val="00AE0D26"/>
    <w:rsid w:val="00AE0EBB"/>
    <w:rsid w:val="00AE0F93"/>
    <w:rsid w:val="00AE100A"/>
    <w:rsid w:val="00AE1040"/>
    <w:rsid w:val="00AE10C8"/>
    <w:rsid w:val="00AE12C1"/>
    <w:rsid w:val="00AE13AE"/>
    <w:rsid w:val="00AE13F2"/>
    <w:rsid w:val="00AE1447"/>
    <w:rsid w:val="00AE149A"/>
    <w:rsid w:val="00AE164D"/>
    <w:rsid w:val="00AE181B"/>
    <w:rsid w:val="00AE1959"/>
    <w:rsid w:val="00AE1AC0"/>
    <w:rsid w:val="00AE1C63"/>
    <w:rsid w:val="00AE1CB6"/>
    <w:rsid w:val="00AE1E92"/>
    <w:rsid w:val="00AE1F69"/>
    <w:rsid w:val="00AE2246"/>
    <w:rsid w:val="00AE233E"/>
    <w:rsid w:val="00AE23E8"/>
    <w:rsid w:val="00AE279B"/>
    <w:rsid w:val="00AE2882"/>
    <w:rsid w:val="00AE2999"/>
    <w:rsid w:val="00AE2A46"/>
    <w:rsid w:val="00AE2B82"/>
    <w:rsid w:val="00AE2BF6"/>
    <w:rsid w:val="00AE2E0E"/>
    <w:rsid w:val="00AE2FEF"/>
    <w:rsid w:val="00AE3646"/>
    <w:rsid w:val="00AE368A"/>
    <w:rsid w:val="00AE3728"/>
    <w:rsid w:val="00AE3908"/>
    <w:rsid w:val="00AE3A82"/>
    <w:rsid w:val="00AE3BCE"/>
    <w:rsid w:val="00AE3C17"/>
    <w:rsid w:val="00AE3EFF"/>
    <w:rsid w:val="00AE3FCA"/>
    <w:rsid w:val="00AE4011"/>
    <w:rsid w:val="00AE4063"/>
    <w:rsid w:val="00AE4160"/>
    <w:rsid w:val="00AE45A3"/>
    <w:rsid w:val="00AE46A5"/>
    <w:rsid w:val="00AE46EC"/>
    <w:rsid w:val="00AE483D"/>
    <w:rsid w:val="00AE491E"/>
    <w:rsid w:val="00AE4963"/>
    <w:rsid w:val="00AE4997"/>
    <w:rsid w:val="00AE4A1A"/>
    <w:rsid w:val="00AE4B53"/>
    <w:rsid w:val="00AE4C4C"/>
    <w:rsid w:val="00AE4F6E"/>
    <w:rsid w:val="00AE4FD9"/>
    <w:rsid w:val="00AE5093"/>
    <w:rsid w:val="00AE50F9"/>
    <w:rsid w:val="00AE5219"/>
    <w:rsid w:val="00AE524D"/>
    <w:rsid w:val="00AE535D"/>
    <w:rsid w:val="00AE54E3"/>
    <w:rsid w:val="00AE5818"/>
    <w:rsid w:val="00AE581C"/>
    <w:rsid w:val="00AE587E"/>
    <w:rsid w:val="00AE5957"/>
    <w:rsid w:val="00AE5970"/>
    <w:rsid w:val="00AE5AC2"/>
    <w:rsid w:val="00AE5B03"/>
    <w:rsid w:val="00AE5E7F"/>
    <w:rsid w:val="00AE60CA"/>
    <w:rsid w:val="00AE61AE"/>
    <w:rsid w:val="00AE641C"/>
    <w:rsid w:val="00AE6461"/>
    <w:rsid w:val="00AE64E1"/>
    <w:rsid w:val="00AE64FC"/>
    <w:rsid w:val="00AE6566"/>
    <w:rsid w:val="00AE657B"/>
    <w:rsid w:val="00AE66D0"/>
    <w:rsid w:val="00AE6AD9"/>
    <w:rsid w:val="00AE6B4B"/>
    <w:rsid w:val="00AE6EDE"/>
    <w:rsid w:val="00AE70E9"/>
    <w:rsid w:val="00AE7629"/>
    <w:rsid w:val="00AE76E1"/>
    <w:rsid w:val="00AE77AB"/>
    <w:rsid w:val="00AE795D"/>
    <w:rsid w:val="00AE7C90"/>
    <w:rsid w:val="00AF003E"/>
    <w:rsid w:val="00AF03C1"/>
    <w:rsid w:val="00AF0433"/>
    <w:rsid w:val="00AF04C4"/>
    <w:rsid w:val="00AF0512"/>
    <w:rsid w:val="00AF059B"/>
    <w:rsid w:val="00AF0663"/>
    <w:rsid w:val="00AF0833"/>
    <w:rsid w:val="00AF0846"/>
    <w:rsid w:val="00AF0A00"/>
    <w:rsid w:val="00AF0A33"/>
    <w:rsid w:val="00AF0D3C"/>
    <w:rsid w:val="00AF0D64"/>
    <w:rsid w:val="00AF0E79"/>
    <w:rsid w:val="00AF0FAC"/>
    <w:rsid w:val="00AF0FB6"/>
    <w:rsid w:val="00AF1132"/>
    <w:rsid w:val="00AF115F"/>
    <w:rsid w:val="00AF15ED"/>
    <w:rsid w:val="00AF1668"/>
    <w:rsid w:val="00AF1826"/>
    <w:rsid w:val="00AF192C"/>
    <w:rsid w:val="00AF19D2"/>
    <w:rsid w:val="00AF1A1A"/>
    <w:rsid w:val="00AF1B98"/>
    <w:rsid w:val="00AF1C55"/>
    <w:rsid w:val="00AF1E28"/>
    <w:rsid w:val="00AF1E75"/>
    <w:rsid w:val="00AF1F01"/>
    <w:rsid w:val="00AF2009"/>
    <w:rsid w:val="00AF2316"/>
    <w:rsid w:val="00AF25CC"/>
    <w:rsid w:val="00AF26F4"/>
    <w:rsid w:val="00AF2878"/>
    <w:rsid w:val="00AF28BB"/>
    <w:rsid w:val="00AF28C7"/>
    <w:rsid w:val="00AF28F5"/>
    <w:rsid w:val="00AF29C0"/>
    <w:rsid w:val="00AF2B16"/>
    <w:rsid w:val="00AF2B2B"/>
    <w:rsid w:val="00AF2C04"/>
    <w:rsid w:val="00AF2D9B"/>
    <w:rsid w:val="00AF2E98"/>
    <w:rsid w:val="00AF2F40"/>
    <w:rsid w:val="00AF2F8D"/>
    <w:rsid w:val="00AF33C3"/>
    <w:rsid w:val="00AF33CB"/>
    <w:rsid w:val="00AF3616"/>
    <w:rsid w:val="00AF36A3"/>
    <w:rsid w:val="00AF36F8"/>
    <w:rsid w:val="00AF3787"/>
    <w:rsid w:val="00AF386E"/>
    <w:rsid w:val="00AF3DCD"/>
    <w:rsid w:val="00AF3E5A"/>
    <w:rsid w:val="00AF3F65"/>
    <w:rsid w:val="00AF4012"/>
    <w:rsid w:val="00AF4215"/>
    <w:rsid w:val="00AF422B"/>
    <w:rsid w:val="00AF434D"/>
    <w:rsid w:val="00AF46E1"/>
    <w:rsid w:val="00AF4803"/>
    <w:rsid w:val="00AF4B4C"/>
    <w:rsid w:val="00AF4BD8"/>
    <w:rsid w:val="00AF4CE8"/>
    <w:rsid w:val="00AF4DA5"/>
    <w:rsid w:val="00AF4E3F"/>
    <w:rsid w:val="00AF4EAE"/>
    <w:rsid w:val="00AF5186"/>
    <w:rsid w:val="00AF55BB"/>
    <w:rsid w:val="00AF5605"/>
    <w:rsid w:val="00AF5667"/>
    <w:rsid w:val="00AF5895"/>
    <w:rsid w:val="00AF594D"/>
    <w:rsid w:val="00AF5B13"/>
    <w:rsid w:val="00AF5BA5"/>
    <w:rsid w:val="00AF5EE7"/>
    <w:rsid w:val="00AF6059"/>
    <w:rsid w:val="00AF6143"/>
    <w:rsid w:val="00AF6251"/>
    <w:rsid w:val="00AF6404"/>
    <w:rsid w:val="00AF6579"/>
    <w:rsid w:val="00AF66BD"/>
    <w:rsid w:val="00AF6758"/>
    <w:rsid w:val="00AF67F0"/>
    <w:rsid w:val="00AF691D"/>
    <w:rsid w:val="00AF6D43"/>
    <w:rsid w:val="00AF6E56"/>
    <w:rsid w:val="00AF6E91"/>
    <w:rsid w:val="00AF73F3"/>
    <w:rsid w:val="00AF7920"/>
    <w:rsid w:val="00AF7B0C"/>
    <w:rsid w:val="00AF7C0B"/>
    <w:rsid w:val="00AF7C4E"/>
    <w:rsid w:val="00AF7D69"/>
    <w:rsid w:val="00AF7ECD"/>
    <w:rsid w:val="00AF7F0C"/>
    <w:rsid w:val="00B00085"/>
    <w:rsid w:val="00B0098B"/>
    <w:rsid w:val="00B00B2C"/>
    <w:rsid w:val="00B00CD8"/>
    <w:rsid w:val="00B00DA8"/>
    <w:rsid w:val="00B00ED3"/>
    <w:rsid w:val="00B00EDA"/>
    <w:rsid w:val="00B00F14"/>
    <w:rsid w:val="00B01040"/>
    <w:rsid w:val="00B011D7"/>
    <w:rsid w:val="00B011F8"/>
    <w:rsid w:val="00B01247"/>
    <w:rsid w:val="00B0150C"/>
    <w:rsid w:val="00B0175C"/>
    <w:rsid w:val="00B017C6"/>
    <w:rsid w:val="00B018E7"/>
    <w:rsid w:val="00B01C44"/>
    <w:rsid w:val="00B01DB1"/>
    <w:rsid w:val="00B02197"/>
    <w:rsid w:val="00B02272"/>
    <w:rsid w:val="00B02422"/>
    <w:rsid w:val="00B02520"/>
    <w:rsid w:val="00B025D3"/>
    <w:rsid w:val="00B025F1"/>
    <w:rsid w:val="00B02690"/>
    <w:rsid w:val="00B0274C"/>
    <w:rsid w:val="00B02780"/>
    <w:rsid w:val="00B0283A"/>
    <w:rsid w:val="00B029E5"/>
    <w:rsid w:val="00B02B87"/>
    <w:rsid w:val="00B02B9C"/>
    <w:rsid w:val="00B02C81"/>
    <w:rsid w:val="00B02CC8"/>
    <w:rsid w:val="00B02E3E"/>
    <w:rsid w:val="00B02E6A"/>
    <w:rsid w:val="00B02E94"/>
    <w:rsid w:val="00B02F60"/>
    <w:rsid w:val="00B02F64"/>
    <w:rsid w:val="00B02F67"/>
    <w:rsid w:val="00B03244"/>
    <w:rsid w:val="00B032E1"/>
    <w:rsid w:val="00B032FD"/>
    <w:rsid w:val="00B033E0"/>
    <w:rsid w:val="00B0346E"/>
    <w:rsid w:val="00B03756"/>
    <w:rsid w:val="00B03941"/>
    <w:rsid w:val="00B03A9F"/>
    <w:rsid w:val="00B03AD1"/>
    <w:rsid w:val="00B03B83"/>
    <w:rsid w:val="00B03C78"/>
    <w:rsid w:val="00B03CC7"/>
    <w:rsid w:val="00B03CFB"/>
    <w:rsid w:val="00B03F69"/>
    <w:rsid w:val="00B04302"/>
    <w:rsid w:val="00B043AD"/>
    <w:rsid w:val="00B043BF"/>
    <w:rsid w:val="00B043CE"/>
    <w:rsid w:val="00B0445D"/>
    <w:rsid w:val="00B044AE"/>
    <w:rsid w:val="00B04515"/>
    <w:rsid w:val="00B045CE"/>
    <w:rsid w:val="00B04795"/>
    <w:rsid w:val="00B049A3"/>
    <w:rsid w:val="00B04A27"/>
    <w:rsid w:val="00B04B3F"/>
    <w:rsid w:val="00B04E09"/>
    <w:rsid w:val="00B04E7A"/>
    <w:rsid w:val="00B0506A"/>
    <w:rsid w:val="00B0516D"/>
    <w:rsid w:val="00B051B7"/>
    <w:rsid w:val="00B0533B"/>
    <w:rsid w:val="00B053AB"/>
    <w:rsid w:val="00B0548E"/>
    <w:rsid w:val="00B05558"/>
    <w:rsid w:val="00B0575D"/>
    <w:rsid w:val="00B05766"/>
    <w:rsid w:val="00B0588B"/>
    <w:rsid w:val="00B05A9A"/>
    <w:rsid w:val="00B05B1E"/>
    <w:rsid w:val="00B05B69"/>
    <w:rsid w:val="00B05BFC"/>
    <w:rsid w:val="00B05C39"/>
    <w:rsid w:val="00B05D11"/>
    <w:rsid w:val="00B05D29"/>
    <w:rsid w:val="00B05D6A"/>
    <w:rsid w:val="00B05F13"/>
    <w:rsid w:val="00B060F4"/>
    <w:rsid w:val="00B06345"/>
    <w:rsid w:val="00B06399"/>
    <w:rsid w:val="00B06439"/>
    <w:rsid w:val="00B06498"/>
    <w:rsid w:val="00B06765"/>
    <w:rsid w:val="00B069DD"/>
    <w:rsid w:val="00B06F0E"/>
    <w:rsid w:val="00B07128"/>
    <w:rsid w:val="00B0722E"/>
    <w:rsid w:val="00B0746E"/>
    <w:rsid w:val="00B07656"/>
    <w:rsid w:val="00B076B7"/>
    <w:rsid w:val="00B079B9"/>
    <w:rsid w:val="00B07A35"/>
    <w:rsid w:val="00B07B48"/>
    <w:rsid w:val="00B07E4D"/>
    <w:rsid w:val="00B07E4E"/>
    <w:rsid w:val="00B07E88"/>
    <w:rsid w:val="00B07F4F"/>
    <w:rsid w:val="00B07F8F"/>
    <w:rsid w:val="00B101BF"/>
    <w:rsid w:val="00B101CF"/>
    <w:rsid w:val="00B102AB"/>
    <w:rsid w:val="00B1057E"/>
    <w:rsid w:val="00B107A9"/>
    <w:rsid w:val="00B10904"/>
    <w:rsid w:val="00B1090C"/>
    <w:rsid w:val="00B109CF"/>
    <w:rsid w:val="00B109D2"/>
    <w:rsid w:val="00B10A2F"/>
    <w:rsid w:val="00B10DE4"/>
    <w:rsid w:val="00B11070"/>
    <w:rsid w:val="00B110C2"/>
    <w:rsid w:val="00B11253"/>
    <w:rsid w:val="00B112B3"/>
    <w:rsid w:val="00B112C1"/>
    <w:rsid w:val="00B113C3"/>
    <w:rsid w:val="00B11472"/>
    <w:rsid w:val="00B1153C"/>
    <w:rsid w:val="00B11601"/>
    <w:rsid w:val="00B116CD"/>
    <w:rsid w:val="00B119F5"/>
    <w:rsid w:val="00B119F8"/>
    <w:rsid w:val="00B11B57"/>
    <w:rsid w:val="00B11EAB"/>
    <w:rsid w:val="00B11F8C"/>
    <w:rsid w:val="00B11FD3"/>
    <w:rsid w:val="00B11FE1"/>
    <w:rsid w:val="00B1225F"/>
    <w:rsid w:val="00B122A3"/>
    <w:rsid w:val="00B12494"/>
    <w:rsid w:val="00B12923"/>
    <w:rsid w:val="00B12962"/>
    <w:rsid w:val="00B129F3"/>
    <w:rsid w:val="00B12A6E"/>
    <w:rsid w:val="00B12B35"/>
    <w:rsid w:val="00B12DC7"/>
    <w:rsid w:val="00B12E36"/>
    <w:rsid w:val="00B1303B"/>
    <w:rsid w:val="00B13064"/>
    <w:rsid w:val="00B13173"/>
    <w:rsid w:val="00B133FE"/>
    <w:rsid w:val="00B1368E"/>
    <w:rsid w:val="00B1372C"/>
    <w:rsid w:val="00B1385E"/>
    <w:rsid w:val="00B138A2"/>
    <w:rsid w:val="00B13C43"/>
    <w:rsid w:val="00B13C4D"/>
    <w:rsid w:val="00B13ECE"/>
    <w:rsid w:val="00B14574"/>
    <w:rsid w:val="00B14683"/>
    <w:rsid w:val="00B14709"/>
    <w:rsid w:val="00B14760"/>
    <w:rsid w:val="00B14762"/>
    <w:rsid w:val="00B14C31"/>
    <w:rsid w:val="00B14E17"/>
    <w:rsid w:val="00B14E26"/>
    <w:rsid w:val="00B14EF2"/>
    <w:rsid w:val="00B150CB"/>
    <w:rsid w:val="00B15156"/>
    <w:rsid w:val="00B15280"/>
    <w:rsid w:val="00B15470"/>
    <w:rsid w:val="00B15521"/>
    <w:rsid w:val="00B1560D"/>
    <w:rsid w:val="00B15795"/>
    <w:rsid w:val="00B157F7"/>
    <w:rsid w:val="00B15B17"/>
    <w:rsid w:val="00B15E18"/>
    <w:rsid w:val="00B15F38"/>
    <w:rsid w:val="00B1610F"/>
    <w:rsid w:val="00B161F8"/>
    <w:rsid w:val="00B1638C"/>
    <w:rsid w:val="00B167BD"/>
    <w:rsid w:val="00B167C3"/>
    <w:rsid w:val="00B16BC1"/>
    <w:rsid w:val="00B16D75"/>
    <w:rsid w:val="00B16D89"/>
    <w:rsid w:val="00B16DFD"/>
    <w:rsid w:val="00B16EC1"/>
    <w:rsid w:val="00B16F87"/>
    <w:rsid w:val="00B1706A"/>
    <w:rsid w:val="00B17331"/>
    <w:rsid w:val="00B174A9"/>
    <w:rsid w:val="00B174B3"/>
    <w:rsid w:val="00B1756F"/>
    <w:rsid w:val="00B17634"/>
    <w:rsid w:val="00B177B4"/>
    <w:rsid w:val="00B17969"/>
    <w:rsid w:val="00B179A7"/>
    <w:rsid w:val="00B17B0A"/>
    <w:rsid w:val="00B17C3F"/>
    <w:rsid w:val="00B17E55"/>
    <w:rsid w:val="00B202B8"/>
    <w:rsid w:val="00B20468"/>
    <w:rsid w:val="00B20595"/>
    <w:rsid w:val="00B206AB"/>
    <w:rsid w:val="00B20959"/>
    <w:rsid w:val="00B20C30"/>
    <w:rsid w:val="00B20C32"/>
    <w:rsid w:val="00B20D4F"/>
    <w:rsid w:val="00B20F28"/>
    <w:rsid w:val="00B20F9E"/>
    <w:rsid w:val="00B21033"/>
    <w:rsid w:val="00B2105F"/>
    <w:rsid w:val="00B21068"/>
    <w:rsid w:val="00B21139"/>
    <w:rsid w:val="00B21406"/>
    <w:rsid w:val="00B2146B"/>
    <w:rsid w:val="00B21489"/>
    <w:rsid w:val="00B214C6"/>
    <w:rsid w:val="00B2160A"/>
    <w:rsid w:val="00B2173F"/>
    <w:rsid w:val="00B21B28"/>
    <w:rsid w:val="00B21BEA"/>
    <w:rsid w:val="00B21BF8"/>
    <w:rsid w:val="00B21D26"/>
    <w:rsid w:val="00B21D49"/>
    <w:rsid w:val="00B21EEC"/>
    <w:rsid w:val="00B21F93"/>
    <w:rsid w:val="00B2204D"/>
    <w:rsid w:val="00B220B7"/>
    <w:rsid w:val="00B222E2"/>
    <w:rsid w:val="00B2294F"/>
    <w:rsid w:val="00B229CA"/>
    <w:rsid w:val="00B22D43"/>
    <w:rsid w:val="00B22EC0"/>
    <w:rsid w:val="00B23099"/>
    <w:rsid w:val="00B23119"/>
    <w:rsid w:val="00B23275"/>
    <w:rsid w:val="00B2337E"/>
    <w:rsid w:val="00B234B7"/>
    <w:rsid w:val="00B23532"/>
    <w:rsid w:val="00B237BB"/>
    <w:rsid w:val="00B2384A"/>
    <w:rsid w:val="00B23987"/>
    <w:rsid w:val="00B23A8B"/>
    <w:rsid w:val="00B23E3B"/>
    <w:rsid w:val="00B23FAD"/>
    <w:rsid w:val="00B240E6"/>
    <w:rsid w:val="00B241DF"/>
    <w:rsid w:val="00B241F6"/>
    <w:rsid w:val="00B24235"/>
    <w:rsid w:val="00B2431E"/>
    <w:rsid w:val="00B2442F"/>
    <w:rsid w:val="00B24459"/>
    <w:rsid w:val="00B24469"/>
    <w:rsid w:val="00B24520"/>
    <w:rsid w:val="00B24692"/>
    <w:rsid w:val="00B247C1"/>
    <w:rsid w:val="00B24943"/>
    <w:rsid w:val="00B24A8E"/>
    <w:rsid w:val="00B24B2B"/>
    <w:rsid w:val="00B2522F"/>
    <w:rsid w:val="00B25284"/>
    <w:rsid w:val="00B25313"/>
    <w:rsid w:val="00B253B9"/>
    <w:rsid w:val="00B2541A"/>
    <w:rsid w:val="00B25632"/>
    <w:rsid w:val="00B256E5"/>
    <w:rsid w:val="00B25758"/>
    <w:rsid w:val="00B25B5F"/>
    <w:rsid w:val="00B25B87"/>
    <w:rsid w:val="00B25C3E"/>
    <w:rsid w:val="00B25F51"/>
    <w:rsid w:val="00B25F66"/>
    <w:rsid w:val="00B25FB3"/>
    <w:rsid w:val="00B26019"/>
    <w:rsid w:val="00B264DE"/>
    <w:rsid w:val="00B26566"/>
    <w:rsid w:val="00B26794"/>
    <w:rsid w:val="00B268F0"/>
    <w:rsid w:val="00B26A3A"/>
    <w:rsid w:val="00B26A97"/>
    <w:rsid w:val="00B26E35"/>
    <w:rsid w:val="00B26FCF"/>
    <w:rsid w:val="00B27003"/>
    <w:rsid w:val="00B2727F"/>
    <w:rsid w:val="00B2737D"/>
    <w:rsid w:val="00B275A6"/>
    <w:rsid w:val="00B275CE"/>
    <w:rsid w:val="00B275F8"/>
    <w:rsid w:val="00B27734"/>
    <w:rsid w:val="00B27800"/>
    <w:rsid w:val="00B2785F"/>
    <w:rsid w:val="00B2793D"/>
    <w:rsid w:val="00B27C27"/>
    <w:rsid w:val="00B27C3C"/>
    <w:rsid w:val="00B27C93"/>
    <w:rsid w:val="00B27FB2"/>
    <w:rsid w:val="00B300BD"/>
    <w:rsid w:val="00B303F1"/>
    <w:rsid w:val="00B30454"/>
    <w:rsid w:val="00B304E9"/>
    <w:rsid w:val="00B30A98"/>
    <w:rsid w:val="00B30AF8"/>
    <w:rsid w:val="00B30C3F"/>
    <w:rsid w:val="00B30EFB"/>
    <w:rsid w:val="00B30F5D"/>
    <w:rsid w:val="00B31126"/>
    <w:rsid w:val="00B311A0"/>
    <w:rsid w:val="00B311BD"/>
    <w:rsid w:val="00B31784"/>
    <w:rsid w:val="00B31800"/>
    <w:rsid w:val="00B31813"/>
    <w:rsid w:val="00B31987"/>
    <w:rsid w:val="00B319E7"/>
    <w:rsid w:val="00B31A22"/>
    <w:rsid w:val="00B31B7C"/>
    <w:rsid w:val="00B31BAD"/>
    <w:rsid w:val="00B31BD6"/>
    <w:rsid w:val="00B31BFB"/>
    <w:rsid w:val="00B31C1F"/>
    <w:rsid w:val="00B31C46"/>
    <w:rsid w:val="00B31D87"/>
    <w:rsid w:val="00B31FDC"/>
    <w:rsid w:val="00B320BE"/>
    <w:rsid w:val="00B32176"/>
    <w:rsid w:val="00B32525"/>
    <w:rsid w:val="00B32616"/>
    <w:rsid w:val="00B32679"/>
    <w:rsid w:val="00B32C54"/>
    <w:rsid w:val="00B32E49"/>
    <w:rsid w:val="00B32E60"/>
    <w:rsid w:val="00B334AB"/>
    <w:rsid w:val="00B336FE"/>
    <w:rsid w:val="00B33760"/>
    <w:rsid w:val="00B339E3"/>
    <w:rsid w:val="00B33A9A"/>
    <w:rsid w:val="00B33CB3"/>
    <w:rsid w:val="00B33FA1"/>
    <w:rsid w:val="00B33FEF"/>
    <w:rsid w:val="00B341B3"/>
    <w:rsid w:val="00B342F3"/>
    <w:rsid w:val="00B3433F"/>
    <w:rsid w:val="00B34367"/>
    <w:rsid w:val="00B3438D"/>
    <w:rsid w:val="00B343A9"/>
    <w:rsid w:val="00B343E1"/>
    <w:rsid w:val="00B34412"/>
    <w:rsid w:val="00B3456B"/>
    <w:rsid w:val="00B34770"/>
    <w:rsid w:val="00B34ABA"/>
    <w:rsid w:val="00B34DAF"/>
    <w:rsid w:val="00B34E58"/>
    <w:rsid w:val="00B34F8E"/>
    <w:rsid w:val="00B3507A"/>
    <w:rsid w:val="00B350B4"/>
    <w:rsid w:val="00B35287"/>
    <w:rsid w:val="00B353AD"/>
    <w:rsid w:val="00B35563"/>
    <w:rsid w:val="00B35825"/>
    <w:rsid w:val="00B35860"/>
    <w:rsid w:val="00B35866"/>
    <w:rsid w:val="00B3588D"/>
    <w:rsid w:val="00B358E9"/>
    <w:rsid w:val="00B358FC"/>
    <w:rsid w:val="00B35B1C"/>
    <w:rsid w:val="00B36071"/>
    <w:rsid w:val="00B36268"/>
    <w:rsid w:val="00B3644B"/>
    <w:rsid w:val="00B3659B"/>
    <w:rsid w:val="00B365B0"/>
    <w:rsid w:val="00B367BB"/>
    <w:rsid w:val="00B368F2"/>
    <w:rsid w:val="00B36A81"/>
    <w:rsid w:val="00B36BEE"/>
    <w:rsid w:val="00B36F6F"/>
    <w:rsid w:val="00B37067"/>
    <w:rsid w:val="00B370E9"/>
    <w:rsid w:val="00B370FE"/>
    <w:rsid w:val="00B37357"/>
    <w:rsid w:val="00B37378"/>
    <w:rsid w:val="00B375AB"/>
    <w:rsid w:val="00B375AF"/>
    <w:rsid w:val="00B3788B"/>
    <w:rsid w:val="00B378A8"/>
    <w:rsid w:val="00B378CA"/>
    <w:rsid w:val="00B37960"/>
    <w:rsid w:val="00B379BC"/>
    <w:rsid w:val="00B379EE"/>
    <w:rsid w:val="00B37AA8"/>
    <w:rsid w:val="00B37C43"/>
    <w:rsid w:val="00B37C5E"/>
    <w:rsid w:val="00B37DD6"/>
    <w:rsid w:val="00B37EEC"/>
    <w:rsid w:val="00B37F77"/>
    <w:rsid w:val="00B37FA7"/>
    <w:rsid w:val="00B40107"/>
    <w:rsid w:val="00B401A8"/>
    <w:rsid w:val="00B40354"/>
    <w:rsid w:val="00B40606"/>
    <w:rsid w:val="00B40676"/>
    <w:rsid w:val="00B40A98"/>
    <w:rsid w:val="00B40C4E"/>
    <w:rsid w:val="00B40D09"/>
    <w:rsid w:val="00B40D5B"/>
    <w:rsid w:val="00B40DAF"/>
    <w:rsid w:val="00B40DFC"/>
    <w:rsid w:val="00B40F6D"/>
    <w:rsid w:val="00B410E8"/>
    <w:rsid w:val="00B4125F"/>
    <w:rsid w:val="00B4164B"/>
    <w:rsid w:val="00B417EE"/>
    <w:rsid w:val="00B4193B"/>
    <w:rsid w:val="00B41DCA"/>
    <w:rsid w:val="00B41F7A"/>
    <w:rsid w:val="00B42145"/>
    <w:rsid w:val="00B424A9"/>
    <w:rsid w:val="00B424CE"/>
    <w:rsid w:val="00B427AA"/>
    <w:rsid w:val="00B42832"/>
    <w:rsid w:val="00B4291B"/>
    <w:rsid w:val="00B42A67"/>
    <w:rsid w:val="00B42B66"/>
    <w:rsid w:val="00B42CD4"/>
    <w:rsid w:val="00B42E11"/>
    <w:rsid w:val="00B42E34"/>
    <w:rsid w:val="00B43245"/>
    <w:rsid w:val="00B43387"/>
    <w:rsid w:val="00B433D2"/>
    <w:rsid w:val="00B4371E"/>
    <w:rsid w:val="00B43894"/>
    <w:rsid w:val="00B43924"/>
    <w:rsid w:val="00B43AF0"/>
    <w:rsid w:val="00B43BF4"/>
    <w:rsid w:val="00B440E8"/>
    <w:rsid w:val="00B44264"/>
    <w:rsid w:val="00B44333"/>
    <w:rsid w:val="00B44362"/>
    <w:rsid w:val="00B44523"/>
    <w:rsid w:val="00B44675"/>
    <w:rsid w:val="00B447AE"/>
    <w:rsid w:val="00B448FA"/>
    <w:rsid w:val="00B44A35"/>
    <w:rsid w:val="00B44A4D"/>
    <w:rsid w:val="00B44A56"/>
    <w:rsid w:val="00B44AB0"/>
    <w:rsid w:val="00B44B4A"/>
    <w:rsid w:val="00B44B61"/>
    <w:rsid w:val="00B44C99"/>
    <w:rsid w:val="00B4505F"/>
    <w:rsid w:val="00B452B2"/>
    <w:rsid w:val="00B4538C"/>
    <w:rsid w:val="00B45421"/>
    <w:rsid w:val="00B45669"/>
    <w:rsid w:val="00B45C6A"/>
    <w:rsid w:val="00B45CDD"/>
    <w:rsid w:val="00B4614E"/>
    <w:rsid w:val="00B461C7"/>
    <w:rsid w:val="00B463B3"/>
    <w:rsid w:val="00B463C9"/>
    <w:rsid w:val="00B463CF"/>
    <w:rsid w:val="00B46A1B"/>
    <w:rsid w:val="00B46AB2"/>
    <w:rsid w:val="00B46CDF"/>
    <w:rsid w:val="00B46DC8"/>
    <w:rsid w:val="00B46E05"/>
    <w:rsid w:val="00B46F72"/>
    <w:rsid w:val="00B46F8B"/>
    <w:rsid w:val="00B4708E"/>
    <w:rsid w:val="00B471B9"/>
    <w:rsid w:val="00B47206"/>
    <w:rsid w:val="00B4721E"/>
    <w:rsid w:val="00B47418"/>
    <w:rsid w:val="00B4746F"/>
    <w:rsid w:val="00B47518"/>
    <w:rsid w:val="00B47BC8"/>
    <w:rsid w:val="00B47BDB"/>
    <w:rsid w:val="00B47C83"/>
    <w:rsid w:val="00B47D11"/>
    <w:rsid w:val="00B50062"/>
    <w:rsid w:val="00B5010A"/>
    <w:rsid w:val="00B501FF"/>
    <w:rsid w:val="00B5050F"/>
    <w:rsid w:val="00B50608"/>
    <w:rsid w:val="00B5087E"/>
    <w:rsid w:val="00B508FC"/>
    <w:rsid w:val="00B50B27"/>
    <w:rsid w:val="00B50B5D"/>
    <w:rsid w:val="00B50B88"/>
    <w:rsid w:val="00B50E86"/>
    <w:rsid w:val="00B511EF"/>
    <w:rsid w:val="00B5130C"/>
    <w:rsid w:val="00B51365"/>
    <w:rsid w:val="00B5136C"/>
    <w:rsid w:val="00B513DA"/>
    <w:rsid w:val="00B515BD"/>
    <w:rsid w:val="00B517B1"/>
    <w:rsid w:val="00B518DE"/>
    <w:rsid w:val="00B518E9"/>
    <w:rsid w:val="00B51CA2"/>
    <w:rsid w:val="00B51F7F"/>
    <w:rsid w:val="00B51F8B"/>
    <w:rsid w:val="00B52149"/>
    <w:rsid w:val="00B52179"/>
    <w:rsid w:val="00B5237C"/>
    <w:rsid w:val="00B523A6"/>
    <w:rsid w:val="00B52489"/>
    <w:rsid w:val="00B525BD"/>
    <w:rsid w:val="00B52802"/>
    <w:rsid w:val="00B52854"/>
    <w:rsid w:val="00B528D0"/>
    <w:rsid w:val="00B528EE"/>
    <w:rsid w:val="00B529A9"/>
    <w:rsid w:val="00B529E8"/>
    <w:rsid w:val="00B52B15"/>
    <w:rsid w:val="00B52B8B"/>
    <w:rsid w:val="00B52D49"/>
    <w:rsid w:val="00B52E81"/>
    <w:rsid w:val="00B531EE"/>
    <w:rsid w:val="00B53260"/>
    <w:rsid w:val="00B532E7"/>
    <w:rsid w:val="00B533D7"/>
    <w:rsid w:val="00B534EA"/>
    <w:rsid w:val="00B5355F"/>
    <w:rsid w:val="00B535D4"/>
    <w:rsid w:val="00B536FE"/>
    <w:rsid w:val="00B53742"/>
    <w:rsid w:val="00B53901"/>
    <w:rsid w:val="00B539EA"/>
    <w:rsid w:val="00B53A64"/>
    <w:rsid w:val="00B53D61"/>
    <w:rsid w:val="00B53E40"/>
    <w:rsid w:val="00B54148"/>
    <w:rsid w:val="00B54188"/>
    <w:rsid w:val="00B54331"/>
    <w:rsid w:val="00B54521"/>
    <w:rsid w:val="00B5461F"/>
    <w:rsid w:val="00B546D6"/>
    <w:rsid w:val="00B54762"/>
    <w:rsid w:val="00B549EC"/>
    <w:rsid w:val="00B54AC6"/>
    <w:rsid w:val="00B54B06"/>
    <w:rsid w:val="00B54E93"/>
    <w:rsid w:val="00B54FC6"/>
    <w:rsid w:val="00B5533E"/>
    <w:rsid w:val="00B5541F"/>
    <w:rsid w:val="00B55438"/>
    <w:rsid w:val="00B554E5"/>
    <w:rsid w:val="00B55538"/>
    <w:rsid w:val="00B555A5"/>
    <w:rsid w:val="00B558E2"/>
    <w:rsid w:val="00B559A6"/>
    <w:rsid w:val="00B55A52"/>
    <w:rsid w:val="00B55CEE"/>
    <w:rsid w:val="00B561C3"/>
    <w:rsid w:val="00B56459"/>
    <w:rsid w:val="00B56479"/>
    <w:rsid w:val="00B564E2"/>
    <w:rsid w:val="00B5659D"/>
    <w:rsid w:val="00B5663A"/>
    <w:rsid w:val="00B56650"/>
    <w:rsid w:val="00B56697"/>
    <w:rsid w:val="00B566D7"/>
    <w:rsid w:val="00B56868"/>
    <w:rsid w:val="00B56A50"/>
    <w:rsid w:val="00B56A7D"/>
    <w:rsid w:val="00B56AE2"/>
    <w:rsid w:val="00B56CB3"/>
    <w:rsid w:val="00B56D6D"/>
    <w:rsid w:val="00B56E0D"/>
    <w:rsid w:val="00B56E2B"/>
    <w:rsid w:val="00B57011"/>
    <w:rsid w:val="00B5717E"/>
    <w:rsid w:val="00B57605"/>
    <w:rsid w:val="00B5760B"/>
    <w:rsid w:val="00B57629"/>
    <w:rsid w:val="00B5785C"/>
    <w:rsid w:val="00B5787F"/>
    <w:rsid w:val="00B5797B"/>
    <w:rsid w:val="00B579C4"/>
    <w:rsid w:val="00B57AD9"/>
    <w:rsid w:val="00B57D51"/>
    <w:rsid w:val="00B57D5E"/>
    <w:rsid w:val="00B6001D"/>
    <w:rsid w:val="00B60056"/>
    <w:rsid w:val="00B6014C"/>
    <w:rsid w:val="00B601FF"/>
    <w:rsid w:val="00B60261"/>
    <w:rsid w:val="00B60354"/>
    <w:rsid w:val="00B60355"/>
    <w:rsid w:val="00B60586"/>
    <w:rsid w:val="00B6094C"/>
    <w:rsid w:val="00B609FF"/>
    <w:rsid w:val="00B60A30"/>
    <w:rsid w:val="00B60AC2"/>
    <w:rsid w:val="00B60BE1"/>
    <w:rsid w:val="00B60C2C"/>
    <w:rsid w:val="00B60D11"/>
    <w:rsid w:val="00B60D38"/>
    <w:rsid w:val="00B60E8D"/>
    <w:rsid w:val="00B60E8E"/>
    <w:rsid w:val="00B60EEA"/>
    <w:rsid w:val="00B60F13"/>
    <w:rsid w:val="00B61049"/>
    <w:rsid w:val="00B61063"/>
    <w:rsid w:val="00B61173"/>
    <w:rsid w:val="00B61517"/>
    <w:rsid w:val="00B616F0"/>
    <w:rsid w:val="00B6185C"/>
    <w:rsid w:val="00B619C9"/>
    <w:rsid w:val="00B61A34"/>
    <w:rsid w:val="00B61D0B"/>
    <w:rsid w:val="00B61D5F"/>
    <w:rsid w:val="00B61D6E"/>
    <w:rsid w:val="00B61EE4"/>
    <w:rsid w:val="00B61EFB"/>
    <w:rsid w:val="00B61F35"/>
    <w:rsid w:val="00B61F48"/>
    <w:rsid w:val="00B61F6D"/>
    <w:rsid w:val="00B6232C"/>
    <w:rsid w:val="00B6241F"/>
    <w:rsid w:val="00B6249C"/>
    <w:rsid w:val="00B62527"/>
    <w:rsid w:val="00B6262C"/>
    <w:rsid w:val="00B62735"/>
    <w:rsid w:val="00B6286A"/>
    <w:rsid w:val="00B6296F"/>
    <w:rsid w:val="00B6299B"/>
    <w:rsid w:val="00B62BD5"/>
    <w:rsid w:val="00B62C7C"/>
    <w:rsid w:val="00B62CF7"/>
    <w:rsid w:val="00B62D01"/>
    <w:rsid w:val="00B62DB3"/>
    <w:rsid w:val="00B62E94"/>
    <w:rsid w:val="00B62F3B"/>
    <w:rsid w:val="00B62F95"/>
    <w:rsid w:val="00B6304D"/>
    <w:rsid w:val="00B63071"/>
    <w:rsid w:val="00B630B3"/>
    <w:rsid w:val="00B631D5"/>
    <w:rsid w:val="00B6323E"/>
    <w:rsid w:val="00B6326B"/>
    <w:rsid w:val="00B63A46"/>
    <w:rsid w:val="00B63AE2"/>
    <w:rsid w:val="00B63AEE"/>
    <w:rsid w:val="00B63BE0"/>
    <w:rsid w:val="00B63C44"/>
    <w:rsid w:val="00B63CB0"/>
    <w:rsid w:val="00B63F5F"/>
    <w:rsid w:val="00B64069"/>
    <w:rsid w:val="00B64095"/>
    <w:rsid w:val="00B6444B"/>
    <w:rsid w:val="00B64470"/>
    <w:rsid w:val="00B64477"/>
    <w:rsid w:val="00B64598"/>
    <w:rsid w:val="00B645CD"/>
    <w:rsid w:val="00B646EA"/>
    <w:rsid w:val="00B6477E"/>
    <w:rsid w:val="00B64953"/>
    <w:rsid w:val="00B649CE"/>
    <w:rsid w:val="00B64C2A"/>
    <w:rsid w:val="00B6526A"/>
    <w:rsid w:val="00B65331"/>
    <w:rsid w:val="00B6533C"/>
    <w:rsid w:val="00B653AC"/>
    <w:rsid w:val="00B654EE"/>
    <w:rsid w:val="00B6560F"/>
    <w:rsid w:val="00B65973"/>
    <w:rsid w:val="00B65A16"/>
    <w:rsid w:val="00B65A55"/>
    <w:rsid w:val="00B65AB6"/>
    <w:rsid w:val="00B65B08"/>
    <w:rsid w:val="00B65F3A"/>
    <w:rsid w:val="00B6602E"/>
    <w:rsid w:val="00B66248"/>
    <w:rsid w:val="00B667AE"/>
    <w:rsid w:val="00B667F0"/>
    <w:rsid w:val="00B66AA2"/>
    <w:rsid w:val="00B66E1A"/>
    <w:rsid w:val="00B66E49"/>
    <w:rsid w:val="00B67214"/>
    <w:rsid w:val="00B67374"/>
    <w:rsid w:val="00B673C2"/>
    <w:rsid w:val="00B674C1"/>
    <w:rsid w:val="00B67548"/>
    <w:rsid w:val="00B676B5"/>
    <w:rsid w:val="00B67717"/>
    <w:rsid w:val="00B678BB"/>
    <w:rsid w:val="00B67947"/>
    <w:rsid w:val="00B67B19"/>
    <w:rsid w:val="00B67BC5"/>
    <w:rsid w:val="00B67C99"/>
    <w:rsid w:val="00B67CAD"/>
    <w:rsid w:val="00B67D41"/>
    <w:rsid w:val="00B67DBA"/>
    <w:rsid w:val="00B6A3EF"/>
    <w:rsid w:val="00B700D3"/>
    <w:rsid w:val="00B70176"/>
    <w:rsid w:val="00B703B6"/>
    <w:rsid w:val="00B703BC"/>
    <w:rsid w:val="00B703C9"/>
    <w:rsid w:val="00B7047F"/>
    <w:rsid w:val="00B70512"/>
    <w:rsid w:val="00B70675"/>
    <w:rsid w:val="00B70713"/>
    <w:rsid w:val="00B708D5"/>
    <w:rsid w:val="00B708F1"/>
    <w:rsid w:val="00B70A9C"/>
    <w:rsid w:val="00B70B31"/>
    <w:rsid w:val="00B70B43"/>
    <w:rsid w:val="00B70D3A"/>
    <w:rsid w:val="00B70D49"/>
    <w:rsid w:val="00B70F2A"/>
    <w:rsid w:val="00B70F60"/>
    <w:rsid w:val="00B710E8"/>
    <w:rsid w:val="00B711A6"/>
    <w:rsid w:val="00B711B3"/>
    <w:rsid w:val="00B711E4"/>
    <w:rsid w:val="00B7125D"/>
    <w:rsid w:val="00B712AA"/>
    <w:rsid w:val="00B71382"/>
    <w:rsid w:val="00B715BA"/>
    <w:rsid w:val="00B7167C"/>
    <w:rsid w:val="00B716EC"/>
    <w:rsid w:val="00B718F4"/>
    <w:rsid w:val="00B71922"/>
    <w:rsid w:val="00B7192A"/>
    <w:rsid w:val="00B7199A"/>
    <w:rsid w:val="00B71BEE"/>
    <w:rsid w:val="00B71C12"/>
    <w:rsid w:val="00B71FB2"/>
    <w:rsid w:val="00B720F0"/>
    <w:rsid w:val="00B72301"/>
    <w:rsid w:val="00B72490"/>
    <w:rsid w:val="00B725C9"/>
    <w:rsid w:val="00B725DD"/>
    <w:rsid w:val="00B7261B"/>
    <w:rsid w:val="00B7262D"/>
    <w:rsid w:val="00B7273E"/>
    <w:rsid w:val="00B72851"/>
    <w:rsid w:val="00B72E8C"/>
    <w:rsid w:val="00B730D6"/>
    <w:rsid w:val="00B73469"/>
    <w:rsid w:val="00B73528"/>
    <w:rsid w:val="00B735E9"/>
    <w:rsid w:val="00B73647"/>
    <w:rsid w:val="00B73690"/>
    <w:rsid w:val="00B73C10"/>
    <w:rsid w:val="00B73C5A"/>
    <w:rsid w:val="00B73F7D"/>
    <w:rsid w:val="00B7401B"/>
    <w:rsid w:val="00B74499"/>
    <w:rsid w:val="00B7457B"/>
    <w:rsid w:val="00B74601"/>
    <w:rsid w:val="00B746BB"/>
    <w:rsid w:val="00B7487E"/>
    <w:rsid w:val="00B7496E"/>
    <w:rsid w:val="00B74C60"/>
    <w:rsid w:val="00B74D60"/>
    <w:rsid w:val="00B74EB0"/>
    <w:rsid w:val="00B75128"/>
    <w:rsid w:val="00B751D7"/>
    <w:rsid w:val="00B75200"/>
    <w:rsid w:val="00B75411"/>
    <w:rsid w:val="00B7556B"/>
    <w:rsid w:val="00B75613"/>
    <w:rsid w:val="00B75A11"/>
    <w:rsid w:val="00B75CDB"/>
    <w:rsid w:val="00B75CDF"/>
    <w:rsid w:val="00B75EFF"/>
    <w:rsid w:val="00B75F52"/>
    <w:rsid w:val="00B76044"/>
    <w:rsid w:val="00B7607D"/>
    <w:rsid w:val="00B760DE"/>
    <w:rsid w:val="00B76238"/>
    <w:rsid w:val="00B76387"/>
    <w:rsid w:val="00B76390"/>
    <w:rsid w:val="00B7662E"/>
    <w:rsid w:val="00B76788"/>
    <w:rsid w:val="00B767BC"/>
    <w:rsid w:val="00B76807"/>
    <w:rsid w:val="00B76871"/>
    <w:rsid w:val="00B76A82"/>
    <w:rsid w:val="00B76B2D"/>
    <w:rsid w:val="00B76CA0"/>
    <w:rsid w:val="00B76CA8"/>
    <w:rsid w:val="00B76D3D"/>
    <w:rsid w:val="00B76D6D"/>
    <w:rsid w:val="00B76EBE"/>
    <w:rsid w:val="00B76F8C"/>
    <w:rsid w:val="00B76FF3"/>
    <w:rsid w:val="00B77034"/>
    <w:rsid w:val="00B77098"/>
    <w:rsid w:val="00B7710D"/>
    <w:rsid w:val="00B77272"/>
    <w:rsid w:val="00B772DE"/>
    <w:rsid w:val="00B776C2"/>
    <w:rsid w:val="00B77719"/>
    <w:rsid w:val="00B77AA4"/>
    <w:rsid w:val="00B77B9B"/>
    <w:rsid w:val="00B77E42"/>
    <w:rsid w:val="00B77F2F"/>
    <w:rsid w:val="00B800A7"/>
    <w:rsid w:val="00B80267"/>
    <w:rsid w:val="00B8035A"/>
    <w:rsid w:val="00B80361"/>
    <w:rsid w:val="00B80399"/>
    <w:rsid w:val="00B805D8"/>
    <w:rsid w:val="00B8077E"/>
    <w:rsid w:val="00B80869"/>
    <w:rsid w:val="00B8096D"/>
    <w:rsid w:val="00B80991"/>
    <w:rsid w:val="00B80D50"/>
    <w:rsid w:val="00B80F57"/>
    <w:rsid w:val="00B81069"/>
    <w:rsid w:val="00B810EC"/>
    <w:rsid w:val="00B8117D"/>
    <w:rsid w:val="00B811C2"/>
    <w:rsid w:val="00B812E4"/>
    <w:rsid w:val="00B813F2"/>
    <w:rsid w:val="00B814AA"/>
    <w:rsid w:val="00B8169E"/>
    <w:rsid w:val="00B81795"/>
    <w:rsid w:val="00B817B6"/>
    <w:rsid w:val="00B81890"/>
    <w:rsid w:val="00B81973"/>
    <w:rsid w:val="00B81A64"/>
    <w:rsid w:val="00B81B60"/>
    <w:rsid w:val="00B81B91"/>
    <w:rsid w:val="00B81C98"/>
    <w:rsid w:val="00B81CF2"/>
    <w:rsid w:val="00B81EC2"/>
    <w:rsid w:val="00B81ED7"/>
    <w:rsid w:val="00B8203E"/>
    <w:rsid w:val="00B8209F"/>
    <w:rsid w:val="00B820B7"/>
    <w:rsid w:val="00B8235F"/>
    <w:rsid w:val="00B82505"/>
    <w:rsid w:val="00B82515"/>
    <w:rsid w:val="00B82635"/>
    <w:rsid w:val="00B8266F"/>
    <w:rsid w:val="00B82A75"/>
    <w:rsid w:val="00B82B5C"/>
    <w:rsid w:val="00B82C64"/>
    <w:rsid w:val="00B82E8B"/>
    <w:rsid w:val="00B82F4F"/>
    <w:rsid w:val="00B83009"/>
    <w:rsid w:val="00B8335B"/>
    <w:rsid w:val="00B836E3"/>
    <w:rsid w:val="00B83848"/>
    <w:rsid w:val="00B83A98"/>
    <w:rsid w:val="00B83BC3"/>
    <w:rsid w:val="00B83C55"/>
    <w:rsid w:val="00B83CA0"/>
    <w:rsid w:val="00B83CE0"/>
    <w:rsid w:val="00B84155"/>
    <w:rsid w:val="00B84176"/>
    <w:rsid w:val="00B8428A"/>
    <w:rsid w:val="00B843AE"/>
    <w:rsid w:val="00B844BF"/>
    <w:rsid w:val="00B845AF"/>
    <w:rsid w:val="00B84639"/>
    <w:rsid w:val="00B848BB"/>
    <w:rsid w:val="00B849CD"/>
    <w:rsid w:val="00B84D1F"/>
    <w:rsid w:val="00B84DE5"/>
    <w:rsid w:val="00B84F93"/>
    <w:rsid w:val="00B84FAA"/>
    <w:rsid w:val="00B85085"/>
    <w:rsid w:val="00B85549"/>
    <w:rsid w:val="00B856BC"/>
    <w:rsid w:val="00B85794"/>
    <w:rsid w:val="00B857B7"/>
    <w:rsid w:val="00B858F4"/>
    <w:rsid w:val="00B85A60"/>
    <w:rsid w:val="00B85A78"/>
    <w:rsid w:val="00B85BB7"/>
    <w:rsid w:val="00B8601D"/>
    <w:rsid w:val="00B863B6"/>
    <w:rsid w:val="00B8643E"/>
    <w:rsid w:val="00B86535"/>
    <w:rsid w:val="00B86609"/>
    <w:rsid w:val="00B86780"/>
    <w:rsid w:val="00B8679A"/>
    <w:rsid w:val="00B86809"/>
    <w:rsid w:val="00B86836"/>
    <w:rsid w:val="00B86849"/>
    <w:rsid w:val="00B868B4"/>
    <w:rsid w:val="00B86A16"/>
    <w:rsid w:val="00B86DF9"/>
    <w:rsid w:val="00B8700B"/>
    <w:rsid w:val="00B8703B"/>
    <w:rsid w:val="00B8704B"/>
    <w:rsid w:val="00B8731D"/>
    <w:rsid w:val="00B87407"/>
    <w:rsid w:val="00B87484"/>
    <w:rsid w:val="00B8758C"/>
    <w:rsid w:val="00B875D3"/>
    <w:rsid w:val="00B87637"/>
    <w:rsid w:val="00B87950"/>
    <w:rsid w:val="00B87989"/>
    <w:rsid w:val="00B87BA0"/>
    <w:rsid w:val="00B87D69"/>
    <w:rsid w:val="00B87F80"/>
    <w:rsid w:val="00B9004C"/>
    <w:rsid w:val="00B9019A"/>
    <w:rsid w:val="00B90399"/>
    <w:rsid w:val="00B903AC"/>
    <w:rsid w:val="00B9044E"/>
    <w:rsid w:val="00B904E1"/>
    <w:rsid w:val="00B90690"/>
    <w:rsid w:val="00B90A9A"/>
    <w:rsid w:val="00B90B08"/>
    <w:rsid w:val="00B90CD4"/>
    <w:rsid w:val="00B90EB1"/>
    <w:rsid w:val="00B9100B"/>
    <w:rsid w:val="00B91350"/>
    <w:rsid w:val="00B9151B"/>
    <w:rsid w:val="00B91533"/>
    <w:rsid w:val="00B916B9"/>
    <w:rsid w:val="00B917C3"/>
    <w:rsid w:val="00B9196F"/>
    <w:rsid w:val="00B91EAD"/>
    <w:rsid w:val="00B91FC0"/>
    <w:rsid w:val="00B92132"/>
    <w:rsid w:val="00B921AA"/>
    <w:rsid w:val="00B92299"/>
    <w:rsid w:val="00B922B4"/>
    <w:rsid w:val="00B9237B"/>
    <w:rsid w:val="00B9239A"/>
    <w:rsid w:val="00B923AD"/>
    <w:rsid w:val="00B9244D"/>
    <w:rsid w:val="00B9249F"/>
    <w:rsid w:val="00B92693"/>
    <w:rsid w:val="00B92BDC"/>
    <w:rsid w:val="00B92C88"/>
    <w:rsid w:val="00B92EA0"/>
    <w:rsid w:val="00B92F62"/>
    <w:rsid w:val="00B92F7C"/>
    <w:rsid w:val="00B9303A"/>
    <w:rsid w:val="00B9303E"/>
    <w:rsid w:val="00B9310E"/>
    <w:rsid w:val="00B93659"/>
    <w:rsid w:val="00B9379F"/>
    <w:rsid w:val="00B93AB7"/>
    <w:rsid w:val="00B93AF3"/>
    <w:rsid w:val="00B93C9F"/>
    <w:rsid w:val="00B93CBA"/>
    <w:rsid w:val="00B93CED"/>
    <w:rsid w:val="00B93F22"/>
    <w:rsid w:val="00B940BB"/>
    <w:rsid w:val="00B9420F"/>
    <w:rsid w:val="00B942DA"/>
    <w:rsid w:val="00B94320"/>
    <w:rsid w:val="00B943E6"/>
    <w:rsid w:val="00B94432"/>
    <w:rsid w:val="00B946AE"/>
    <w:rsid w:val="00B948D8"/>
    <w:rsid w:val="00B9498D"/>
    <w:rsid w:val="00B949EA"/>
    <w:rsid w:val="00B94A03"/>
    <w:rsid w:val="00B94A4F"/>
    <w:rsid w:val="00B94AF3"/>
    <w:rsid w:val="00B94B2E"/>
    <w:rsid w:val="00B94B8B"/>
    <w:rsid w:val="00B94BC6"/>
    <w:rsid w:val="00B94CDF"/>
    <w:rsid w:val="00B94D8B"/>
    <w:rsid w:val="00B94DAE"/>
    <w:rsid w:val="00B95119"/>
    <w:rsid w:val="00B951D4"/>
    <w:rsid w:val="00B95353"/>
    <w:rsid w:val="00B95485"/>
    <w:rsid w:val="00B956DD"/>
    <w:rsid w:val="00B956E3"/>
    <w:rsid w:val="00B959FD"/>
    <w:rsid w:val="00B95BEA"/>
    <w:rsid w:val="00B95F87"/>
    <w:rsid w:val="00B9614F"/>
    <w:rsid w:val="00B9627E"/>
    <w:rsid w:val="00B962A4"/>
    <w:rsid w:val="00B962D6"/>
    <w:rsid w:val="00B962EA"/>
    <w:rsid w:val="00B96664"/>
    <w:rsid w:val="00B96793"/>
    <w:rsid w:val="00B969C9"/>
    <w:rsid w:val="00B96A1D"/>
    <w:rsid w:val="00B96B02"/>
    <w:rsid w:val="00B96F03"/>
    <w:rsid w:val="00B97059"/>
    <w:rsid w:val="00B9725F"/>
    <w:rsid w:val="00B9733E"/>
    <w:rsid w:val="00B97507"/>
    <w:rsid w:val="00B97544"/>
    <w:rsid w:val="00B9757F"/>
    <w:rsid w:val="00B97632"/>
    <w:rsid w:val="00B97767"/>
    <w:rsid w:val="00B9781C"/>
    <w:rsid w:val="00B9787C"/>
    <w:rsid w:val="00B978BD"/>
    <w:rsid w:val="00B979B4"/>
    <w:rsid w:val="00B97ED3"/>
    <w:rsid w:val="00B97EE3"/>
    <w:rsid w:val="00B97F3F"/>
    <w:rsid w:val="00BA0004"/>
    <w:rsid w:val="00BA0042"/>
    <w:rsid w:val="00BA0082"/>
    <w:rsid w:val="00BA009C"/>
    <w:rsid w:val="00BA00AC"/>
    <w:rsid w:val="00BA014E"/>
    <w:rsid w:val="00BA03DC"/>
    <w:rsid w:val="00BA09A3"/>
    <w:rsid w:val="00BA0E21"/>
    <w:rsid w:val="00BA102F"/>
    <w:rsid w:val="00BA115F"/>
    <w:rsid w:val="00BA125C"/>
    <w:rsid w:val="00BA12F0"/>
    <w:rsid w:val="00BA1317"/>
    <w:rsid w:val="00BA14FB"/>
    <w:rsid w:val="00BA151B"/>
    <w:rsid w:val="00BA15C9"/>
    <w:rsid w:val="00BA16D4"/>
    <w:rsid w:val="00BA1891"/>
    <w:rsid w:val="00BA1A07"/>
    <w:rsid w:val="00BA1B38"/>
    <w:rsid w:val="00BA1B3D"/>
    <w:rsid w:val="00BA1BA3"/>
    <w:rsid w:val="00BA1CCC"/>
    <w:rsid w:val="00BA1D48"/>
    <w:rsid w:val="00BA206E"/>
    <w:rsid w:val="00BA244B"/>
    <w:rsid w:val="00BA2546"/>
    <w:rsid w:val="00BA27CF"/>
    <w:rsid w:val="00BA2BFB"/>
    <w:rsid w:val="00BA2C42"/>
    <w:rsid w:val="00BA2CB0"/>
    <w:rsid w:val="00BA2DCF"/>
    <w:rsid w:val="00BA2E9F"/>
    <w:rsid w:val="00BA3036"/>
    <w:rsid w:val="00BA30A0"/>
    <w:rsid w:val="00BA3248"/>
    <w:rsid w:val="00BA3518"/>
    <w:rsid w:val="00BA36F3"/>
    <w:rsid w:val="00BA3779"/>
    <w:rsid w:val="00BA38C3"/>
    <w:rsid w:val="00BA38F6"/>
    <w:rsid w:val="00BA3937"/>
    <w:rsid w:val="00BA3B1B"/>
    <w:rsid w:val="00BA3B99"/>
    <w:rsid w:val="00BA3C20"/>
    <w:rsid w:val="00BA3CCE"/>
    <w:rsid w:val="00BA3D50"/>
    <w:rsid w:val="00BA3DB8"/>
    <w:rsid w:val="00BA3E0C"/>
    <w:rsid w:val="00BA3E6C"/>
    <w:rsid w:val="00BA4323"/>
    <w:rsid w:val="00BA446E"/>
    <w:rsid w:val="00BA469A"/>
    <w:rsid w:val="00BA46A6"/>
    <w:rsid w:val="00BA47B3"/>
    <w:rsid w:val="00BA4A00"/>
    <w:rsid w:val="00BA4A72"/>
    <w:rsid w:val="00BA4B25"/>
    <w:rsid w:val="00BA4BCE"/>
    <w:rsid w:val="00BA4CA5"/>
    <w:rsid w:val="00BA519B"/>
    <w:rsid w:val="00BA5231"/>
    <w:rsid w:val="00BA5443"/>
    <w:rsid w:val="00BA54BE"/>
    <w:rsid w:val="00BA58DA"/>
    <w:rsid w:val="00BA5AD7"/>
    <w:rsid w:val="00BA5D5B"/>
    <w:rsid w:val="00BA5F37"/>
    <w:rsid w:val="00BA5FDD"/>
    <w:rsid w:val="00BA6092"/>
    <w:rsid w:val="00BA60A2"/>
    <w:rsid w:val="00BA61A5"/>
    <w:rsid w:val="00BA625A"/>
    <w:rsid w:val="00BA64E1"/>
    <w:rsid w:val="00BA668A"/>
    <w:rsid w:val="00BA6A18"/>
    <w:rsid w:val="00BA6D4E"/>
    <w:rsid w:val="00BA6F38"/>
    <w:rsid w:val="00BA719A"/>
    <w:rsid w:val="00BA729D"/>
    <w:rsid w:val="00BA73E8"/>
    <w:rsid w:val="00BA7586"/>
    <w:rsid w:val="00BA77E2"/>
    <w:rsid w:val="00BA7ABC"/>
    <w:rsid w:val="00BA7BB7"/>
    <w:rsid w:val="00BA7BC7"/>
    <w:rsid w:val="00BA7DD6"/>
    <w:rsid w:val="00BA7F0E"/>
    <w:rsid w:val="00BB0482"/>
    <w:rsid w:val="00BB056E"/>
    <w:rsid w:val="00BB06C7"/>
    <w:rsid w:val="00BB0A16"/>
    <w:rsid w:val="00BB0A41"/>
    <w:rsid w:val="00BB0B92"/>
    <w:rsid w:val="00BB0C59"/>
    <w:rsid w:val="00BB0F64"/>
    <w:rsid w:val="00BB10ED"/>
    <w:rsid w:val="00BB1195"/>
    <w:rsid w:val="00BB1329"/>
    <w:rsid w:val="00BB134B"/>
    <w:rsid w:val="00BB16C7"/>
    <w:rsid w:val="00BB16F8"/>
    <w:rsid w:val="00BB16FF"/>
    <w:rsid w:val="00BB174E"/>
    <w:rsid w:val="00BB1765"/>
    <w:rsid w:val="00BB176F"/>
    <w:rsid w:val="00BB1792"/>
    <w:rsid w:val="00BB18DA"/>
    <w:rsid w:val="00BB1A26"/>
    <w:rsid w:val="00BB1AEF"/>
    <w:rsid w:val="00BB1DAF"/>
    <w:rsid w:val="00BB1DCC"/>
    <w:rsid w:val="00BB1E14"/>
    <w:rsid w:val="00BB1FBA"/>
    <w:rsid w:val="00BB20CF"/>
    <w:rsid w:val="00BB22CD"/>
    <w:rsid w:val="00BB230A"/>
    <w:rsid w:val="00BB23FE"/>
    <w:rsid w:val="00BB26D6"/>
    <w:rsid w:val="00BB27FF"/>
    <w:rsid w:val="00BB28F5"/>
    <w:rsid w:val="00BB2BF0"/>
    <w:rsid w:val="00BB2CE8"/>
    <w:rsid w:val="00BB2DAB"/>
    <w:rsid w:val="00BB2DE3"/>
    <w:rsid w:val="00BB2F37"/>
    <w:rsid w:val="00BB3048"/>
    <w:rsid w:val="00BB3278"/>
    <w:rsid w:val="00BB34AE"/>
    <w:rsid w:val="00BB3D2B"/>
    <w:rsid w:val="00BB3D93"/>
    <w:rsid w:val="00BB405A"/>
    <w:rsid w:val="00BB4264"/>
    <w:rsid w:val="00BB42A8"/>
    <w:rsid w:val="00BB4388"/>
    <w:rsid w:val="00BB43C2"/>
    <w:rsid w:val="00BB43CB"/>
    <w:rsid w:val="00BB454C"/>
    <w:rsid w:val="00BB4550"/>
    <w:rsid w:val="00BB45F9"/>
    <w:rsid w:val="00BB46FB"/>
    <w:rsid w:val="00BB49D5"/>
    <w:rsid w:val="00BB4AB1"/>
    <w:rsid w:val="00BB4BBD"/>
    <w:rsid w:val="00BB4BDB"/>
    <w:rsid w:val="00BB4C1E"/>
    <w:rsid w:val="00BB51C2"/>
    <w:rsid w:val="00BB54C8"/>
    <w:rsid w:val="00BB56AB"/>
    <w:rsid w:val="00BB56F0"/>
    <w:rsid w:val="00BB57A9"/>
    <w:rsid w:val="00BB5947"/>
    <w:rsid w:val="00BB59C5"/>
    <w:rsid w:val="00BB5AAB"/>
    <w:rsid w:val="00BB5AED"/>
    <w:rsid w:val="00BB5B3F"/>
    <w:rsid w:val="00BB5D2F"/>
    <w:rsid w:val="00BB5DFC"/>
    <w:rsid w:val="00BB5E64"/>
    <w:rsid w:val="00BB5F07"/>
    <w:rsid w:val="00BB606B"/>
    <w:rsid w:val="00BB6115"/>
    <w:rsid w:val="00BB6221"/>
    <w:rsid w:val="00BB62C9"/>
    <w:rsid w:val="00BB64F7"/>
    <w:rsid w:val="00BB654A"/>
    <w:rsid w:val="00BB6553"/>
    <w:rsid w:val="00BB6660"/>
    <w:rsid w:val="00BB6753"/>
    <w:rsid w:val="00BB67C8"/>
    <w:rsid w:val="00BB682B"/>
    <w:rsid w:val="00BB6978"/>
    <w:rsid w:val="00BB6ACE"/>
    <w:rsid w:val="00BB6BC5"/>
    <w:rsid w:val="00BB6BE8"/>
    <w:rsid w:val="00BB6C73"/>
    <w:rsid w:val="00BB6E33"/>
    <w:rsid w:val="00BB6E76"/>
    <w:rsid w:val="00BB72E7"/>
    <w:rsid w:val="00BB73A6"/>
    <w:rsid w:val="00BB763B"/>
    <w:rsid w:val="00BB76B7"/>
    <w:rsid w:val="00BB7732"/>
    <w:rsid w:val="00BB776A"/>
    <w:rsid w:val="00BB7898"/>
    <w:rsid w:val="00BB7B88"/>
    <w:rsid w:val="00BB7C07"/>
    <w:rsid w:val="00BB7C38"/>
    <w:rsid w:val="00BC00B9"/>
    <w:rsid w:val="00BC02C6"/>
    <w:rsid w:val="00BC0772"/>
    <w:rsid w:val="00BC0821"/>
    <w:rsid w:val="00BC08C5"/>
    <w:rsid w:val="00BC09CF"/>
    <w:rsid w:val="00BC0A08"/>
    <w:rsid w:val="00BC0BB5"/>
    <w:rsid w:val="00BC0E5E"/>
    <w:rsid w:val="00BC0EA1"/>
    <w:rsid w:val="00BC10F6"/>
    <w:rsid w:val="00BC1476"/>
    <w:rsid w:val="00BC14AA"/>
    <w:rsid w:val="00BC159B"/>
    <w:rsid w:val="00BC1785"/>
    <w:rsid w:val="00BC19B1"/>
    <w:rsid w:val="00BC19E9"/>
    <w:rsid w:val="00BC1AE5"/>
    <w:rsid w:val="00BC1B65"/>
    <w:rsid w:val="00BC1C7B"/>
    <w:rsid w:val="00BC1F35"/>
    <w:rsid w:val="00BC25C2"/>
    <w:rsid w:val="00BC27D7"/>
    <w:rsid w:val="00BC284B"/>
    <w:rsid w:val="00BC28FD"/>
    <w:rsid w:val="00BC29E3"/>
    <w:rsid w:val="00BC2AF9"/>
    <w:rsid w:val="00BC2BCB"/>
    <w:rsid w:val="00BC2F14"/>
    <w:rsid w:val="00BC2F5C"/>
    <w:rsid w:val="00BC30A3"/>
    <w:rsid w:val="00BC324A"/>
    <w:rsid w:val="00BC3399"/>
    <w:rsid w:val="00BC373E"/>
    <w:rsid w:val="00BC385F"/>
    <w:rsid w:val="00BC3A7C"/>
    <w:rsid w:val="00BC3AC7"/>
    <w:rsid w:val="00BC3AF7"/>
    <w:rsid w:val="00BC3E2D"/>
    <w:rsid w:val="00BC3EB1"/>
    <w:rsid w:val="00BC4115"/>
    <w:rsid w:val="00BC411E"/>
    <w:rsid w:val="00BC4373"/>
    <w:rsid w:val="00BC48B5"/>
    <w:rsid w:val="00BC4928"/>
    <w:rsid w:val="00BC4A03"/>
    <w:rsid w:val="00BC4AC6"/>
    <w:rsid w:val="00BC4B36"/>
    <w:rsid w:val="00BC4B8B"/>
    <w:rsid w:val="00BC4E46"/>
    <w:rsid w:val="00BC4F57"/>
    <w:rsid w:val="00BC5479"/>
    <w:rsid w:val="00BC576C"/>
    <w:rsid w:val="00BC5788"/>
    <w:rsid w:val="00BC595D"/>
    <w:rsid w:val="00BC597C"/>
    <w:rsid w:val="00BC5AF8"/>
    <w:rsid w:val="00BC5B62"/>
    <w:rsid w:val="00BC5BBD"/>
    <w:rsid w:val="00BC5BEC"/>
    <w:rsid w:val="00BC5CCF"/>
    <w:rsid w:val="00BC5F4F"/>
    <w:rsid w:val="00BC607D"/>
    <w:rsid w:val="00BC61BA"/>
    <w:rsid w:val="00BC6209"/>
    <w:rsid w:val="00BC6248"/>
    <w:rsid w:val="00BC63C5"/>
    <w:rsid w:val="00BC6520"/>
    <w:rsid w:val="00BC6528"/>
    <w:rsid w:val="00BC673B"/>
    <w:rsid w:val="00BC6AC6"/>
    <w:rsid w:val="00BC6D13"/>
    <w:rsid w:val="00BC6D52"/>
    <w:rsid w:val="00BC6D7C"/>
    <w:rsid w:val="00BC6E1F"/>
    <w:rsid w:val="00BC6E69"/>
    <w:rsid w:val="00BC6EEF"/>
    <w:rsid w:val="00BC6F2D"/>
    <w:rsid w:val="00BC720B"/>
    <w:rsid w:val="00BC722C"/>
    <w:rsid w:val="00BC73DD"/>
    <w:rsid w:val="00BC73E0"/>
    <w:rsid w:val="00BC7478"/>
    <w:rsid w:val="00BC75C5"/>
    <w:rsid w:val="00BC7690"/>
    <w:rsid w:val="00BC788F"/>
    <w:rsid w:val="00BC78CF"/>
    <w:rsid w:val="00BC7B81"/>
    <w:rsid w:val="00BC7CC6"/>
    <w:rsid w:val="00BC7D39"/>
    <w:rsid w:val="00BC7F0A"/>
    <w:rsid w:val="00BD002F"/>
    <w:rsid w:val="00BD0075"/>
    <w:rsid w:val="00BD01D0"/>
    <w:rsid w:val="00BD01D3"/>
    <w:rsid w:val="00BD02FE"/>
    <w:rsid w:val="00BD07F3"/>
    <w:rsid w:val="00BD0832"/>
    <w:rsid w:val="00BD09A7"/>
    <w:rsid w:val="00BD09FE"/>
    <w:rsid w:val="00BD0BF9"/>
    <w:rsid w:val="00BD0D5D"/>
    <w:rsid w:val="00BD0DB6"/>
    <w:rsid w:val="00BD0E53"/>
    <w:rsid w:val="00BD0F6C"/>
    <w:rsid w:val="00BD1052"/>
    <w:rsid w:val="00BD1131"/>
    <w:rsid w:val="00BD11EE"/>
    <w:rsid w:val="00BD11FE"/>
    <w:rsid w:val="00BD127C"/>
    <w:rsid w:val="00BD14F6"/>
    <w:rsid w:val="00BD1501"/>
    <w:rsid w:val="00BD1525"/>
    <w:rsid w:val="00BD1657"/>
    <w:rsid w:val="00BD1683"/>
    <w:rsid w:val="00BD184A"/>
    <w:rsid w:val="00BD186B"/>
    <w:rsid w:val="00BD1A32"/>
    <w:rsid w:val="00BD2046"/>
    <w:rsid w:val="00BD2235"/>
    <w:rsid w:val="00BD2247"/>
    <w:rsid w:val="00BD226A"/>
    <w:rsid w:val="00BD226F"/>
    <w:rsid w:val="00BD228B"/>
    <w:rsid w:val="00BD23F4"/>
    <w:rsid w:val="00BD24B9"/>
    <w:rsid w:val="00BD2790"/>
    <w:rsid w:val="00BD2925"/>
    <w:rsid w:val="00BD29C2"/>
    <w:rsid w:val="00BD2A2C"/>
    <w:rsid w:val="00BD2A55"/>
    <w:rsid w:val="00BD2A8D"/>
    <w:rsid w:val="00BD2C69"/>
    <w:rsid w:val="00BD2C8C"/>
    <w:rsid w:val="00BD2FB6"/>
    <w:rsid w:val="00BD30CB"/>
    <w:rsid w:val="00BD331A"/>
    <w:rsid w:val="00BD34F6"/>
    <w:rsid w:val="00BD3866"/>
    <w:rsid w:val="00BD3A04"/>
    <w:rsid w:val="00BD3AC8"/>
    <w:rsid w:val="00BD3D14"/>
    <w:rsid w:val="00BD4111"/>
    <w:rsid w:val="00BD4136"/>
    <w:rsid w:val="00BD4165"/>
    <w:rsid w:val="00BD41A1"/>
    <w:rsid w:val="00BD437B"/>
    <w:rsid w:val="00BD43DC"/>
    <w:rsid w:val="00BD4407"/>
    <w:rsid w:val="00BD4875"/>
    <w:rsid w:val="00BD4988"/>
    <w:rsid w:val="00BD4B89"/>
    <w:rsid w:val="00BD4C8E"/>
    <w:rsid w:val="00BD4D18"/>
    <w:rsid w:val="00BD4F6E"/>
    <w:rsid w:val="00BD553F"/>
    <w:rsid w:val="00BD57A8"/>
    <w:rsid w:val="00BD588C"/>
    <w:rsid w:val="00BD59CD"/>
    <w:rsid w:val="00BD5ACC"/>
    <w:rsid w:val="00BD5C0C"/>
    <w:rsid w:val="00BD5ED2"/>
    <w:rsid w:val="00BD6082"/>
    <w:rsid w:val="00BD609A"/>
    <w:rsid w:val="00BD622C"/>
    <w:rsid w:val="00BD62E5"/>
    <w:rsid w:val="00BD6348"/>
    <w:rsid w:val="00BD644C"/>
    <w:rsid w:val="00BD6451"/>
    <w:rsid w:val="00BD656A"/>
    <w:rsid w:val="00BD6576"/>
    <w:rsid w:val="00BD65CC"/>
    <w:rsid w:val="00BD66C1"/>
    <w:rsid w:val="00BD67DE"/>
    <w:rsid w:val="00BD6A60"/>
    <w:rsid w:val="00BD6BFD"/>
    <w:rsid w:val="00BD6D2B"/>
    <w:rsid w:val="00BD6F60"/>
    <w:rsid w:val="00BD72B7"/>
    <w:rsid w:val="00BD7331"/>
    <w:rsid w:val="00BD7629"/>
    <w:rsid w:val="00BD76D8"/>
    <w:rsid w:val="00BD79C1"/>
    <w:rsid w:val="00BD7B27"/>
    <w:rsid w:val="00BD7B2C"/>
    <w:rsid w:val="00BD7B32"/>
    <w:rsid w:val="00BD7B39"/>
    <w:rsid w:val="00BD7B7E"/>
    <w:rsid w:val="00BD7D21"/>
    <w:rsid w:val="00BD7E15"/>
    <w:rsid w:val="00BD7E30"/>
    <w:rsid w:val="00BD7EEC"/>
    <w:rsid w:val="00BD7F2E"/>
    <w:rsid w:val="00BE0014"/>
    <w:rsid w:val="00BE0031"/>
    <w:rsid w:val="00BE0134"/>
    <w:rsid w:val="00BE0206"/>
    <w:rsid w:val="00BE0388"/>
    <w:rsid w:val="00BE04A2"/>
    <w:rsid w:val="00BE0785"/>
    <w:rsid w:val="00BE078D"/>
    <w:rsid w:val="00BE0868"/>
    <w:rsid w:val="00BE0B86"/>
    <w:rsid w:val="00BE0BBE"/>
    <w:rsid w:val="00BE0D33"/>
    <w:rsid w:val="00BE0DEC"/>
    <w:rsid w:val="00BE14D9"/>
    <w:rsid w:val="00BE171D"/>
    <w:rsid w:val="00BE172B"/>
    <w:rsid w:val="00BE186E"/>
    <w:rsid w:val="00BE196A"/>
    <w:rsid w:val="00BE19A7"/>
    <w:rsid w:val="00BE1ACE"/>
    <w:rsid w:val="00BE1B3B"/>
    <w:rsid w:val="00BE1DA1"/>
    <w:rsid w:val="00BE1E4A"/>
    <w:rsid w:val="00BE1F28"/>
    <w:rsid w:val="00BE211D"/>
    <w:rsid w:val="00BE237D"/>
    <w:rsid w:val="00BE24A9"/>
    <w:rsid w:val="00BE263A"/>
    <w:rsid w:val="00BE263C"/>
    <w:rsid w:val="00BE270A"/>
    <w:rsid w:val="00BE276C"/>
    <w:rsid w:val="00BE2900"/>
    <w:rsid w:val="00BE299D"/>
    <w:rsid w:val="00BE29D5"/>
    <w:rsid w:val="00BE2AB2"/>
    <w:rsid w:val="00BE2C07"/>
    <w:rsid w:val="00BE2C29"/>
    <w:rsid w:val="00BE2FF2"/>
    <w:rsid w:val="00BE3140"/>
    <w:rsid w:val="00BE31F9"/>
    <w:rsid w:val="00BE33F1"/>
    <w:rsid w:val="00BE342E"/>
    <w:rsid w:val="00BE3459"/>
    <w:rsid w:val="00BE362A"/>
    <w:rsid w:val="00BE380C"/>
    <w:rsid w:val="00BE383E"/>
    <w:rsid w:val="00BE38F6"/>
    <w:rsid w:val="00BE3B13"/>
    <w:rsid w:val="00BE3B6D"/>
    <w:rsid w:val="00BE3BC2"/>
    <w:rsid w:val="00BE3C2B"/>
    <w:rsid w:val="00BE3F90"/>
    <w:rsid w:val="00BE40DF"/>
    <w:rsid w:val="00BE41F2"/>
    <w:rsid w:val="00BE42C7"/>
    <w:rsid w:val="00BE42FE"/>
    <w:rsid w:val="00BE43D9"/>
    <w:rsid w:val="00BE4607"/>
    <w:rsid w:val="00BE4753"/>
    <w:rsid w:val="00BE4A37"/>
    <w:rsid w:val="00BE4BA2"/>
    <w:rsid w:val="00BE4C18"/>
    <w:rsid w:val="00BE4C46"/>
    <w:rsid w:val="00BE4C7D"/>
    <w:rsid w:val="00BE4CCD"/>
    <w:rsid w:val="00BE4E92"/>
    <w:rsid w:val="00BE5013"/>
    <w:rsid w:val="00BE50A5"/>
    <w:rsid w:val="00BE50C2"/>
    <w:rsid w:val="00BE51C2"/>
    <w:rsid w:val="00BE53BC"/>
    <w:rsid w:val="00BE55F5"/>
    <w:rsid w:val="00BE56A1"/>
    <w:rsid w:val="00BE56EA"/>
    <w:rsid w:val="00BE5D63"/>
    <w:rsid w:val="00BE5DDB"/>
    <w:rsid w:val="00BE5F54"/>
    <w:rsid w:val="00BE5FE1"/>
    <w:rsid w:val="00BE609E"/>
    <w:rsid w:val="00BE6201"/>
    <w:rsid w:val="00BE62A9"/>
    <w:rsid w:val="00BE63BA"/>
    <w:rsid w:val="00BE6675"/>
    <w:rsid w:val="00BE6720"/>
    <w:rsid w:val="00BE684B"/>
    <w:rsid w:val="00BE6871"/>
    <w:rsid w:val="00BE693D"/>
    <w:rsid w:val="00BE6A39"/>
    <w:rsid w:val="00BE6AE7"/>
    <w:rsid w:val="00BE6C40"/>
    <w:rsid w:val="00BE7068"/>
    <w:rsid w:val="00BE712A"/>
    <w:rsid w:val="00BE71F3"/>
    <w:rsid w:val="00BE7447"/>
    <w:rsid w:val="00BE76B7"/>
    <w:rsid w:val="00BE76CE"/>
    <w:rsid w:val="00BE7800"/>
    <w:rsid w:val="00BE7950"/>
    <w:rsid w:val="00BE7A94"/>
    <w:rsid w:val="00BE7AED"/>
    <w:rsid w:val="00BE7DA1"/>
    <w:rsid w:val="00BE7DE6"/>
    <w:rsid w:val="00BF002B"/>
    <w:rsid w:val="00BF041D"/>
    <w:rsid w:val="00BF05A0"/>
    <w:rsid w:val="00BF05E1"/>
    <w:rsid w:val="00BF0735"/>
    <w:rsid w:val="00BF0885"/>
    <w:rsid w:val="00BF0BC9"/>
    <w:rsid w:val="00BF0C71"/>
    <w:rsid w:val="00BF0D85"/>
    <w:rsid w:val="00BF0DAE"/>
    <w:rsid w:val="00BF0E96"/>
    <w:rsid w:val="00BF1019"/>
    <w:rsid w:val="00BF11B1"/>
    <w:rsid w:val="00BF11FB"/>
    <w:rsid w:val="00BF1221"/>
    <w:rsid w:val="00BF1247"/>
    <w:rsid w:val="00BF12A2"/>
    <w:rsid w:val="00BF14CE"/>
    <w:rsid w:val="00BF14FD"/>
    <w:rsid w:val="00BF154B"/>
    <w:rsid w:val="00BF1983"/>
    <w:rsid w:val="00BF1B16"/>
    <w:rsid w:val="00BF1B1B"/>
    <w:rsid w:val="00BF1B97"/>
    <w:rsid w:val="00BF1C48"/>
    <w:rsid w:val="00BF1D24"/>
    <w:rsid w:val="00BF1DE0"/>
    <w:rsid w:val="00BF1E75"/>
    <w:rsid w:val="00BF236A"/>
    <w:rsid w:val="00BF23A4"/>
    <w:rsid w:val="00BF26DF"/>
    <w:rsid w:val="00BF2745"/>
    <w:rsid w:val="00BF2990"/>
    <w:rsid w:val="00BF299E"/>
    <w:rsid w:val="00BF29F9"/>
    <w:rsid w:val="00BF2AA2"/>
    <w:rsid w:val="00BF2AA8"/>
    <w:rsid w:val="00BF2B41"/>
    <w:rsid w:val="00BF2E4F"/>
    <w:rsid w:val="00BF2F51"/>
    <w:rsid w:val="00BF3410"/>
    <w:rsid w:val="00BF375E"/>
    <w:rsid w:val="00BF3882"/>
    <w:rsid w:val="00BF38EB"/>
    <w:rsid w:val="00BF3926"/>
    <w:rsid w:val="00BF39EE"/>
    <w:rsid w:val="00BF3A50"/>
    <w:rsid w:val="00BF3B1C"/>
    <w:rsid w:val="00BF3BD3"/>
    <w:rsid w:val="00BF3BE6"/>
    <w:rsid w:val="00BF3C66"/>
    <w:rsid w:val="00BF3D6B"/>
    <w:rsid w:val="00BF419C"/>
    <w:rsid w:val="00BF4357"/>
    <w:rsid w:val="00BF44B8"/>
    <w:rsid w:val="00BF44E3"/>
    <w:rsid w:val="00BF46ED"/>
    <w:rsid w:val="00BF47C3"/>
    <w:rsid w:val="00BF484B"/>
    <w:rsid w:val="00BF4979"/>
    <w:rsid w:val="00BF4C6F"/>
    <w:rsid w:val="00BF4D20"/>
    <w:rsid w:val="00BF4E2F"/>
    <w:rsid w:val="00BF515C"/>
    <w:rsid w:val="00BF51E0"/>
    <w:rsid w:val="00BF51ED"/>
    <w:rsid w:val="00BF5302"/>
    <w:rsid w:val="00BF5867"/>
    <w:rsid w:val="00BF5915"/>
    <w:rsid w:val="00BF59F6"/>
    <w:rsid w:val="00BF5D04"/>
    <w:rsid w:val="00BF61D8"/>
    <w:rsid w:val="00BF624D"/>
    <w:rsid w:val="00BF6382"/>
    <w:rsid w:val="00BF660A"/>
    <w:rsid w:val="00BF6633"/>
    <w:rsid w:val="00BF68CB"/>
    <w:rsid w:val="00BF68EC"/>
    <w:rsid w:val="00BF692B"/>
    <w:rsid w:val="00BF6A08"/>
    <w:rsid w:val="00BF6E14"/>
    <w:rsid w:val="00BF6EEF"/>
    <w:rsid w:val="00BF6F7C"/>
    <w:rsid w:val="00BF6FA5"/>
    <w:rsid w:val="00BF7044"/>
    <w:rsid w:val="00BF7227"/>
    <w:rsid w:val="00BF7583"/>
    <w:rsid w:val="00BF7A1C"/>
    <w:rsid w:val="00BF7C19"/>
    <w:rsid w:val="00BF7FDD"/>
    <w:rsid w:val="00C00080"/>
    <w:rsid w:val="00C001D5"/>
    <w:rsid w:val="00C002BA"/>
    <w:rsid w:val="00C002DF"/>
    <w:rsid w:val="00C003D4"/>
    <w:rsid w:val="00C00500"/>
    <w:rsid w:val="00C005FB"/>
    <w:rsid w:val="00C0061C"/>
    <w:rsid w:val="00C0091B"/>
    <w:rsid w:val="00C0096F"/>
    <w:rsid w:val="00C00975"/>
    <w:rsid w:val="00C00A6C"/>
    <w:rsid w:val="00C00ABC"/>
    <w:rsid w:val="00C00B27"/>
    <w:rsid w:val="00C00BE7"/>
    <w:rsid w:val="00C00DF0"/>
    <w:rsid w:val="00C00FA5"/>
    <w:rsid w:val="00C01027"/>
    <w:rsid w:val="00C013ED"/>
    <w:rsid w:val="00C0185E"/>
    <w:rsid w:val="00C01878"/>
    <w:rsid w:val="00C01B11"/>
    <w:rsid w:val="00C01B6F"/>
    <w:rsid w:val="00C01CD0"/>
    <w:rsid w:val="00C01D44"/>
    <w:rsid w:val="00C01E33"/>
    <w:rsid w:val="00C02068"/>
    <w:rsid w:val="00C02164"/>
    <w:rsid w:val="00C02402"/>
    <w:rsid w:val="00C02736"/>
    <w:rsid w:val="00C02ABC"/>
    <w:rsid w:val="00C02E0E"/>
    <w:rsid w:val="00C03031"/>
    <w:rsid w:val="00C030E4"/>
    <w:rsid w:val="00C0311B"/>
    <w:rsid w:val="00C03189"/>
    <w:rsid w:val="00C03204"/>
    <w:rsid w:val="00C03259"/>
    <w:rsid w:val="00C03293"/>
    <w:rsid w:val="00C032D6"/>
    <w:rsid w:val="00C0333F"/>
    <w:rsid w:val="00C03721"/>
    <w:rsid w:val="00C03901"/>
    <w:rsid w:val="00C03A97"/>
    <w:rsid w:val="00C03AD4"/>
    <w:rsid w:val="00C03B12"/>
    <w:rsid w:val="00C03BAA"/>
    <w:rsid w:val="00C03CC8"/>
    <w:rsid w:val="00C03CEB"/>
    <w:rsid w:val="00C04235"/>
    <w:rsid w:val="00C042B8"/>
    <w:rsid w:val="00C043DB"/>
    <w:rsid w:val="00C046B4"/>
    <w:rsid w:val="00C0487F"/>
    <w:rsid w:val="00C04A5F"/>
    <w:rsid w:val="00C04B55"/>
    <w:rsid w:val="00C04B61"/>
    <w:rsid w:val="00C04BF7"/>
    <w:rsid w:val="00C04C33"/>
    <w:rsid w:val="00C04E04"/>
    <w:rsid w:val="00C04EE7"/>
    <w:rsid w:val="00C05035"/>
    <w:rsid w:val="00C051E0"/>
    <w:rsid w:val="00C05220"/>
    <w:rsid w:val="00C05355"/>
    <w:rsid w:val="00C053D2"/>
    <w:rsid w:val="00C05426"/>
    <w:rsid w:val="00C0547F"/>
    <w:rsid w:val="00C05663"/>
    <w:rsid w:val="00C057EC"/>
    <w:rsid w:val="00C05955"/>
    <w:rsid w:val="00C05A75"/>
    <w:rsid w:val="00C05E74"/>
    <w:rsid w:val="00C0619E"/>
    <w:rsid w:val="00C062C3"/>
    <w:rsid w:val="00C062EA"/>
    <w:rsid w:val="00C0637A"/>
    <w:rsid w:val="00C063AB"/>
    <w:rsid w:val="00C0640D"/>
    <w:rsid w:val="00C0643A"/>
    <w:rsid w:val="00C0649B"/>
    <w:rsid w:val="00C06616"/>
    <w:rsid w:val="00C066CB"/>
    <w:rsid w:val="00C067DD"/>
    <w:rsid w:val="00C068B3"/>
    <w:rsid w:val="00C06933"/>
    <w:rsid w:val="00C0697E"/>
    <w:rsid w:val="00C069BF"/>
    <w:rsid w:val="00C06A99"/>
    <w:rsid w:val="00C06CE2"/>
    <w:rsid w:val="00C06EA0"/>
    <w:rsid w:val="00C06F88"/>
    <w:rsid w:val="00C07045"/>
    <w:rsid w:val="00C07148"/>
    <w:rsid w:val="00C072AC"/>
    <w:rsid w:val="00C07412"/>
    <w:rsid w:val="00C07607"/>
    <w:rsid w:val="00C076AA"/>
    <w:rsid w:val="00C077D1"/>
    <w:rsid w:val="00C0782C"/>
    <w:rsid w:val="00C078B6"/>
    <w:rsid w:val="00C078E1"/>
    <w:rsid w:val="00C07DF8"/>
    <w:rsid w:val="00C07E73"/>
    <w:rsid w:val="00C07EAD"/>
    <w:rsid w:val="00C07EC3"/>
    <w:rsid w:val="00C07EE3"/>
    <w:rsid w:val="00C07F8F"/>
    <w:rsid w:val="00C100D9"/>
    <w:rsid w:val="00C1015F"/>
    <w:rsid w:val="00C101CB"/>
    <w:rsid w:val="00C102D9"/>
    <w:rsid w:val="00C107BF"/>
    <w:rsid w:val="00C10BC1"/>
    <w:rsid w:val="00C10C33"/>
    <w:rsid w:val="00C10DCD"/>
    <w:rsid w:val="00C10E7B"/>
    <w:rsid w:val="00C10EA7"/>
    <w:rsid w:val="00C10F36"/>
    <w:rsid w:val="00C11350"/>
    <w:rsid w:val="00C115D2"/>
    <w:rsid w:val="00C117BE"/>
    <w:rsid w:val="00C118CE"/>
    <w:rsid w:val="00C11AC8"/>
    <w:rsid w:val="00C11D17"/>
    <w:rsid w:val="00C11D54"/>
    <w:rsid w:val="00C12003"/>
    <w:rsid w:val="00C12180"/>
    <w:rsid w:val="00C12235"/>
    <w:rsid w:val="00C1224E"/>
    <w:rsid w:val="00C12657"/>
    <w:rsid w:val="00C126F2"/>
    <w:rsid w:val="00C127CB"/>
    <w:rsid w:val="00C12B6B"/>
    <w:rsid w:val="00C12CEB"/>
    <w:rsid w:val="00C12E67"/>
    <w:rsid w:val="00C12EDC"/>
    <w:rsid w:val="00C12FBF"/>
    <w:rsid w:val="00C13067"/>
    <w:rsid w:val="00C13072"/>
    <w:rsid w:val="00C130C4"/>
    <w:rsid w:val="00C133E5"/>
    <w:rsid w:val="00C13569"/>
    <w:rsid w:val="00C13638"/>
    <w:rsid w:val="00C138BD"/>
    <w:rsid w:val="00C13C52"/>
    <w:rsid w:val="00C13C57"/>
    <w:rsid w:val="00C13D89"/>
    <w:rsid w:val="00C13F62"/>
    <w:rsid w:val="00C13FAF"/>
    <w:rsid w:val="00C1401C"/>
    <w:rsid w:val="00C1401E"/>
    <w:rsid w:val="00C14150"/>
    <w:rsid w:val="00C1433E"/>
    <w:rsid w:val="00C143D4"/>
    <w:rsid w:val="00C14442"/>
    <w:rsid w:val="00C144C0"/>
    <w:rsid w:val="00C1451B"/>
    <w:rsid w:val="00C14588"/>
    <w:rsid w:val="00C146E8"/>
    <w:rsid w:val="00C1482B"/>
    <w:rsid w:val="00C148AF"/>
    <w:rsid w:val="00C149CB"/>
    <w:rsid w:val="00C149D6"/>
    <w:rsid w:val="00C14A96"/>
    <w:rsid w:val="00C14B41"/>
    <w:rsid w:val="00C14BED"/>
    <w:rsid w:val="00C14C88"/>
    <w:rsid w:val="00C14DC2"/>
    <w:rsid w:val="00C14EB2"/>
    <w:rsid w:val="00C15085"/>
    <w:rsid w:val="00C1510E"/>
    <w:rsid w:val="00C151F4"/>
    <w:rsid w:val="00C1529D"/>
    <w:rsid w:val="00C15482"/>
    <w:rsid w:val="00C154E4"/>
    <w:rsid w:val="00C15519"/>
    <w:rsid w:val="00C15527"/>
    <w:rsid w:val="00C15611"/>
    <w:rsid w:val="00C1565B"/>
    <w:rsid w:val="00C15803"/>
    <w:rsid w:val="00C15805"/>
    <w:rsid w:val="00C159DA"/>
    <w:rsid w:val="00C15BB4"/>
    <w:rsid w:val="00C15CEB"/>
    <w:rsid w:val="00C15EDD"/>
    <w:rsid w:val="00C1600F"/>
    <w:rsid w:val="00C16024"/>
    <w:rsid w:val="00C160F9"/>
    <w:rsid w:val="00C1698D"/>
    <w:rsid w:val="00C169BE"/>
    <w:rsid w:val="00C16AB0"/>
    <w:rsid w:val="00C16BAD"/>
    <w:rsid w:val="00C16F7E"/>
    <w:rsid w:val="00C1706A"/>
    <w:rsid w:val="00C17432"/>
    <w:rsid w:val="00C17620"/>
    <w:rsid w:val="00C177A6"/>
    <w:rsid w:val="00C17881"/>
    <w:rsid w:val="00C17E36"/>
    <w:rsid w:val="00C17E44"/>
    <w:rsid w:val="00C17F49"/>
    <w:rsid w:val="00C17FCE"/>
    <w:rsid w:val="00C20189"/>
    <w:rsid w:val="00C20431"/>
    <w:rsid w:val="00C20795"/>
    <w:rsid w:val="00C2087F"/>
    <w:rsid w:val="00C20AD4"/>
    <w:rsid w:val="00C20AFC"/>
    <w:rsid w:val="00C20B3D"/>
    <w:rsid w:val="00C20B70"/>
    <w:rsid w:val="00C20BA9"/>
    <w:rsid w:val="00C20CF9"/>
    <w:rsid w:val="00C20EB2"/>
    <w:rsid w:val="00C20EB7"/>
    <w:rsid w:val="00C20F54"/>
    <w:rsid w:val="00C20F62"/>
    <w:rsid w:val="00C211CB"/>
    <w:rsid w:val="00C2121D"/>
    <w:rsid w:val="00C213A7"/>
    <w:rsid w:val="00C2180E"/>
    <w:rsid w:val="00C21835"/>
    <w:rsid w:val="00C21871"/>
    <w:rsid w:val="00C2190A"/>
    <w:rsid w:val="00C21A73"/>
    <w:rsid w:val="00C21A8F"/>
    <w:rsid w:val="00C21C67"/>
    <w:rsid w:val="00C21D56"/>
    <w:rsid w:val="00C21E99"/>
    <w:rsid w:val="00C21EEC"/>
    <w:rsid w:val="00C223CE"/>
    <w:rsid w:val="00C22A8D"/>
    <w:rsid w:val="00C22BA0"/>
    <w:rsid w:val="00C22C3D"/>
    <w:rsid w:val="00C22CA7"/>
    <w:rsid w:val="00C22F91"/>
    <w:rsid w:val="00C230E8"/>
    <w:rsid w:val="00C2339E"/>
    <w:rsid w:val="00C233F9"/>
    <w:rsid w:val="00C2341C"/>
    <w:rsid w:val="00C2343A"/>
    <w:rsid w:val="00C2352A"/>
    <w:rsid w:val="00C2358B"/>
    <w:rsid w:val="00C235E2"/>
    <w:rsid w:val="00C2364D"/>
    <w:rsid w:val="00C238B6"/>
    <w:rsid w:val="00C23B2F"/>
    <w:rsid w:val="00C23B57"/>
    <w:rsid w:val="00C23FE5"/>
    <w:rsid w:val="00C24362"/>
    <w:rsid w:val="00C2446F"/>
    <w:rsid w:val="00C24485"/>
    <w:rsid w:val="00C246EB"/>
    <w:rsid w:val="00C24744"/>
    <w:rsid w:val="00C2477D"/>
    <w:rsid w:val="00C2485C"/>
    <w:rsid w:val="00C2487F"/>
    <w:rsid w:val="00C248E5"/>
    <w:rsid w:val="00C24949"/>
    <w:rsid w:val="00C24AA7"/>
    <w:rsid w:val="00C24B7F"/>
    <w:rsid w:val="00C24CD4"/>
    <w:rsid w:val="00C24EF7"/>
    <w:rsid w:val="00C2515C"/>
    <w:rsid w:val="00C25226"/>
    <w:rsid w:val="00C252A7"/>
    <w:rsid w:val="00C25326"/>
    <w:rsid w:val="00C2554A"/>
    <w:rsid w:val="00C25A51"/>
    <w:rsid w:val="00C25CD3"/>
    <w:rsid w:val="00C25E05"/>
    <w:rsid w:val="00C261F8"/>
    <w:rsid w:val="00C26229"/>
    <w:rsid w:val="00C26299"/>
    <w:rsid w:val="00C26310"/>
    <w:rsid w:val="00C263EF"/>
    <w:rsid w:val="00C26403"/>
    <w:rsid w:val="00C2648D"/>
    <w:rsid w:val="00C265D2"/>
    <w:rsid w:val="00C26677"/>
    <w:rsid w:val="00C26A3A"/>
    <w:rsid w:val="00C26A81"/>
    <w:rsid w:val="00C26B38"/>
    <w:rsid w:val="00C26C25"/>
    <w:rsid w:val="00C26F15"/>
    <w:rsid w:val="00C27120"/>
    <w:rsid w:val="00C271E6"/>
    <w:rsid w:val="00C272B8"/>
    <w:rsid w:val="00C272CC"/>
    <w:rsid w:val="00C27673"/>
    <w:rsid w:val="00C278CC"/>
    <w:rsid w:val="00C278E2"/>
    <w:rsid w:val="00C2799F"/>
    <w:rsid w:val="00C279E1"/>
    <w:rsid w:val="00C27A24"/>
    <w:rsid w:val="00C27A95"/>
    <w:rsid w:val="00C27A9A"/>
    <w:rsid w:val="00C27AF3"/>
    <w:rsid w:val="00C27BC6"/>
    <w:rsid w:val="00C27C1B"/>
    <w:rsid w:val="00C27D70"/>
    <w:rsid w:val="00C27EE5"/>
    <w:rsid w:val="00C30023"/>
    <w:rsid w:val="00C3004F"/>
    <w:rsid w:val="00C3008D"/>
    <w:rsid w:val="00C301E5"/>
    <w:rsid w:val="00C302A2"/>
    <w:rsid w:val="00C3046A"/>
    <w:rsid w:val="00C3047F"/>
    <w:rsid w:val="00C304EB"/>
    <w:rsid w:val="00C3054D"/>
    <w:rsid w:val="00C30645"/>
    <w:rsid w:val="00C30718"/>
    <w:rsid w:val="00C309CC"/>
    <w:rsid w:val="00C30F7C"/>
    <w:rsid w:val="00C310B1"/>
    <w:rsid w:val="00C311E3"/>
    <w:rsid w:val="00C3126B"/>
    <w:rsid w:val="00C3138C"/>
    <w:rsid w:val="00C3145B"/>
    <w:rsid w:val="00C3148A"/>
    <w:rsid w:val="00C31534"/>
    <w:rsid w:val="00C31580"/>
    <w:rsid w:val="00C315D5"/>
    <w:rsid w:val="00C31646"/>
    <w:rsid w:val="00C3172B"/>
    <w:rsid w:val="00C31744"/>
    <w:rsid w:val="00C317F3"/>
    <w:rsid w:val="00C31820"/>
    <w:rsid w:val="00C318B5"/>
    <w:rsid w:val="00C319E1"/>
    <w:rsid w:val="00C31B28"/>
    <w:rsid w:val="00C31B38"/>
    <w:rsid w:val="00C31B7A"/>
    <w:rsid w:val="00C31D27"/>
    <w:rsid w:val="00C31E57"/>
    <w:rsid w:val="00C31E8D"/>
    <w:rsid w:val="00C31EE2"/>
    <w:rsid w:val="00C31FE7"/>
    <w:rsid w:val="00C31FFC"/>
    <w:rsid w:val="00C320D7"/>
    <w:rsid w:val="00C321CB"/>
    <w:rsid w:val="00C3229F"/>
    <w:rsid w:val="00C322FA"/>
    <w:rsid w:val="00C324BE"/>
    <w:rsid w:val="00C325DF"/>
    <w:rsid w:val="00C3265A"/>
    <w:rsid w:val="00C32857"/>
    <w:rsid w:val="00C32961"/>
    <w:rsid w:val="00C32A81"/>
    <w:rsid w:val="00C32B7E"/>
    <w:rsid w:val="00C32BD8"/>
    <w:rsid w:val="00C32C23"/>
    <w:rsid w:val="00C32C73"/>
    <w:rsid w:val="00C32C92"/>
    <w:rsid w:val="00C32DFF"/>
    <w:rsid w:val="00C32E3C"/>
    <w:rsid w:val="00C33166"/>
    <w:rsid w:val="00C3317A"/>
    <w:rsid w:val="00C33237"/>
    <w:rsid w:val="00C33289"/>
    <w:rsid w:val="00C333BD"/>
    <w:rsid w:val="00C33568"/>
    <w:rsid w:val="00C33588"/>
    <w:rsid w:val="00C335E1"/>
    <w:rsid w:val="00C33679"/>
    <w:rsid w:val="00C33694"/>
    <w:rsid w:val="00C33793"/>
    <w:rsid w:val="00C3380E"/>
    <w:rsid w:val="00C3383D"/>
    <w:rsid w:val="00C338BF"/>
    <w:rsid w:val="00C33CAF"/>
    <w:rsid w:val="00C33DB2"/>
    <w:rsid w:val="00C33F57"/>
    <w:rsid w:val="00C341A9"/>
    <w:rsid w:val="00C3436F"/>
    <w:rsid w:val="00C34502"/>
    <w:rsid w:val="00C34634"/>
    <w:rsid w:val="00C34793"/>
    <w:rsid w:val="00C347B6"/>
    <w:rsid w:val="00C347E0"/>
    <w:rsid w:val="00C3483D"/>
    <w:rsid w:val="00C34917"/>
    <w:rsid w:val="00C34A3E"/>
    <w:rsid w:val="00C34ADA"/>
    <w:rsid w:val="00C34F28"/>
    <w:rsid w:val="00C35042"/>
    <w:rsid w:val="00C350DF"/>
    <w:rsid w:val="00C35263"/>
    <w:rsid w:val="00C3546F"/>
    <w:rsid w:val="00C3549E"/>
    <w:rsid w:val="00C354CB"/>
    <w:rsid w:val="00C35787"/>
    <w:rsid w:val="00C357A6"/>
    <w:rsid w:val="00C3596D"/>
    <w:rsid w:val="00C35A45"/>
    <w:rsid w:val="00C35A62"/>
    <w:rsid w:val="00C35AB3"/>
    <w:rsid w:val="00C35C36"/>
    <w:rsid w:val="00C35C9D"/>
    <w:rsid w:val="00C35D7F"/>
    <w:rsid w:val="00C35E88"/>
    <w:rsid w:val="00C35FC1"/>
    <w:rsid w:val="00C35FD4"/>
    <w:rsid w:val="00C360EF"/>
    <w:rsid w:val="00C36392"/>
    <w:rsid w:val="00C36396"/>
    <w:rsid w:val="00C363E2"/>
    <w:rsid w:val="00C367B7"/>
    <w:rsid w:val="00C3688B"/>
    <w:rsid w:val="00C36AF7"/>
    <w:rsid w:val="00C36B4A"/>
    <w:rsid w:val="00C36BB6"/>
    <w:rsid w:val="00C36D62"/>
    <w:rsid w:val="00C36DE9"/>
    <w:rsid w:val="00C36E1D"/>
    <w:rsid w:val="00C36F10"/>
    <w:rsid w:val="00C37078"/>
    <w:rsid w:val="00C371DF"/>
    <w:rsid w:val="00C37333"/>
    <w:rsid w:val="00C37348"/>
    <w:rsid w:val="00C373C3"/>
    <w:rsid w:val="00C37512"/>
    <w:rsid w:val="00C375E7"/>
    <w:rsid w:val="00C377A0"/>
    <w:rsid w:val="00C37859"/>
    <w:rsid w:val="00C37C0C"/>
    <w:rsid w:val="00C37D83"/>
    <w:rsid w:val="00C37DEB"/>
    <w:rsid w:val="00C37E74"/>
    <w:rsid w:val="00C37F31"/>
    <w:rsid w:val="00C40052"/>
    <w:rsid w:val="00C400C8"/>
    <w:rsid w:val="00C40194"/>
    <w:rsid w:val="00C4037B"/>
    <w:rsid w:val="00C40457"/>
    <w:rsid w:val="00C405D0"/>
    <w:rsid w:val="00C406CE"/>
    <w:rsid w:val="00C40872"/>
    <w:rsid w:val="00C40AAB"/>
    <w:rsid w:val="00C40B46"/>
    <w:rsid w:val="00C40FEE"/>
    <w:rsid w:val="00C411C3"/>
    <w:rsid w:val="00C4130B"/>
    <w:rsid w:val="00C41503"/>
    <w:rsid w:val="00C4162D"/>
    <w:rsid w:val="00C419CA"/>
    <w:rsid w:val="00C419E9"/>
    <w:rsid w:val="00C41A4A"/>
    <w:rsid w:val="00C41CE8"/>
    <w:rsid w:val="00C41E88"/>
    <w:rsid w:val="00C41E9C"/>
    <w:rsid w:val="00C42018"/>
    <w:rsid w:val="00C420D6"/>
    <w:rsid w:val="00C42244"/>
    <w:rsid w:val="00C422B4"/>
    <w:rsid w:val="00C42442"/>
    <w:rsid w:val="00C424EE"/>
    <w:rsid w:val="00C4299D"/>
    <w:rsid w:val="00C429BF"/>
    <w:rsid w:val="00C42A12"/>
    <w:rsid w:val="00C42A52"/>
    <w:rsid w:val="00C42AB0"/>
    <w:rsid w:val="00C42BC2"/>
    <w:rsid w:val="00C42C5D"/>
    <w:rsid w:val="00C42FDD"/>
    <w:rsid w:val="00C4339D"/>
    <w:rsid w:val="00C43508"/>
    <w:rsid w:val="00C436A7"/>
    <w:rsid w:val="00C436AB"/>
    <w:rsid w:val="00C437B8"/>
    <w:rsid w:val="00C43B18"/>
    <w:rsid w:val="00C43E6C"/>
    <w:rsid w:val="00C43EE5"/>
    <w:rsid w:val="00C440D2"/>
    <w:rsid w:val="00C4427D"/>
    <w:rsid w:val="00C444DB"/>
    <w:rsid w:val="00C44520"/>
    <w:rsid w:val="00C44527"/>
    <w:rsid w:val="00C4464A"/>
    <w:rsid w:val="00C447B4"/>
    <w:rsid w:val="00C44864"/>
    <w:rsid w:val="00C448D5"/>
    <w:rsid w:val="00C44910"/>
    <w:rsid w:val="00C44AFC"/>
    <w:rsid w:val="00C44B93"/>
    <w:rsid w:val="00C44BB8"/>
    <w:rsid w:val="00C44C5B"/>
    <w:rsid w:val="00C44CE2"/>
    <w:rsid w:val="00C44FBF"/>
    <w:rsid w:val="00C451F9"/>
    <w:rsid w:val="00C453C1"/>
    <w:rsid w:val="00C45A60"/>
    <w:rsid w:val="00C45E06"/>
    <w:rsid w:val="00C45FBB"/>
    <w:rsid w:val="00C45FC9"/>
    <w:rsid w:val="00C45FFF"/>
    <w:rsid w:val="00C46030"/>
    <w:rsid w:val="00C4606F"/>
    <w:rsid w:val="00C46253"/>
    <w:rsid w:val="00C46330"/>
    <w:rsid w:val="00C463BF"/>
    <w:rsid w:val="00C4660B"/>
    <w:rsid w:val="00C46A6A"/>
    <w:rsid w:val="00C46E1C"/>
    <w:rsid w:val="00C46E2C"/>
    <w:rsid w:val="00C46EF4"/>
    <w:rsid w:val="00C46F27"/>
    <w:rsid w:val="00C46F5E"/>
    <w:rsid w:val="00C47481"/>
    <w:rsid w:val="00C474A7"/>
    <w:rsid w:val="00C474CE"/>
    <w:rsid w:val="00C475CB"/>
    <w:rsid w:val="00C475D3"/>
    <w:rsid w:val="00C475D8"/>
    <w:rsid w:val="00C47669"/>
    <w:rsid w:val="00C4768C"/>
    <w:rsid w:val="00C47947"/>
    <w:rsid w:val="00C4794B"/>
    <w:rsid w:val="00C47B61"/>
    <w:rsid w:val="00C47B6B"/>
    <w:rsid w:val="00C47D2C"/>
    <w:rsid w:val="00C47E88"/>
    <w:rsid w:val="00C47EF4"/>
    <w:rsid w:val="00C47FED"/>
    <w:rsid w:val="00C500DE"/>
    <w:rsid w:val="00C5025A"/>
    <w:rsid w:val="00C5034F"/>
    <w:rsid w:val="00C50423"/>
    <w:rsid w:val="00C504F2"/>
    <w:rsid w:val="00C50711"/>
    <w:rsid w:val="00C508DE"/>
    <w:rsid w:val="00C509CB"/>
    <w:rsid w:val="00C50A5F"/>
    <w:rsid w:val="00C50CC5"/>
    <w:rsid w:val="00C50CF5"/>
    <w:rsid w:val="00C510D8"/>
    <w:rsid w:val="00C510F8"/>
    <w:rsid w:val="00C5129F"/>
    <w:rsid w:val="00C51754"/>
    <w:rsid w:val="00C51C13"/>
    <w:rsid w:val="00C51DCA"/>
    <w:rsid w:val="00C522C7"/>
    <w:rsid w:val="00C52353"/>
    <w:rsid w:val="00C5235A"/>
    <w:rsid w:val="00C52384"/>
    <w:rsid w:val="00C52411"/>
    <w:rsid w:val="00C5273C"/>
    <w:rsid w:val="00C529C3"/>
    <w:rsid w:val="00C52C29"/>
    <w:rsid w:val="00C52E2B"/>
    <w:rsid w:val="00C52F92"/>
    <w:rsid w:val="00C53588"/>
    <w:rsid w:val="00C53589"/>
    <w:rsid w:val="00C536AB"/>
    <w:rsid w:val="00C5375C"/>
    <w:rsid w:val="00C53799"/>
    <w:rsid w:val="00C53A91"/>
    <w:rsid w:val="00C53C11"/>
    <w:rsid w:val="00C53CBB"/>
    <w:rsid w:val="00C53EE0"/>
    <w:rsid w:val="00C53F15"/>
    <w:rsid w:val="00C53FBB"/>
    <w:rsid w:val="00C54179"/>
    <w:rsid w:val="00C54213"/>
    <w:rsid w:val="00C54232"/>
    <w:rsid w:val="00C54249"/>
    <w:rsid w:val="00C5426B"/>
    <w:rsid w:val="00C54451"/>
    <w:rsid w:val="00C5467C"/>
    <w:rsid w:val="00C5469A"/>
    <w:rsid w:val="00C5488F"/>
    <w:rsid w:val="00C5493B"/>
    <w:rsid w:val="00C549CF"/>
    <w:rsid w:val="00C54D1F"/>
    <w:rsid w:val="00C54D96"/>
    <w:rsid w:val="00C54EBA"/>
    <w:rsid w:val="00C54EFE"/>
    <w:rsid w:val="00C551EA"/>
    <w:rsid w:val="00C55211"/>
    <w:rsid w:val="00C553C3"/>
    <w:rsid w:val="00C554BA"/>
    <w:rsid w:val="00C5556E"/>
    <w:rsid w:val="00C5595E"/>
    <w:rsid w:val="00C55A50"/>
    <w:rsid w:val="00C55AB7"/>
    <w:rsid w:val="00C55B13"/>
    <w:rsid w:val="00C55B31"/>
    <w:rsid w:val="00C55B84"/>
    <w:rsid w:val="00C55CA4"/>
    <w:rsid w:val="00C55D7E"/>
    <w:rsid w:val="00C56026"/>
    <w:rsid w:val="00C56771"/>
    <w:rsid w:val="00C56DE6"/>
    <w:rsid w:val="00C57250"/>
    <w:rsid w:val="00C57337"/>
    <w:rsid w:val="00C57394"/>
    <w:rsid w:val="00C57509"/>
    <w:rsid w:val="00C57551"/>
    <w:rsid w:val="00C57617"/>
    <w:rsid w:val="00C577D8"/>
    <w:rsid w:val="00C57849"/>
    <w:rsid w:val="00C57943"/>
    <w:rsid w:val="00C57994"/>
    <w:rsid w:val="00C57CA4"/>
    <w:rsid w:val="00C57CD2"/>
    <w:rsid w:val="00C57E31"/>
    <w:rsid w:val="00C57F28"/>
    <w:rsid w:val="00C57FA8"/>
    <w:rsid w:val="00C60244"/>
    <w:rsid w:val="00C6039A"/>
    <w:rsid w:val="00C6040C"/>
    <w:rsid w:val="00C604BC"/>
    <w:rsid w:val="00C60535"/>
    <w:rsid w:val="00C6077E"/>
    <w:rsid w:val="00C6089E"/>
    <w:rsid w:val="00C608A1"/>
    <w:rsid w:val="00C60A4B"/>
    <w:rsid w:val="00C60B2C"/>
    <w:rsid w:val="00C60B97"/>
    <w:rsid w:val="00C61059"/>
    <w:rsid w:val="00C6141E"/>
    <w:rsid w:val="00C614D0"/>
    <w:rsid w:val="00C6180A"/>
    <w:rsid w:val="00C61962"/>
    <w:rsid w:val="00C61A85"/>
    <w:rsid w:val="00C61C14"/>
    <w:rsid w:val="00C61D1D"/>
    <w:rsid w:val="00C61E54"/>
    <w:rsid w:val="00C61FFD"/>
    <w:rsid w:val="00C62016"/>
    <w:rsid w:val="00C62196"/>
    <w:rsid w:val="00C622DF"/>
    <w:rsid w:val="00C625A6"/>
    <w:rsid w:val="00C626BE"/>
    <w:rsid w:val="00C626E3"/>
    <w:rsid w:val="00C628C2"/>
    <w:rsid w:val="00C628F4"/>
    <w:rsid w:val="00C62999"/>
    <w:rsid w:val="00C629C0"/>
    <w:rsid w:val="00C62BC6"/>
    <w:rsid w:val="00C62CCB"/>
    <w:rsid w:val="00C62D49"/>
    <w:rsid w:val="00C62E5A"/>
    <w:rsid w:val="00C62F66"/>
    <w:rsid w:val="00C63035"/>
    <w:rsid w:val="00C63108"/>
    <w:rsid w:val="00C6313A"/>
    <w:rsid w:val="00C632EC"/>
    <w:rsid w:val="00C633E9"/>
    <w:rsid w:val="00C634E4"/>
    <w:rsid w:val="00C63650"/>
    <w:rsid w:val="00C638E5"/>
    <w:rsid w:val="00C639DF"/>
    <w:rsid w:val="00C63C99"/>
    <w:rsid w:val="00C63D9D"/>
    <w:rsid w:val="00C63E35"/>
    <w:rsid w:val="00C64242"/>
    <w:rsid w:val="00C6451B"/>
    <w:rsid w:val="00C645D5"/>
    <w:rsid w:val="00C6470E"/>
    <w:rsid w:val="00C648E6"/>
    <w:rsid w:val="00C649E0"/>
    <w:rsid w:val="00C64B11"/>
    <w:rsid w:val="00C64D2A"/>
    <w:rsid w:val="00C64E5B"/>
    <w:rsid w:val="00C64FF9"/>
    <w:rsid w:val="00C65085"/>
    <w:rsid w:val="00C650FF"/>
    <w:rsid w:val="00C651A4"/>
    <w:rsid w:val="00C652AB"/>
    <w:rsid w:val="00C652F3"/>
    <w:rsid w:val="00C65366"/>
    <w:rsid w:val="00C6536E"/>
    <w:rsid w:val="00C65372"/>
    <w:rsid w:val="00C65497"/>
    <w:rsid w:val="00C65641"/>
    <w:rsid w:val="00C656A3"/>
    <w:rsid w:val="00C65799"/>
    <w:rsid w:val="00C657D8"/>
    <w:rsid w:val="00C65A09"/>
    <w:rsid w:val="00C65B5C"/>
    <w:rsid w:val="00C65C3A"/>
    <w:rsid w:val="00C65D6A"/>
    <w:rsid w:val="00C65F47"/>
    <w:rsid w:val="00C65FA6"/>
    <w:rsid w:val="00C65FE4"/>
    <w:rsid w:val="00C66068"/>
    <w:rsid w:val="00C660A8"/>
    <w:rsid w:val="00C661F5"/>
    <w:rsid w:val="00C6624E"/>
    <w:rsid w:val="00C6627B"/>
    <w:rsid w:val="00C662B9"/>
    <w:rsid w:val="00C663FB"/>
    <w:rsid w:val="00C6642C"/>
    <w:rsid w:val="00C6646C"/>
    <w:rsid w:val="00C6649C"/>
    <w:rsid w:val="00C66698"/>
    <w:rsid w:val="00C66924"/>
    <w:rsid w:val="00C66B2F"/>
    <w:rsid w:val="00C66B5B"/>
    <w:rsid w:val="00C66B8E"/>
    <w:rsid w:val="00C66BFD"/>
    <w:rsid w:val="00C66D82"/>
    <w:rsid w:val="00C66FE0"/>
    <w:rsid w:val="00C66FF6"/>
    <w:rsid w:val="00C6715E"/>
    <w:rsid w:val="00C67562"/>
    <w:rsid w:val="00C678FD"/>
    <w:rsid w:val="00C67903"/>
    <w:rsid w:val="00C67B54"/>
    <w:rsid w:val="00C67C61"/>
    <w:rsid w:val="00C67D3E"/>
    <w:rsid w:val="00C67FAC"/>
    <w:rsid w:val="00C70120"/>
    <w:rsid w:val="00C70153"/>
    <w:rsid w:val="00C70501"/>
    <w:rsid w:val="00C7065B"/>
    <w:rsid w:val="00C70922"/>
    <w:rsid w:val="00C70A7E"/>
    <w:rsid w:val="00C70B41"/>
    <w:rsid w:val="00C70D71"/>
    <w:rsid w:val="00C70EAE"/>
    <w:rsid w:val="00C7115E"/>
    <w:rsid w:val="00C71246"/>
    <w:rsid w:val="00C712D4"/>
    <w:rsid w:val="00C71344"/>
    <w:rsid w:val="00C71909"/>
    <w:rsid w:val="00C71BEE"/>
    <w:rsid w:val="00C71C57"/>
    <w:rsid w:val="00C71F08"/>
    <w:rsid w:val="00C721A1"/>
    <w:rsid w:val="00C7244B"/>
    <w:rsid w:val="00C72642"/>
    <w:rsid w:val="00C726AC"/>
    <w:rsid w:val="00C72A20"/>
    <w:rsid w:val="00C72A4A"/>
    <w:rsid w:val="00C72C06"/>
    <w:rsid w:val="00C72CE3"/>
    <w:rsid w:val="00C72E6D"/>
    <w:rsid w:val="00C72F89"/>
    <w:rsid w:val="00C73246"/>
    <w:rsid w:val="00C7328E"/>
    <w:rsid w:val="00C73356"/>
    <w:rsid w:val="00C734E3"/>
    <w:rsid w:val="00C734F0"/>
    <w:rsid w:val="00C736FA"/>
    <w:rsid w:val="00C737EE"/>
    <w:rsid w:val="00C738D4"/>
    <w:rsid w:val="00C738EC"/>
    <w:rsid w:val="00C73984"/>
    <w:rsid w:val="00C73B39"/>
    <w:rsid w:val="00C73B59"/>
    <w:rsid w:val="00C73D07"/>
    <w:rsid w:val="00C73E43"/>
    <w:rsid w:val="00C73EB8"/>
    <w:rsid w:val="00C73EFE"/>
    <w:rsid w:val="00C7418A"/>
    <w:rsid w:val="00C741DB"/>
    <w:rsid w:val="00C74218"/>
    <w:rsid w:val="00C7450E"/>
    <w:rsid w:val="00C7475A"/>
    <w:rsid w:val="00C7484D"/>
    <w:rsid w:val="00C74A12"/>
    <w:rsid w:val="00C74B8A"/>
    <w:rsid w:val="00C74C0C"/>
    <w:rsid w:val="00C74D76"/>
    <w:rsid w:val="00C74F01"/>
    <w:rsid w:val="00C74F53"/>
    <w:rsid w:val="00C75059"/>
    <w:rsid w:val="00C751EB"/>
    <w:rsid w:val="00C755D4"/>
    <w:rsid w:val="00C755D8"/>
    <w:rsid w:val="00C755F7"/>
    <w:rsid w:val="00C756E5"/>
    <w:rsid w:val="00C7598D"/>
    <w:rsid w:val="00C75A2D"/>
    <w:rsid w:val="00C75CE9"/>
    <w:rsid w:val="00C75EFD"/>
    <w:rsid w:val="00C75F6E"/>
    <w:rsid w:val="00C7621A"/>
    <w:rsid w:val="00C76364"/>
    <w:rsid w:val="00C764C2"/>
    <w:rsid w:val="00C7673C"/>
    <w:rsid w:val="00C76A78"/>
    <w:rsid w:val="00C76F43"/>
    <w:rsid w:val="00C76F7A"/>
    <w:rsid w:val="00C76FB9"/>
    <w:rsid w:val="00C7711F"/>
    <w:rsid w:val="00C77203"/>
    <w:rsid w:val="00C77372"/>
    <w:rsid w:val="00C777B9"/>
    <w:rsid w:val="00C77AB4"/>
    <w:rsid w:val="00C77B2A"/>
    <w:rsid w:val="00C77B5F"/>
    <w:rsid w:val="00C77CFB"/>
    <w:rsid w:val="00C77D0D"/>
    <w:rsid w:val="00C77EE8"/>
    <w:rsid w:val="00C8009D"/>
    <w:rsid w:val="00C80131"/>
    <w:rsid w:val="00C801D1"/>
    <w:rsid w:val="00C80297"/>
    <w:rsid w:val="00C805CA"/>
    <w:rsid w:val="00C8069F"/>
    <w:rsid w:val="00C80727"/>
    <w:rsid w:val="00C808CF"/>
    <w:rsid w:val="00C80FAA"/>
    <w:rsid w:val="00C811AA"/>
    <w:rsid w:val="00C811F7"/>
    <w:rsid w:val="00C81222"/>
    <w:rsid w:val="00C81310"/>
    <w:rsid w:val="00C81389"/>
    <w:rsid w:val="00C813DB"/>
    <w:rsid w:val="00C8165A"/>
    <w:rsid w:val="00C81B4D"/>
    <w:rsid w:val="00C81D1E"/>
    <w:rsid w:val="00C81ECD"/>
    <w:rsid w:val="00C81F74"/>
    <w:rsid w:val="00C82097"/>
    <w:rsid w:val="00C820BF"/>
    <w:rsid w:val="00C822D4"/>
    <w:rsid w:val="00C82550"/>
    <w:rsid w:val="00C826C0"/>
    <w:rsid w:val="00C827C1"/>
    <w:rsid w:val="00C8285A"/>
    <w:rsid w:val="00C82940"/>
    <w:rsid w:val="00C82CF5"/>
    <w:rsid w:val="00C82D31"/>
    <w:rsid w:val="00C82D5B"/>
    <w:rsid w:val="00C82DCA"/>
    <w:rsid w:val="00C82E8C"/>
    <w:rsid w:val="00C83073"/>
    <w:rsid w:val="00C83088"/>
    <w:rsid w:val="00C83256"/>
    <w:rsid w:val="00C832A6"/>
    <w:rsid w:val="00C832FC"/>
    <w:rsid w:val="00C834C4"/>
    <w:rsid w:val="00C834EE"/>
    <w:rsid w:val="00C8362D"/>
    <w:rsid w:val="00C836F1"/>
    <w:rsid w:val="00C83757"/>
    <w:rsid w:val="00C837D7"/>
    <w:rsid w:val="00C83816"/>
    <w:rsid w:val="00C83818"/>
    <w:rsid w:val="00C83841"/>
    <w:rsid w:val="00C83F16"/>
    <w:rsid w:val="00C83F9E"/>
    <w:rsid w:val="00C84046"/>
    <w:rsid w:val="00C84143"/>
    <w:rsid w:val="00C84151"/>
    <w:rsid w:val="00C84168"/>
    <w:rsid w:val="00C8416E"/>
    <w:rsid w:val="00C841B9"/>
    <w:rsid w:val="00C84395"/>
    <w:rsid w:val="00C8468E"/>
    <w:rsid w:val="00C847F8"/>
    <w:rsid w:val="00C84A7B"/>
    <w:rsid w:val="00C84ABE"/>
    <w:rsid w:val="00C84E44"/>
    <w:rsid w:val="00C84E84"/>
    <w:rsid w:val="00C84F38"/>
    <w:rsid w:val="00C84FAF"/>
    <w:rsid w:val="00C8547C"/>
    <w:rsid w:val="00C85559"/>
    <w:rsid w:val="00C85625"/>
    <w:rsid w:val="00C859F4"/>
    <w:rsid w:val="00C85BCF"/>
    <w:rsid w:val="00C85EB5"/>
    <w:rsid w:val="00C86064"/>
    <w:rsid w:val="00C8625A"/>
    <w:rsid w:val="00C8633B"/>
    <w:rsid w:val="00C8636B"/>
    <w:rsid w:val="00C863C5"/>
    <w:rsid w:val="00C8676B"/>
    <w:rsid w:val="00C867D1"/>
    <w:rsid w:val="00C86811"/>
    <w:rsid w:val="00C86899"/>
    <w:rsid w:val="00C868CB"/>
    <w:rsid w:val="00C868D3"/>
    <w:rsid w:val="00C86A3C"/>
    <w:rsid w:val="00C86DDC"/>
    <w:rsid w:val="00C86F4D"/>
    <w:rsid w:val="00C86F87"/>
    <w:rsid w:val="00C86F94"/>
    <w:rsid w:val="00C8703C"/>
    <w:rsid w:val="00C87112"/>
    <w:rsid w:val="00C87117"/>
    <w:rsid w:val="00C871F7"/>
    <w:rsid w:val="00C8725C"/>
    <w:rsid w:val="00C87425"/>
    <w:rsid w:val="00C8759D"/>
    <w:rsid w:val="00C87667"/>
    <w:rsid w:val="00C8777C"/>
    <w:rsid w:val="00C87B4C"/>
    <w:rsid w:val="00C87BFD"/>
    <w:rsid w:val="00C87CD6"/>
    <w:rsid w:val="00C87F35"/>
    <w:rsid w:val="00C87F53"/>
    <w:rsid w:val="00C87F9B"/>
    <w:rsid w:val="00C9006D"/>
    <w:rsid w:val="00C90252"/>
    <w:rsid w:val="00C90362"/>
    <w:rsid w:val="00C90390"/>
    <w:rsid w:val="00C90448"/>
    <w:rsid w:val="00C904CF"/>
    <w:rsid w:val="00C909EA"/>
    <w:rsid w:val="00C90C7C"/>
    <w:rsid w:val="00C90C96"/>
    <w:rsid w:val="00C90D3E"/>
    <w:rsid w:val="00C90E7D"/>
    <w:rsid w:val="00C90FCA"/>
    <w:rsid w:val="00C910E4"/>
    <w:rsid w:val="00C912B6"/>
    <w:rsid w:val="00C91442"/>
    <w:rsid w:val="00C914FC"/>
    <w:rsid w:val="00C9152A"/>
    <w:rsid w:val="00C915D9"/>
    <w:rsid w:val="00C91628"/>
    <w:rsid w:val="00C91644"/>
    <w:rsid w:val="00C916D2"/>
    <w:rsid w:val="00C916D3"/>
    <w:rsid w:val="00C916FB"/>
    <w:rsid w:val="00C918AD"/>
    <w:rsid w:val="00C91A39"/>
    <w:rsid w:val="00C91A71"/>
    <w:rsid w:val="00C91AED"/>
    <w:rsid w:val="00C91B1E"/>
    <w:rsid w:val="00C91CA7"/>
    <w:rsid w:val="00C91F90"/>
    <w:rsid w:val="00C91FFD"/>
    <w:rsid w:val="00C92209"/>
    <w:rsid w:val="00C923C7"/>
    <w:rsid w:val="00C923E4"/>
    <w:rsid w:val="00C924BE"/>
    <w:rsid w:val="00C92552"/>
    <w:rsid w:val="00C92570"/>
    <w:rsid w:val="00C925F2"/>
    <w:rsid w:val="00C92689"/>
    <w:rsid w:val="00C92A5C"/>
    <w:rsid w:val="00C92A6D"/>
    <w:rsid w:val="00C92F29"/>
    <w:rsid w:val="00C9300E"/>
    <w:rsid w:val="00C93327"/>
    <w:rsid w:val="00C934A4"/>
    <w:rsid w:val="00C935A8"/>
    <w:rsid w:val="00C936AF"/>
    <w:rsid w:val="00C9375E"/>
    <w:rsid w:val="00C93878"/>
    <w:rsid w:val="00C939AD"/>
    <w:rsid w:val="00C93E2F"/>
    <w:rsid w:val="00C93E9C"/>
    <w:rsid w:val="00C93FC7"/>
    <w:rsid w:val="00C940AD"/>
    <w:rsid w:val="00C943F1"/>
    <w:rsid w:val="00C944DD"/>
    <w:rsid w:val="00C944EC"/>
    <w:rsid w:val="00C9470F"/>
    <w:rsid w:val="00C9476D"/>
    <w:rsid w:val="00C94830"/>
    <w:rsid w:val="00C948A7"/>
    <w:rsid w:val="00C94928"/>
    <w:rsid w:val="00C94A95"/>
    <w:rsid w:val="00C94D5E"/>
    <w:rsid w:val="00C94F76"/>
    <w:rsid w:val="00C951F4"/>
    <w:rsid w:val="00C95243"/>
    <w:rsid w:val="00C95861"/>
    <w:rsid w:val="00C9591F"/>
    <w:rsid w:val="00C95AD4"/>
    <w:rsid w:val="00C95BE7"/>
    <w:rsid w:val="00C95D96"/>
    <w:rsid w:val="00C95DAA"/>
    <w:rsid w:val="00C95F5A"/>
    <w:rsid w:val="00C96002"/>
    <w:rsid w:val="00C9619B"/>
    <w:rsid w:val="00C9621B"/>
    <w:rsid w:val="00C9626D"/>
    <w:rsid w:val="00C96396"/>
    <w:rsid w:val="00C966B8"/>
    <w:rsid w:val="00C966D8"/>
    <w:rsid w:val="00C96743"/>
    <w:rsid w:val="00C96957"/>
    <w:rsid w:val="00C96A1D"/>
    <w:rsid w:val="00C96A94"/>
    <w:rsid w:val="00C96B42"/>
    <w:rsid w:val="00C96DF5"/>
    <w:rsid w:val="00C96E73"/>
    <w:rsid w:val="00C96ED2"/>
    <w:rsid w:val="00C9730C"/>
    <w:rsid w:val="00C97378"/>
    <w:rsid w:val="00C973F2"/>
    <w:rsid w:val="00C9740D"/>
    <w:rsid w:val="00C97681"/>
    <w:rsid w:val="00C976FA"/>
    <w:rsid w:val="00C97833"/>
    <w:rsid w:val="00C978F6"/>
    <w:rsid w:val="00C97A8F"/>
    <w:rsid w:val="00C97BD7"/>
    <w:rsid w:val="00C97CB3"/>
    <w:rsid w:val="00C97CCB"/>
    <w:rsid w:val="00C97DC8"/>
    <w:rsid w:val="00C97DE1"/>
    <w:rsid w:val="00C97DF0"/>
    <w:rsid w:val="00C97F72"/>
    <w:rsid w:val="00CA0096"/>
    <w:rsid w:val="00CA00AD"/>
    <w:rsid w:val="00CA0101"/>
    <w:rsid w:val="00CA014C"/>
    <w:rsid w:val="00CA051B"/>
    <w:rsid w:val="00CA0779"/>
    <w:rsid w:val="00CA0A19"/>
    <w:rsid w:val="00CA0B42"/>
    <w:rsid w:val="00CA0B8B"/>
    <w:rsid w:val="00CA0D7D"/>
    <w:rsid w:val="00CA0D80"/>
    <w:rsid w:val="00CA0E71"/>
    <w:rsid w:val="00CA1162"/>
    <w:rsid w:val="00CA11F8"/>
    <w:rsid w:val="00CA12A6"/>
    <w:rsid w:val="00CA156F"/>
    <w:rsid w:val="00CA161F"/>
    <w:rsid w:val="00CA17EB"/>
    <w:rsid w:val="00CA18E1"/>
    <w:rsid w:val="00CA1BEC"/>
    <w:rsid w:val="00CA1C0E"/>
    <w:rsid w:val="00CA1C1F"/>
    <w:rsid w:val="00CA1C55"/>
    <w:rsid w:val="00CA1E4B"/>
    <w:rsid w:val="00CA1E51"/>
    <w:rsid w:val="00CA1E55"/>
    <w:rsid w:val="00CA1EB8"/>
    <w:rsid w:val="00CA1F60"/>
    <w:rsid w:val="00CA2261"/>
    <w:rsid w:val="00CA2505"/>
    <w:rsid w:val="00CA251B"/>
    <w:rsid w:val="00CA25A0"/>
    <w:rsid w:val="00CA2725"/>
    <w:rsid w:val="00CA2757"/>
    <w:rsid w:val="00CA28E1"/>
    <w:rsid w:val="00CA2912"/>
    <w:rsid w:val="00CA29CE"/>
    <w:rsid w:val="00CA2B61"/>
    <w:rsid w:val="00CA2B8F"/>
    <w:rsid w:val="00CA2DEA"/>
    <w:rsid w:val="00CA2DFF"/>
    <w:rsid w:val="00CA3023"/>
    <w:rsid w:val="00CA3073"/>
    <w:rsid w:val="00CA35A2"/>
    <w:rsid w:val="00CA35FF"/>
    <w:rsid w:val="00CA36F4"/>
    <w:rsid w:val="00CA39FA"/>
    <w:rsid w:val="00CA3A49"/>
    <w:rsid w:val="00CA3A92"/>
    <w:rsid w:val="00CA3ACA"/>
    <w:rsid w:val="00CA3BCF"/>
    <w:rsid w:val="00CA3E2E"/>
    <w:rsid w:val="00CA3E80"/>
    <w:rsid w:val="00CA3FA7"/>
    <w:rsid w:val="00CA4003"/>
    <w:rsid w:val="00CA404E"/>
    <w:rsid w:val="00CA4094"/>
    <w:rsid w:val="00CA4104"/>
    <w:rsid w:val="00CA4325"/>
    <w:rsid w:val="00CA4633"/>
    <w:rsid w:val="00CA46B8"/>
    <w:rsid w:val="00CA4847"/>
    <w:rsid w:val="00CA4AD4"/>
    <w:rsid w:val="00CA4AEA"/>
    <w:rsid w:val="00CA4B25"/>
    <w:rsid w:val="00CA4D26"/>
    <w:rsid w:val="00CA5027"/>
    <w:rsid w:val="00CA538C"/>
    <w:rsid w:val="00CA5467"/>
    <w:rsid w:val="00CA547A"/>
    <w:rsid w:val="00CA55E2"/>
    <w:rsid w:val="00CA579D"/>
    <w:rsid w:val="00CA58D0"/>
    <w:rsid w:val="00CA5C80"/>
    <w:rsid w:val="00CA5C9B"/>
    <w:rsid w:val="00CA5E9B"/>
    <w:rsid w:val="00CA5ED8"/>
    <w:rsid w:val="00CA5EF1"/>
    <w:rsid w:val="00CA60FC"/>
    <w:rsid w:val="00CA614F"/>
    <w:rsid w:val="00CA6313"/>
    <w:rsid w:val="00CA635C"/>
    <w:rsid w:val="00CA64FE"/>
    <w:rsid w:val="00CA652B"/>
    <w:rsid w:val="00CA6768"/>
    <w:rsid w:val="00CA67DB"/>
    <w:rsid w:val="00CA69E0"/>
    <w:rsid w:val="00CA6B3D"/>
    <w:rsid w:val="00CA6C3A"/>
    <w:rsid w:val="00CA6C8D"/>
    <w:rsid w:val="00CA6CA4"/>
    <w:rsid w:val="00CA6CF6"/>
    <w:rsid w:val="00CA6E29"/>
    <w:rsid w:val="00CA6E3F"/>
    <w:rsid w:val="00CA6E66"/>
    <w:rsid w:val="00CA6F6E"/>
    <w:rsid w:val="00CA72C6"/>
    <w:rsid w:val="00CA7417"/>
    <w:rsid w:val="00CA741F"/>
    <w:rsid w:val="00CA74F2"/>
    <w:rsid w:val="00CA78ED"/>
    <w:rsid w:val="00CA79D9"/>
    <w:rsid w:val="00CA7C71"/>
    <w:rsid w:val="00CA7CAA"/>
    <w:rsid w:val="00CB0002"/>
    <w:rsid w:val="00CB007C"/>
    <w:rsid w:val="00CB01E1"/>
    <w:rsid w:val="00CB047D"/>
    <w:rsid w:val="00CB07EC"/>
    <w:rsid w:val="00CB0B5E"/>
    <w:rsid w:val="00CB0BF1"/>
    <w:rsid w:val="00CB10AE"/>
    <w:rsid w:val="00CB11F4"/>
    <w:rsid w:val="00CB1446"/>
    <w:rsid w:val="00CB1584"/>
    <w:rsid w:val="00CB16AE"/>
    <w:rsid w:val="00CB18BB"/>
    <w:rsid w:val="00CB1A13"/>
    <w:rsid w:val="00CB1A23"/>
    <w:rsid w:val="00CB1B6F"/>
    <w:rsid w:val="00CB1C86"/>
    <w:rsid w:val="00CB1CF0"/>
    <w:rsid w:val="00CB1F2E"/>
    <w:rsid w:val="00CB1F99"/>
    <w:rsid w:val="00CB1FC8"/>
    <w:rsid w:val="00CB2091"/>
    <w:rsid w:val="00CB2221"/>
    <w:rsid w:val="00CB22B1"/>
    <w:rsid w:val="00CB251C"/>
    <w:rsid w:val="00CB2615"/>
    <w:rsid w:val="00CB26EB"/>
    <w:rsid w:val="00CB2760"/>
    <w:rsid w:val="00CB282C"/>
    <w:rsid w:val="00CB2A77"/>
    <w:rsid w:val="00CB2AFD"/>
    <w:rsid w:val="00CB2B16"/>
    <w:rsid w:val="00CB2B74"/>
    <w:rsid w:val="00CB2B8F"/>
    <w:rsid w:val="00CB2DAA"/>
    <w:rsid w:val="00CB2ED8"/>
    <w:rsid w:val="00CB2FC3"/>
    <w:rsid w:val="00CB334B"/>
    <w:rsid w:val="00CB34B6"/>
    <w:rsid w:val="00CB355E"/>
    <w:rsid w:val="00CB35C2"/>
    <w:rsid w:val="00CB365D"/>
    <w:rsid w:val="00CB3AB0"/>
    <w:rsid w:val="00CB3C4E"/>
    <w:rsid w:val="00CB4020"/>
    <w:rsid w:val="00CB41B8"/>
    <w:rsid w:val="00CB42C3"/>
    <w:rsid w:val="00CB42D2"/>
    <w:rsid w:val="00CB42FB"/>
    <w:rsid w:val="00CB4318"/>
    <w:rsid w:val="00CB433D"/>
    <w:rsid w:val="00CB481F"/>
    <w:rsid w:val="00CB484F"/>
    <w:rsid w:val="00CB4CC7"/>
    <w:rsid w:val="00CB4E5C"/>
    <w:rsid w:val="00CB4F49"/>
    <w:rsid w:val="00CB4FB3"/>
    <w:rsid w:val="00CB51BA"/>
    <w:rsid w:val="00CB5415"/>
    <w:rsid w:val="00CB5501"/>
    <w:rsid w:val="00CB564F"/>
    <w:rsid w:val="00CB569D"/>
    <w:rsid w:val="00CB59DA"/>
    <w:rsid w:val="00CB5B87"/>
    <w:rsid w:val="00CB5D36"/>
    <w:rsid w:val="00CB5F60"/>
    <w:rsid w:val="00CB5FFC"/>
    <w:rsid w:val="00CB61E5"/>
    <w:rsid w:val="00CB62DB"/>
    <w:rsid w:val="00CB6400"/>
    <w:rsid w:val="00CB6454"/>
    <w:rsid w:val="00CB67C4"/>
    <w:rsid w:val="00CB68F7"/>
    <w:rsid w:val="00CB6A4A"/>
    <w:rsid w:val="00CB6B41"/>
    <w:rsid w:val="00CB6CD3"/>
    <w:rsid w:val="00CB6E35"/>
    <w:rsid w:val="00CB6E5C"/>
    <w:rsid w:val="00CB70E9"/>
    <w:rsid w:val="00CB7207"/>
    <w:rsid w:val="00CB72E0"/>
    <w:rsid w:val="00CB72E5"/>
    <w:rsid w:val="00CB787B"/>
    <w:rsid w:val="00CB79A2"/>
    <w:rsid w:val="00CB7A25"/>
    <w:rsid w:val="00CB7B27"/>
    <w:rsid w:val="00CB7C33"/>
    <w:rsid w:val="00CB7FD1"/>
    <w:rsid w:val="00CC0286"/>
    <w:rsid w:val="00CC028C"/>
    <w:rsid w:val="00CC03EA"/>
    <w:rsid w:val="00CC0865"/>
    <w:rsid w:val="00CC0A4A"/>
    <w:rsid w:val="00CC0C55"/>
    <w:rsid w:val="00CC0C69"/>
    <w:rsid w:val="00CC1056"/>
    <w:rsid w:val="00CC10EE"/>
    <w:rsid w:val="00CC1111"/>
    <w:rsid w:val="00CC1295"/>
    <w:rsid w:val="00CC130F"/>
    <w:rsid w:val="00CC1332"/>
    <w:rsid w:val="00CC148E"/>
    <w:rsid w:val="00CC14C4"/>
    <w:rsid w:val="00CC156E"/>
    <w:rsid w:val="00CC1671"/>
    <w:rsid w:val="00CC169B"/>
    <w:rsid w:val="00CC1833"/>
    <w:rsid w:val="00CC1923"/>
    <w:rsid w:val="00CC196B"/>
    <w:rsid w:val="00CC19C7"/>
    <w:rsid w:val="00CC1A4D"/>
    <w:rsid w:val="00CC1A80"/>
    <w:rsid w:val="00CC1B0B"/>
    <w:rsid w:val="00CC1C3F"/>
    <w:rsid w:val="00CC1D52"/>
    <w:rsid w:val="00CC1D7D"/>
    <w:rsid w:val="00CC1EA7"/>
    <w:rsid w:val="00CC1F9C"/>
    <w:rsid w:val="00CC20FB"/>
    <w:rsid w:val="00CC23E0"/>
    <w:rsid w:val="00CC27B5"/>
    <w:rsid w:val="00CC27E8"/>
    <w:rsid w:val="00CC28A8"/>
    <w:rsid w:val="00CC2B8E"/>
    <w:rsid w:val="00CC2BBF"/>
    <w:rsid w:val="00CC3011"/>
    <w:rsid w:val="00CC303D"/>
    <w:rsid w:val="00CC31AB"/>
    <w:rsid w:val="00CC3430"/>
    <w:rsid w:val="00CC34CB"/>
    <w:rsid w:val="00CC383B"/>
    <w:rsid w:val="00CC38A5"/>
    <w:rsid w:val="00CC398A"/>
    <w:rsid w:val="00CC398D"/>
    <w:rsid w:val="00CC3C7D"/>
    <w:rsid w:val="00CC3EB6"/>
    <w:rsid w:val="00CC3F14"/>
    <w:rsid w:val="00CC3F25"/>
    <w:rsid w:val="00CC3F55"/>
    <w:rsid w:val="00CC3F76"/>
    <w:rsid w:val="00CC4023"/>
    <w:rsid w:val="00CC4039"/>
    <w:rsid w:val="00CC40EB"/>
    <w:rsid w:val="00CC4339"/>
    <w:rsid w:val="00CC43B6"/>
    <w:rsid w:val="00CC4429"/>
    <w:rsid w:val="00CC47A3"/>
    <w:rsid w:val="00CC47AD"/>
    <w:rsid w:val="00CC4815"/>
    <w:rsid w:val="00CC4A50"/>
    <w:rsid w:val="00CC4A91"/>
    <w:rsid w:val="00CC4AAD"/>
    <w:rsid w:val="00CC4AF6"/>
    <w:rsid w:val="00CC4C78"/>
    <w:rsid w:val="00CC4E70"/>
    <w:rsid w:val="00CC4F2C"/>
    <w:rsid w:val="00CC4F66"/>
    <w:rsid w:val="00CC4FEB"/>
    <w:rsid w:val="00CC502E"/>
    <w:rsid w:val="00CC5244"/>
    <w:rsid w:val="00CC52DA"/>
    <w:rsid w:val="00CC5430"/>
    <w:rsid w:val="00CC5560"/>
    <w:rsid w:val="00CC5732"/>
    <w:rsid w:val="00CC5746"/>
    <w:rsid w:val="00CC5893"/>
    <w:rsid w:val="00CC5914"/>
    <w:rsid w:val="00CC5A7E"/>
    <w:rsid w:val="00CC5B3F"/>
    <w:rsid w:val="00CC5BBE"/>
    <w:rsid w:val="00CC5C36"/>
    <w:rsid w:val="00CC5C6B"/>
    <w:rsid w:val="00CC5D5D"/>
    <w:rsid w:val="00CC5D65"/>
    <w:rsid w:val="00CC5DB5"/>
    <w:rsid w:val="00CC5F91"/>
    <w:rsid w:val="00CC60D6"/>
    <w:rsid w:val="00CC62D0"/>
    <w:rsid w:val="00CC643A"/>
    <w:rsid w:val="00CC64A9"/>
    <w:rsid w:val="00CC69AF"/>
    <w:rsid w:val="00CC6A04"/>
    <w:rsid w:val="00CC6B14"/>
    <w:rsid w:val="00CC6C6F"/>
    <w:rsid w:val="00CC6E2D"/>
    <w:rsid w:val="00CC6F74"/>
    <w:rsid w:val="00CC6FF0"/>
    <w:rsid w:val="00CC7016"/>
    <w:rsid w:val="00CC72A8"/>
    <w:rsid w:val="00CC72B2"/>
    <w:rsid w:val="00CC742F"/>
    <w:rsid w:val="00CC76E3"/>
    <w:rsid w:val="00CC779D"/>
    <w:rsid w:val="00CC77A7"/>
    <w:rsid w:val="00CC7983"/>
    <w:rsid w:val="00CC79B1"/>
    <w:rsid w:val="00CC7A05"/>
    <w:rsid w:val="00CC7AF5"/>
    <w:rsid w:val="00CC7B27"/>
    <w:rsid w:val="00CC7BBB"/>
    <w:rsid w:val="00CC7D24"/>
    <w:rsid w:val="00CC7D30"/>
    <w:rsid w:val="00CD00C5"/>
    <w:rsid w:val="00CD0286"/>
    <w:rsid w:val="00CD0617"/>
    <w:rsid w:val="00CD06DC"/>
    <w:rsid w:val="00CD0AFA"/>
    <w:rsid w:val="00CD0CB7"/>
    <w:rsid w:val="00CD0D24"/>
    <w:rsid w:val="00CD0DCC"/>
    <w:rsid w:val="00CD1095"/>
    <w:rsid w:val="00CD11AB"/>
    <w:rsid w:val="00CD1503"/>
    <w:rsid w:val="00CD161D"/>
    <w:rsid w:val="00CD1940"/>
    <w:rsid w:val="00CD1C3A"/>
    <w:rsid w:val="00CD1E0B"/>
    <w:rsid w:val="00CD1EA1"/>
    <w:rsid w:val="00CD252B"/>
    <w:rsid w:val="00CD27C2"/>
    <w:rsid w:val="00CD28B7"/>
    <w:rsid w:val="00CD28EC"/>
    <w:rsid w:val="00CD2A36"/>
    <w:rsid w:val="00CD2A95"/>
    <w:rsid w:val="00CD2BD2"/>
    <w:rsid w:val="00CD2CD1"/>
    <w:rsid w:val="00CD2DF2"/>
    <w:rsid w:val="00CD313F"/>
    <w:rsid w:val="00CD31D5"/>
    <w:rsid w:val="00CD31FB"/>
    <w:rsid w:val="00CD3382"/>
    <w:rsid w:val="00CD354C"/>
    <w:rsid w:val="00CD355B"/>
    <w:rsid w:val="00CD360A"/>
    <w:rsid w:val="00CD39DE"/>
    <w:rsid w:val="00CD3BB0"/>
    <w:rsid w:val="00CD3DCC"/>
    <w:rsid w:val="00CD4126"/>
    <w:rsid w:val="00CD4198"/>
    <w:rsid w:val="00CD4341"/>
    <w:rsid w:val="00CD4495"/>
    <w:rsid w:val="00CD44AC"/>
    <w:rsid w:val="00CD47E5"/>
    <w:rsid w:val="00CD4938"/>
    <w:rsid w:val="00CD4946"/>
    <w:rsid w:val="00CD4AF1"/>
    <w:rsid w:val="00CD4CCB"/>
    <w:rsid w:val="00CD4CD5"/>
    <w:rsid w:val="00CD4CFF"/>
    <w:rsid w:val="00CD4FC6"/>
    <w:rsid w:val="00CD505E"/>
    <w:rsid w:val="00CD540B"/>
    <w:rsid w:val="00CD5509"/>
    <w:rsid w:val="00CD5617"/>
    <w:rsid w:val="00CD5618"/>
    <w:rsid w:val="00CD5786"/>
    <w:rsid w:val="00CD5804"/>
    <w:rsid w:val="00CD588C"/>
    <w:rsid w:val="00CD5967"/>
    <w:rsid w:val="00CD5992"/>
    <w:rsid w:val="00CD5B4A"/>
    <w:rsid w:val="00CD5EDD"/>
    <w:rsid w:val="00CD5F1E"/>
    <w:rsid w:val="00CD6305"/>
    <w:rsid w:val="00CD6308"/>
    <w:rsid w:val="00CD6350"/>
    <w:rsid w:val="00CD67A8"/>
    <w:rsid w:val="00CD6910"/>
    <w:rsid w:val="00CD69D5"/>
    <w:rsid w:val="00CD69E1"/>
    <w:rsid w:val="00CD6AB9"/>
    <w:rsid w:val="00CD6ADD"/>
    <w:rsid w:val="00CD6C64"/>
    <w:rsid w:val="00CD6C90"/>
    <w:rsid w:val="00CD6D31"/>
    <w:rsid w:val="00CD6D71"/>
    <w:rsid w:val="00CD6D87"/>
    <w:rsid w:val="00CD6DF6"/>
    <w:rsid w:val="00CD6E01"/>
    <w:rsid w:val="00CD6ED9"/>
    <w:rsid w:val="00CD6F6F"/>
    <w:rsid w:val="00CD7077"/>
    <w:rsid w:val="00CD714E"/>
    <w:rsid w:val="00CD7571"/>
    <w:rsid w:val="00CD7685"/>
    <w:rsid w:val="00CD780F"/>
    <w:rsid w:val="00CD7986"/>
    <w:rsid w:val="00CD79AA"/>
    <w:rsid w:val="00CD7AA9"/>
    <w:rsid w:val="00CD7CDD"/>
    <w:rsid w:val="00CE006B"/>
    <w:rsid w:val="00CE0076"/>
    <w:rsid w:val="00CE0112"/>
    <w:rsid w:val="00CE0262"/>
    <w:rsid w:val="00CE0420"/>
    <w:rsid w:val="00CE0453"/>
    <w:rsid w:val="00CE04F3"/>
    <w:rsid w:val="00CE06BA"/>
    <w:rsid w:val="00CE06DA"/>
    <w:rsid w:val="00CE0877"/>
    <w:rsid w:val="00CE08BB"/>
    <w:rsid w:val="00CE0A80"/>
    <w:rsid w:val="00CE0B14"/>
    <w:rsid w:val="00CE0B69"/>
    <w:rsid w:val="00CE0DAC"/>
    <w:rsid w:val="00CE102F"/>
    <w:rsid w:val="00CE10C6"/>
    <w:rsid w:val="00CE1192"/>
    <w:rsid w:val="00CE124E"/>
    <w:rsid w:val="00CE12FD"/>
    <w:rsid w:val="00CE1509"/>
    <w:rsid w:val="00CE16EB"/>
    <w:rsid w:val="00CE18F7"/>
    <w:rsid w:val="00CE1AD2"/>
    <w:rsid w:val="00CE1B34"/>
    <w:rsid w:val="00CE1C2A"/>
    <w:rsid w:val="00CE1E03"/>
    <w:rsid w:val="00CE1F2A"/>
    <w:rsid w:val="00CE1F67"/>
    <w:rsid w:val="00CE201E"/>
    <w:rsid w:val="00CE20C7"/>
    <w:rsid w:val="00CE2313"/>
    <w:rsid w:val="00CE2433"/>
    <w:rsid w:val="00CE246E"/>
    <w:rsid w:val="00CE2494"/>
    <w:rsid w:val="00CE264A"/>
    <w:rsid w:val="00CE2881"/>
    <w:rsid w:val="00CE28BD"/>
    <w:rsid w:val="00CE2A88"/>
    <w:rsid w:val="00CE2AB2"/>
    <w:rsid w:val="00CE2BE9"/>
    <w:rsid w:val="00CE2C87"/>
    <w:rsid w:val="00CE2D04"/>
    <w:rsid w:val="00CE2DA8"/>
    <w:rsid w:val="00CE2DFF"/>
    <w:rsid w:val="00CE2F14"/>
    <w:rsid w:val="00CE3063"/>
    <w:rsid w:val="00CE3064"/>
    <w:rsid w:val="00CE31D3"/>
    <w:rsid w:val="00CE3396"/>
    <w:rsid w:val="00CE358C"/>
    <w:rsid w:val="00CE358E"/>
    <w:rsid w:val="00CE36B0"/>
    <w:rsid w:val="00CE36B1"/>
    <w:rsid w:val="00CE3794"/>
    <w:rsid w:val="00CE37B2"/>
    <w:rsid w:val="00CE3A54"/>
    <w:rsid w:val="00CE3B80"/>
    <w:rsid w:val="00CE3C8E"/>
    <w:rsid w:val="00CE409D"/>
    <w:rsid w:val="00CE4456"/>
    <w:rsid w:val="00CE45A5"/>
    <w:rsid w:val="00CE477B"/>
    <w:rsid w:val="00CE4793"/>
    <w:rsid w:val="00CE4937"/>
    <w:rsid w:val="00CE4A7D"/>
    <w:rsid w:val="00CE4AD4"/>
    <w:rsid w:val="00CE4AFA"/>
    <w:rsid w:val="00CE4C7B"/>
    <w:rsid w:val="00CE4D9B"/>
    <w:rsid w:val="00CE4E6B"/>
    <w:rsid w:val="00CE4F36"/>
    <w:rsid w:val="00CE535E"/>
    <w:rsid w:val="00CE547F"/>
    <w:rsid w:val="00CE54E2"/>
    <w:rsid w:val="00CE554D"/>
    <w:rsid w:val="00CE55A2"/>
    <w:rsid w:val="00CE56BD"/>
    <w:rsid w:val="00CE58A2"/>
    <w:rsid w:val="00CE5B8B"/>
    <w:rsid w:val="00CE5B9F"/>
    <w:rsid w:val="00CE5DEC"/>
    <w:rsid w:val="00CE608F"/>
    <w:rsid w:val="00CE6153"/>
    <w:rsid w:val="00CE623A"/>
    <w:rsid w:val="00CE62D5"/>
    <w:rsid w:val="00CE6456"/>
    <w:rsid w:val="00CE64D8"/>
    <w:rsid w:val="00CE652C"/>
    <w:rsid w:val="00CE664D"/>
    <w:rsid w:val="00CE684C"/>
    <w:rsid w:val="00CE69A9"/>
    <w:rsid w:val="00CE6A64"/>
    <w:rsid w:val="00CE6E38"/>
    <w:rsid w:val="00CE7211"/>
    <w:rsid w:val="00CE721D"/>
    <w:rsid w:val="00CE7606"/>
    <w:rsid w:val="00CE7618"/>
    <w:rsid w:val="00CE777E"/>
    <w:rsid w:val="00CE7808"/>
    <w:rsid w:val="00CE7870"/>
    <w:rsid w:val="00CE78FD"/>
    <w:rsid w:val="00CE7992"/>
    <w:rsid w:val="00CE7B33"/>
    <w:rsid w:val="00CE7B78"/>
    <w:rsid w:val="00CE7BF9"/>
    <w:rsid w:val="00CE7E55"/>
    <w:rsid w:val="00CE7E6C"/>
    <w:rsid w:val="00CE7E88"/>
    <w:rsid w:val="00CE7E9E"/>
    <w:rsid w:val="00CE7EE4"/>
    <w:rsid w:val="00CE7FF8"/>
    <w:rsid w:val="00CF0118"/>
    <w:rsid w:val="00CF024C"/>
    <w:rsid w:val="00CF0385"/>
    <w:rsid w:val="00CF0386"/>
    <w:rsid w:val="00CF04BF"/>
    <w:rsid w:val="00CF0664"/>
    <w:rsid w:val="00CF0974"/>
    <w:rsid w:val="00CF0AB7"/>
    <w:rsid w:val="00CF0B8E"/>
    <w:rsid w:val="00CF0B99"/>
    <w:rsid w:val="00CF0C5E"/>
    <w:rsid w:val="00CF0CA9"/>
    <w:rsid w:val="00CF0E91"/>
    <w:rsid w:val="00CF0F20"/>
    <w:rsid w:val="00CF0F2E"/>
    <w:rsid w:val="00CF1088"/>
    <w:rsid w:val="00CF10F0"/>
    <w:rsid w:val="00CF1175"/>
    <w:rsid w:val="00CF1304"/>
    <w:rsid w:val="00CF1520"/>
    <w:rsid w:val="00CF1551"/>
    <w:rsid w:val="00CF15B7"/>
    <w:rsid w:val="00CF1901"/>
    <w:rsid w:val="00CF19D3"/>
    <w:rsid w:val="00CF1AF7"/>
    <w:rsid w:val="00CF1D25"/>
    <w:rsid w:val="00CF1DAE"/>
    <w:rsid w:val="00CF1ED4"/>
    <w:rsid w:val="00CF1F19"/>
    <w:rsid w:val="00CF1F37"/>
    <w:rsid w:val="00CF2298"/>
    <w:rsid w:val="00CF2421"/>
    <w:rsid w:val="00CF248A"/>
    <w:rsid w:val="00CF2518"/>
    <w:rsid w:val="00CF2563"/>
    <w:rsid w:val="00CF25B0"/>
    <w:rsid w:val="00CF25BB"/>
    <w:rsid w:val="00CF26A2"/>
    <w:rsid w:val="00CF26CF"/>
    <w:rsid w:val="00CF2727"/>
    <w:rsid w:val="00CF2878"/>
    <w:rsid w:val="00CF299B"/>
    <w:rsid w:val="00CF2AA1"/>
    <w:rsid w:val="00CF2C8C"/>
    <w:rsid w:val="00CF2CE0"/>
    <w:rsid w:val="00CF31B3"/>
    <w:rsid w:val="00CF3255"/>
    <w:rsid w:val="00CF3454"/>
    <w:rsid w:val="00CF36F6"/>
    <w:rsid w:val="00CF38A3"/>
    <w:rsid w:val="00CF38DF"/>
    <w:rsid w:val="00CF399C"/>
    <w:rsid w:val="00CF3A1C"/>
    <w:rsid w:val="00CF3C2D"/>
    <w:rsid w:val="00CF3FA8"/>
    <w:rsid w:val="00CF403E"/>
    <w:rsid w:val="00CF4177"/>
    <w:rsid w:val="00CF4286"/>
    <w:rsid w:val="00CF433A"/>
    <w:rsid w:val="00CF4383"/>
    <w:rsid w:val="00CF4399"/>
    <w:rsid w:val="00CF4488"/>
    <w:rsid w:val="00CF44A2"/>
    <w:rsid w:val="00CF45A1"/>
    <w:rsid w:val="00CF4621"/>
    <w:rsid w:val="00CF48F0"/>
    <w:rsid w:val="00CF4AEE"/>
    <w:rsid w:val="00CF4B94"/>
    <w:rsid w:val="00CF5102"/>
    <w:rsid w:val="00CF51B3"/>
    <w:rsid w:val="00CF536A"/>
    <w:rsid w:val="00CF5680"/>
    <w:rsid w:val="00CF5900"/>
    <w:rsid w:val="00CF59F7"/>
    <w:rsid w:val="00CF5D66"/>
    <w:rsid w:val="00CF5EFF"/>
    <w:rsid w:val="00CF6041"/>
    <w:rsid w:val="00CF615F"/>
    <w:rsid w:val="00CF6162"/>
    <w:rsid w:val="00CF6690"/>
    <w:rsid w:val="00CF6822"/>
    <w:rsid w:val="00CF6857"/>
    <w:rsid w:val="00CF6891"/>
    <w:rsid w:val="00CF689F"/>
    <w:rsid w:val="00CF68DB"/>
    <w:rsid w:val="00CF6AA6"/>
    <w:rsid w:val="00CF6B5D"/>
    <w:rsid w:val="00CF6BF1"/>
    <w:rsid w:val="00CF6C72"/>
    <w:rsid w:val="00CF6D4F"/>
    <w:rsid w:val="00CF6F2C"/>
    <w:rsid w:val="00CF6F68"/>
    <w:rsid w:val="00CF6F70"/>
    <w:rsid w:val="00CF6FF6"/>
    <w:rsid w:val="00CF702D"/>
    <w:rsid w:val="00CF7093"/>
    <w:rsid w:val="00CF70A6"/>
    <w:rsid w:val="00CF73AE"/>
    <w:rsid w:val="00CF771B"/>
    <w:rsid w:val="00CF774A"/>
    <w:rsid w:val="00CF78AB"/>
    <w:rsid w:val="00CF7941"/>
    <w:rsid w:val="00D00208"/>
    <w:rsid w:val="00D005D5"/>
    <w:rsid w:val="00D0060B"/>
    <w:rsid w:val="00D0067A"/>
    <w:rsid w:val="00D00754"/>
    <w:rsid w:val="00D009B6"/>
    <w:rsid w:val="00D00F08"/>
    <w:rsid w:val="00D00F2D"/>
    <w:rsid w:val="00D0105C"/>
    <w:rsid w:val="00D01191"/>
    <w:rsid w:val="00D01520"/>
    <w:rsid w:val="00D015B5"/>
    <w:rsid w:val="00D015CB"/>
    <w:rsid w:val="00D019A0"/>
    <w:rsid w:val="00D01A3C"/>
    <w:rsid w:val="00D01BE4"/>
    <w:rsid w:val="00D01C57"/>
    <w:rsid w:val="00D01D0A"/>
    <w:rsid w:val="00D01F69"/>
    <w:rsid w:val="00D02266"/>
    <w:rsid w:val="00D022CD"/>
    <w:rsid w:val="00D0243F"/>
    <w:rsid w:val="00D02681"/>
    <w:rsid w:val="00D0275C"/>
    <w:rsid w:val="00D02A84"/>
    <w:rsid w:val="00D02E9D"/>
    <w:rsid w:val="00D02F29"/>
    <w:rsid w:val="00D02F3F"/>
    <w:rsid w:val="00D030EB"/>
    <w:rsid w:val="00D030FA"/>
    <w:rsid w:val="00D0313E"/>
    <w:rsid w:val="00D03217"/>
    <w:rsid w:val="00D03304"/>
    <w:rsid w:val="00D0333D"/>
    <w:rsid w:val="00D03415"/>
    <w:rsid w:val="00D0363F"/>
    <w:rsid w:val="00D03840"/>
    <w:rsid w:val="00D03904"/>
    <w:rsid w:val="00D03953"/>
    <w:rsid w:val="00D0398F"/>
    <w:rsid w:val="00D03A34"/>
    <w:rsid w:val="00D03AB2"/>
    <w:rsid w:val="00D03B70"/>
    <w:rsid w:val="00D03CED"/>
    <w:rsid w:val="00D03EE8"/>
    <w:rsid w:val="00D040B7"/>
    <w:rsid w:val="00D04699"/>
    <w:rsid w:val="00D048E6"/>
    <w:rsid w:val="00D04A4F"/>
    <w:rsid w:val="00D04DD9"/>
    <w:rsid w:val="00D05033"/>
    <w:rsid w:val="00D05068"/>
    <w:rsid w:val="00D051AD"/>
    <w:rsid w:val="00D052F2"/>
    <w:rsid w:val="00D053B2"/>
    <w:rsid w:val="00D0551C"/>
    <w:rsid w:val="00D05707"/>
    <w:rsid w:val="00D05754"/>
    <w:rsid w:val="00D058B4"/>
    <w:rsid w:val="00D05D7A"/>
    <w:rsid w:val="00D05E0C"/>
    <w:rsid w:val="00D05E18"/>
    <w:rsid w:val="00D05F8E"/>
    <w:rsid w:val="00D05F9E"/>
    <w:rsid w:val="00D05FE5"/>
    <w:rsid w:val="00D06356"/>
    <w:rsid w:val="00D063F7"/>
    <w:rsid w:val="00D0642E"/>
    <w:rsid w:val="00D0672F"/>
    <w:rsid w:val="00D0679B"/>
    <w:rsid w:val="00D067FA"/>
    <w:rsid w:val="00D067FF"/>
    <w:rsid w:val="00D068A8"/>
    <w:rsid w:val="00D068CB"/>
    <w:rsid w:val="00D0697E"/>
    <w:rsid w:val="00D06994"/>
    <w:rsid w:val="00D06EF9"/>
    <w:rsid w:val="00D06FA0"/>
    <w:rsid w:val="00D06FFE"/>
    <w:rsid w:val="00D0700B"/>
    <w:rsid w:val="00D07025"/>
    <w:rsid w:val="00D0726E"/>
    <w:rsid w:val="00D0731D"/>
    <w:rsid w:val="00D07761"/>
    <w:rsid w:val="00D0785E"/>
    <w:rsid w:val="00D07948"/>
    <w:rsid w:val="00D07C7A"/>
    <w:rsid w:val="00D10258"/>
    <w:rsid w:val="00D1036C"/>
    <w:rsid w:val="00D1043F"/>
    <w:rsid w:val="00D10503"/>
    <w:rsid w:val="00D1066F"/>
    <w:rsid w:val="00D1097A"/>
    <w:rsid w:val="00D1098D"/>
    <w:rsid w:val="00D10B10"/>
    <w:rsid w:val="00D10DC5"/>
    <w:rsid w:val="00D10E51"/>
    <w:rsid w:val="00D10F65"/>
    <w:rsid w:val="00D110B2"/>
    <w:rsid w:val="00D112FC"/>
    <w:rsid w:val="00D1150D"/>
    <w:rsid w:val="00D116A9"/>
    <w:rsid w:val="00D117EC"/>
    <w:rsid w:val="00D1180A"/>
    <w:rsid w:val="00D11854"/>
    <w:rsid w:val="00D11AA3"/>
    <w:rsid w:val="00D11B3B"/>
    <w:rsid w:val="00D11BDB"/>
    <w:rsid w:val="00D12369"/>
    <w:rsid w:val="00D124C7"/>
    <w:rsid w:val="00D126F5"/>
    <w:rsid w:val="00D129FF"/>
    <w:rsid w:val="00D12A28"/>
    <w:rsid w:val="00D12B3D"/>
    <w:rsid w:val="00D12CF5"/>
    <w:rsid w:val="00D12F24"/>
    <w:rsid w:val="00D132C6"/>
    <w:rsid w:val="00D1342C"/>
    <w:rsid w:val="00D1362C"/>
    <w:rsid w:val="00D13AB8"/>
    <w:rsid w:val="00D13C3A"/>
    <w:rsid w:val="00D13D3A"/>
    <w:rsid w:val="00D13DE2"/>
    <w:rsid w:val="00D13E1B"/>
    <w:rsid w:val="00D14040"/>
    <w:rsid w:val="00D1428B"/>
    <w:rsid w:val="00D143CE"/>
    <w:rsid w:val="00D1448C"/>
    <w:rsid w:val="00D144EB"/>
    <w:rsid w:val="00D14545"/>
    <w:rsid w:val="00D145B7"/>
    <w:rsid w:val="00D14703"/>
    <w:rsid w:val="00D14A5D"/>
    <w:rsid w:val="00D14B69"/>
    <w:rsid w:val="00D14BCB"/>
    <w:rsid w:val="00D14C29"/>
    <w:rsid w:val="00D14C68"/>
    <w:rsid w:val="00D14D03"/>
    <w:rsid w:val="00D14D58"/>
    <w:rsid w:val="00D14EAE"/>
    <w:rsid w:val="00D1511D"/>
    <w:rsid w:val="00D1517D"/>
    <w:rsid w:val="00D15350"/>
    <w:rsid w:val="00D153E1"/>
    <w:rsid w:val="00D15494"/>
    <w:rsid w:val="00D1565F"/>
    <w:rsid w:val="00D15684"/>
    <w:rsid w:val="00D1591E"/>
    <w:rsid w:val="00D15939"/>
    <w:rsid w:val="00D15A64"/>
    <w:rsid w:val="00D15AC7"/>
    <w:rsid w:val="00D15B47"/>
    <w:rsid w:val="00D15BA1"/>
    <w:rsid w:val="00D15BB9"/>
    <w:rsid w:val="00D15CCC"/>
    <w:rsid w:val="00D15DDB"/>
    <w:rsid w:val="00D16080"/>
    <w:rsid w:val="00D160CE"/>
    <w:rsid w:val="00D161D8"/>
    <w:rsid w:val="00D16292"/>
    <w:rsid w:val="00D162DF"/>
    <w:rsid w:val="00D1655B"/>
    <w:rsid w:val="00D165B8"/>
    <w:rsid w:val="00D16724"/>
    <w:rsid w:val="00D167F1"/>
    <w:rsid w:val="00D168D8"/>
    <w:rsid w:val="00D16ADB"/>
    <w:rsid w:val="00D16BC3"/>
    <w:rsid w:val="00D16C0F"/>
    <w:rsid w:val="00D16CC9"/>
    <w:rsid w:val="00D16D25"/>
    <w:rsid w:val="00D16E08"/>
    <w:rsid w:val="00D16E52"/>
    <w:rsid w:val="00D16E8C"/>
    <w:rsid w:val="00D16FA4"/>
    <w:rsid w:val="00D170E5"/>
    <w:rsid w:val="00D170F1"/>
    <w:rsid w:val="00D17159"/>
    <w:rsid w:val="00D17236"/>
    <w:rsid w:val="00D17353"/>
    <w:rsid w:val="00D173F2"/>
    <w:rsid w:val="00D1766D"/>
    <w:rsid w:val="00D176A4"/>
    <w:rsid w:val="00D177DF"/>
    <w:rsid w:val="00D17874"/>
    <w:rsid w:val="00D178A6"/>
    <w:rsid w:val="00D17988"/>
    <w:rsid w:val="00D179AB"/>
    <w:rsid w:val="00D179D7"/>
    <w:rsid w:val="00D17BBB"/>
    <w:rsid w:val="00D17CAF"/>
    <w:rsid w:val="00D20053"/>
    <w:rsid w:val="00D2031F"/>
    <w:rsid w:val="00D20370"/>
    <w:rsid w:val="00D20423"/>
    <w:rsid w:val="00D204FA"/>
    <w:rsid w:val="00D208C9"/>
    <w:rsid w:val="00D208CB"/>
    <w:rsid w:val="00D20923"/>
    <w:rsid w:val="00D20A24"/>
    <w:rsid w:val="00D20A9C"/>
    <w:rsid w:val="00D20AA4"/>
    <w:rsid w:val="00D20AE7"/>
    <w:rsid w:val="00D20D10"/>
    <w:rsid w:val="00D21259"/>
    <w:rsid w:val="00D212D3"/>
    <w:rsid w:val="00D21864"/>
    <w:rsid w:val="00D21883"/>
    <w:rsid w:val="00D21B64"/>
    <w:rsid w:val="00D21DB1"/>
    <w:rsid w:val="00D21E83"/>
    <w:rsid w:val="00D21EF9"/>
    <w:rsid w:val="00D22065"/>
    <w:rsid w:val="00D22214"/>
    <w:rsid w:val="00D2224D"/>
    <w:rsid w:val="00D222B8"/>
    <w:rsid w:val="00D22587"/>
    <w:rsid w:val="00D225D1"/>
    <w:rsid w:val="00D226A6"/>
    <w:rsid w:val="00D227BF"/>
    <w:rsid w:val="00D22A25"/>
    <w:rsid w:val="00D22C22"/>
    <w:rsid w:val="00D22CD3"/>
    <w:rsid w:val="00D23010"/>
    <w:rsid w:val="00D2309F"/>
    <w:rsid w:val="00D230C3"/>
    <w:rsid w:val="00D2335E"/>
    <w:rsid w:val="00D234B0"/>
    <w:rsid w:val="00D23664"/>
    <w:rsid w:val="00D2375B"/>
    <w:rsid w:val="00D237F5"/>
    <w:rsid w:val="00D238F4"/>
    <w:rsid w:val="00D23960"/>
    <w:rsid w:val="00D23BF7"/>
    <w:rsid w:val="00D23C2D"/>
    <w:rsid w:val="00D23C8E"/>
    <w:rsid w:val="00D23FAC"/>
    <w:rsid w:val="00D24215"/>
    <w:rsid w:val="00D24307"/>
    <w:rsid w:val="00D24348"/>
    <w:rsid w:val="00D24367"/>
    <w:rsid w:val="00D244F1"/>
    <w:rsid w:val="00D2465E"/>
    <w:rsid w:val="00D2473D"/>
    <w:rsid w:val="00D24774"/>
    <w:rsid w:val="00D24775"/>
    <w:rsid w:val="00D24789"/>
    <w:rsid w:val="00D24857"/>
    <w:rsid w:val="00D24926"/>
    <w:rsid w:val="00D24A28"/>
    <w:rsid w:val="00D24BC8"/>
    <w:rsid w:val="00D24EAB"/>
    <w:rsid w:val="00D24F3C"/>
    <w:rsid w:val="00D24F93"/>
    <w:rsid w:val="00D25008"/>
    <w:rsid w:val="00D25387"/>
    <w:rsid w:val="00D253EC"/>
    <w:rsid w:val="00D253F9"/>
    <w:rsid w:val="00D25540"/>
    <w:rsid w:val="00D256FF"/>
    <w:rsid w:val="00D25A3B"/>
    <w:rsid w:val="00D25CC2"/>
    <w:rsid w:val="00D25F96"/>
    <w:rsid w:val="00D260DF"/>
    <w:rsid w:val="00D26631"/>
    <w:rsid w:val="00D2666C"/>
    <w:rsid w:val="00D2667F"/>
    <w:rsid w:val="00D269B7"/>
    <w:rsid w:val="00D269EC"/>
    <w:rsid w:val="00D26A1E"/>
    <w:rsid w:val="00D26BB6"/>
    <w:rsid w:val="00D26D60"/>
    <w:rsid w:val="00D26DDF"/>
    <w:rsid w:val="00D26FC9"/>
    <w:rsid w:val="00D27055"/>
    <w:rsid w:val="00D27160"/>
    <w:rsid w:val="00D272E4"/>
    <w:rsid w:val="00D275A7"/>
    <w:rsid w:val="00D2760B"/>
    <w:rsid w:val="00D278B1"/>
    <w:rsid w:val="00D30351"/>
    <w:rsid w:val="00D3035A"/>
    <w:rsid w:val="00D30440"/>
    <w:rsid w:val="00D30471"/>
    <w:rsid w:val="00D304C2"/>
    <w:rsid w:val="00D30648"/>
    <w:rsid w:val="00D30676"/>
    <w:rsid w:val="00D30710"/>
    <w:rsid w:val="00D30784"/>
    <w:rsid w:val="00D308A2"/>
    <w:rsid w:val="00D30C3D"/>
    <w:rsid w:val="00D30D2C"/>
    <w:rsid w:val="00D30D73"/>
    <w:rsid w:val="00D30DF3"/>
    <w:rsid w:val="00D30EB0"/>
    <w:rsid w:val="00D311B4"/>
    <w:rsid w:val="00D3138B"/>
    <w:rsid w:val="00D313A1"/>
    <w:rsid w:val="00D3150A"/>
    <w:rsid w:val="00D317A2"/>
    <w:rsid w:val="00D318FF"/>
    <w:rsid w:val="00D31940"/>
    <w:rsid w:val="00D319CD"/>
    <w:rsid w:val="00D31B6F"/>
    <w:rsid w:val="00D31D1D"/>
    <w:rsid w:val="00D31D5E"/>
    <w:rsid w:val="00D31FD2"/>
    <w:rsid w:val="00D3206F"/>
    <w:rsid w:val="00D32080"/>
    <w:rsid w:val="00D323E2"/>
    <w:rsid w:val="00D32528"/>
    <w:rsid w:val="00D3258D"/>
    <w:rsid w:val="00D32609"/>
    <w:rsid w:val="00D329C9"/>
    <w:rsid w:val="00D32AA4"/>
    <w:rsid w:val="00D32C6B"/>
    <w:rsid w:val="00D32E70"/>
    <w:rsid w:val="00D331C1"/>
    <w:rsid w:val="00D3325B"/>
    <w:rsid w:val="00D3330D"/>
    <w:rsid w:val="00D3337C"/>
    <w:rsid w:val="00D33504"/>
    <w:rsid w:val="00D33509"/>
    <w:rsid w:val="00D335DF"/>
    <w:rsid w:val="00D3381C"/>
    <w:rsid w:val="00D3397F"/>
    <w:rsid w:val="00D33B09"/>
    <w:rsid w:val="00D33B57"/>
    <w:rsid w:val="00D33FE5"/>
    <w:rsid w:val="00D340A7"/>
    <w:rsid w:val="00D3416C"/>
    <w:rsid w:val="00D344CC"/>
    <w:rsid w:val="00D344D1"/>
    <w:rsid w:val="00D3464A"/>
    <w:rsid w:val="00D346CB"/>
    <w:rsid w:val="00D34766"/>
    <w:rsid w:val="00D34A58"/>
    <w:rsid w:val="00D34B06"/>
    <w:rsid w:val="00D34B54"/>
    <w:rsid w:val="00D34C26"/>
    <w:rsid w:val="00D34D6C"/>
    <w:rsid w:val="00D350E3"/>
    <w:rsid w:val="00D351CC"/>
    <w:rsid w:val="00D351FB"/>
    <w:rsid w:val="00D35234"/>
    <w:rsid w:val="00D35C57"/>
    <w:rsid w:val="00D35CA6"/>
    <w:rsid w:val="00D35D78"/>
    <w:rsid w:val="00D35E28"/>
    <w:rsid w:val="00D35F27"/>
    <w:rsid w:val="00D35FC9"/>
    <w:rsid w:val="00D36016"/>
    <w:rsid w:val="00D3602E"/>
    <w:rsid w:val="00D36175"/>
    <w:rsid w:val="00D3647F"/>
    <w:rsid w:val="00D364AA"/>
    <w:rsid w:val="00D365FE"/>
    <w:rsid w:val="00D36787"/>
    <w:rsid w:val="00D3698F"/>
    <w:rsid w:val="00D36B77"/>
    <w:rsid w:val="00D36C3F"/>
    <w:rsid w:val="00D36E1C"/>
    <w:rsid w:val="00D37176"/>
    <w:rsid w:val="00D37445"/>
    <w:rsid w:val="00D37576"/>
    <w:rsid w:val="00D37578"/>
    <w:rsid w:val="00D3758A"/>
    <w:rsid w:val="00D37592"/>
    <w:rsid w:val="00D376A2"/>
    <w:rsid w:val="00D376CE"/>
    <w:rsid w:val="00D37893"/>
    <w:rsid w:val="00D37A3C"/>
    <w:rsid w:val="00D37EA8"/>
    <w:rsid w:val="00D37F87"/>
    <w:rsid w:val="00D40185"/>
    <w:rsid w:val="00D4048D"/>
    <w:rsid w:val="00D40856"/>
    <w:rsid w:val="00D40ABF"/>
    <w:rsid w:val="00D40BA0"/>
    <w:rsid w:val="00D40C62"/>
    <w:rsid w:val="00D40C93"/>
    <w:rsid w:val="00D40CBD"/>
    <w:rsid w:val="00D40D36"/>
    <w:rsid w:val="00D40E2B"/>
    <w:rsid w:val="00D41045"/>
    <w:rsid w:val="00D410C3"/>
    <w:rsid w:val="00D41183"/>
    <w:rsid w:val="00D41293"/>
    <w:rsid w:val="00D412B5"/>
    <w:rsid w:val="00D4138B"/>
    <w:rsid w:val="00D41468"/>
    <w:rsid w:val="00D415CF"/>
    <w:rsid w:val="00D41A6B"/>
    <w:rsid w:val="00D41CD0"/>
    <w:rsid w:val="00D41D73"/>
    <w:rsid w:val="00D41ED9"/>
    <w:rsid w:val="00D41EDC"/>
    <w:rsid w:val="00D4215D"/>
    <w:rsid w:val="00D4250D"/>
    <w:rsid w:val="00D42926"/>
    <w:rsid w:val="00D42C02"/>
    <w:rsid w:val="00D42DAC"/>
    <w:rsid w:val="00D42E78"/>
    <w:rsid w:val="00D42EF3"/>
    <w:rsid w:val="00D4312A"/>
    <w:rsid w:val="00D4332B"/>
    <w:rsid w:val="00D433FF"/>
    <w:rsid w:val="00D43474"/>
    <w:rsid w:val="00D435D8"/>
    <w:rsid w:val="00D43790"/>
    <w:rsid w:val="00D43B1B"/>
    <w:rsid w:val="00D43C5D"/>
    <w:rsid w:val="00D43D93"/>
    <w:rsid w:val="00D43DB6"/>
    <w:rsid w:val="00D43F97"/>
    <w:rsid w:val="00D44011"/>
    <w:rsid w:val="00D4406A"/>
    <w:rsid w:val="00D441E2"/>
    <w:rsid w:val="00D44282"/>
    <w:rsid w:val="00D4428C"/>
    <w:rsid w:val="00D443A7"/>
    <w:rsid w:val="00D444A8"/>
    <w:rsid w:val="00D4474B"/>
    <w:rsid w:val="00D44899"/>
    <w:rsid w:val="00D44A0E"/>
    <w:rsid w:val="00D44A5D"/>
    <w:rsid w:val="00D44C2B"/>
    <w:rsid w:val="00D44C43"/>
    <w:rsid w:val="00D44C4D"/>
    <w:rsid w:val="00D44D18"/>
    <w:rsid w:val="00D44DE1"/>
    <w:rsid w:val="00D44F6B"/>
    <w:rsid w:val="00D450A9"/>
    <w:rsid w:val="00D45126"/>
    <w:rsid w:val="00D451D7"/>
    <w:rsid w:val="00D4527E"/>
    <w:rsid w:val="00D45366"/>
    <w:rsid w:val="00D453DF"/>
    <w:rsid w:val="00D45530"/>
    <w:rsid w:val="00D45797"/>
    <w:rsid w:val="00D4584A"/>
    <w:rsid w:val="00D458CB"/>
    <w:rsid w:val="00D458DA"/>
    <w:rsid w:val="00D45987"/>
    <w:rsid w:val="00D45D4D"/>
    <w:rsid w:val="00D4606A"/>
    <w:rsid w:val="00D4609E"/>
    <w:rsid w:val="00D46173"/>
    <w:rsid w:val="00D46326"/>
    <w:rsid w:val="00D466F5"/>
    <w:rsid w:val="00D46DF3"/>
    <w:rsid w:val="00D46F9C"/>
    <w:rsid w:val="00D4706F"/>
    <w:rsid w:val="00D470D5"/>
    <w:rsid w:val="00D470FA"/>
    <w:rsid w:val="00D47200"/>
    <w:rsid w:val="00D472ED"/>
    <w:rsid w:val="00D47642"/>
    <w:rsid w:val="00D4780A"/>
    <w:rsid w:val="00D4797A"/>
    <w:rsid w:val="00D479FB"/>
    <w:rsid w:val="00D47B68"/>
    <w:rsid w:val="00D47E75"/>
    <w:rsid w:val="00D47E98"/>
    <w:rsid w:val="00D500D1"/>
    <w:rsid w:val="00D50128"/>
    <w:rsid w:val="00D5019B"/>
    <w:rsid w:val="00D502BD"/>
    <w:rsid w:val="00D50617"/>
    <w:rsid w:val="00D50796"/>
    <w:rsid w:val="00D50957"/>
    <w:rsid w:val="00D509B4"/>
    <w:rsid w:val="00D50A46"/>
    <w:rsid w:val="00D50B90"/>
    <w:rsid w:val="00D50C8C"/>
    <w:rsid w:val="00D50D46"/>
    <w:rsid w:val="00D50D95"/>
    <w:rsid w:val="00D50F0D"/>
    <w:rsid w:val="00D50F83"/>
    <w:rsid w:val="00D50FF3"/>
    <w:rsid w:val="00D51467"/>
    <w:rsid w:val="00D514B6"/>
    <w:rsid w:val="00D51556"/>
    <w:rsid w:val="00D51644"/>
    <w:rsid w:val="00D516BA"/>
    <w:rsid w:val="00D51752"/>
    <w:rsid w:val="00D5184E"/>
    <w:rsid w:val="00D51C9F"/>
    <w:rsid w:val="00D51E9F"/>
    <w:rsid w:val="00D51EAE"/>
    <w:rsid w:val="00D52022"/>
    <w:rsid w:val="00D520DA"/>
    <w:rsid w:val="00D5211E"/>
    <w:rsid w:val="00D52329"/>
    <w:rsid w:val="00D52884"/>
    <w:rsid w:val="00D52A13"/>
    <w:rsid w:val="00D52BDA"/>
    <w:rsid w:val="00D52CCE"/>
    <w:rsid w:val="00D533C9"/>
    <w:rsid w:val="00D535CB"/>
    <w:rsid w:val="00D537B1"/>
    <w:rsid w:val="00D53910"/>
    <w:rsid w:val="00D53989"/>
    <w:rsid w:val="00D53A5B"/>
    <w:rsid w:val="00D53D72"/>
    <w:rsid w:val="00D53E1B"/>
    <w:rsid w:val="00D53F48"/>
    <w:rsid w:val="00D54234"/>
    <w:rsid w:val="00D543AA"/>
    <w:rsid w:val="00D543E0"/>
    <w:rsid w:val="00D5444A"/>
    <w:rsid w:val="00D544E0"/>
    <w:rsid w:val="00D54875"/>
    <w:rsid w:val="00D54D4D"/>
    <w:rsid w:val="00D54FFE"/>
    <w:rsid w:val="00D5507A"/>
    <w:rsid w:val="00D552BE"/>
    <w:rsid w:val="00D55324"/>
    <w:rsid w:val="00D55585"/>
    <w:rsid w:val="00D556D0"/>
    <w:rsid w:val="00D557CD"/>
    <w:rsid w:val="00D55AD9"/>
    <w:rsid w:val="00D55CA6"/>
    <w:rsid w:val="00D55EE1"/>
    <w:rsid w:val="00D56271"/>
    <w:rsid w:val="00D5632C"/>
    <w:rsid w:val="00D56493"/>
    <w:rsid w:val="00D56546"/>
    <w:rsid w:val="00D567E3"/>
    <w:rsid w:val="00D56801"/>
    <w:rsid w:val="00D5691B"/>
    <w:rsid w:val="00D56B53"/>
    <w:rsid w:val="00D56B77"/>
    <w:rsid w:val="00D56C50"/>
    <w:rsid w:val="00D56CA3"/>
    <w:rsid w:val="00D56DDD"/>
    <w:rsid w:val="00D56FB2"/>
    <w:rsid w:val="00D57309"/>
    <w:rsid w:val="00D57349"/>
    <w:rsid w:val="00D573AC"/>
    <w:rsid w:val="00D57620"/>
    <w:rsid w:val="00D57688"/>
    <w:rsid w:val="00D578D1"/>
    <w:rsid w:val="00D57A07"/>
    <w:rsid w:val="00D57A71"/>
    <w:rsid w:val="00D57D5D"/>
    <w:rsid w:val="00D57D6D"/>
    <w:rsid w:val="00D57D8F"/>
    <w:rsid w:val="00D57EF1"/>
    <w:rsid w:val="00D57FEF"/>
    <w:rsid w:val="00D601D5"/>
    <w:rsid w:val="00D602B7"/>
    <w:rsid w:val="00D6031F"/>
    <w:rsid w:val="00D60321"/>
    <w:rsid w:val="00D60339"/>
    <w:rsid w:val="00D6037B"/>
    <w:rsid w:val="00D603ED"/>
    <w:rsid w:val="00D604AA"/>
    <w:rsid w:val="00D6067F"/>
    <w:rsid w:val="00D609DF"/>
    <w:rsid w:val="00D60CA5"/>
    <w:rsid w:val="00D60D97"/>
    <w:rsid w:val="00D60DB7"/>
    <w:rsid w:val="00D60DDE"/>
    <w:rsid w:val="00D60F12"/>
    <w:rsid w:val="00D60FCE"/>
    <w:rsid w:val="00D61139"/>
    <w:rsid w:val="00D61229"/>
    <w:rsid w:val="00D61682"/>
    <w:rsid w:val="00D616BF"/>
    <w:rsid w:val="00D616DF"/>
    <w:rsid w:val="00D6171B"/>
    <w:rsid w:val="00D618D7"/>
    <w:rsid w:val="00D61A65"/>
    <w:rsid w:val="00D61AE8"/>
    <w:rsid w:val="00D61BF8"/>
    <w:rsid w:val="00D61CB4"/>
    <w:rsid w:val="00D61DEF"/>
    <w:rsid w:val="00D61E19"/>
    <w:rsid w:val="00D61EFB"/>
    <w:rsid w:val="00D62370"/>
    <w:rsid w:val="00D62450"/>
    <w:rsid w:val="00D62487"/>
    <w:rsid w:val="00D62509"/>
    <w:rsid w:val="00D62556"/>
    <w:rsid w:val="00D62D16"/>
    <w:rsid w:val="00D62D5C"/>
    <w:rsid w:val="00D62EF8"/>
    <w:rsid w:val="00D631D7"/>
    <w:rsid w:val="00D633E4"/>
    <w:rsid w:val="00D6347F"/>
    <w:rsid w:val="00D636C6"/>
    <w:rsid w:val="00D63945"/>
    <w:rsid w:val="00D63963"/>
    <w:rsid w:val="00D63B4D"/>
    <w:rsid w:val="00D63C1F"/>
    <w:rsid w:val="00D63D3A"/>
    <w:rsid w:val="00D63F74"/>
    <w:rsid w:val="00D642CD"/>
    <w:rsid w:val="00D642EF"/>
    <w:rsid w:val="00D64373"/>
    <w:rsid w:val="00D64376"/>
    <w:rsid w:val="00D6450F"/>
    <w:rsid w:val="00D6484F"/>
    <w:rsid w:val="00D649B4"/>
    <w:rsid w:val="00D649E1"/>
    <w:rsid w:val="00D64B15"/>
    <w:rsid w:val="00D64B8F"/>
    <w:rsid w:val="00D64BD2"/>
    <w:rsid w:val="00D64C41"/>
    <w:rsid w:val="00D65205"/>
    <w:rsid w:val="00D65467"/>
    <w:rsid w:val="00D65646"/>
    <w:rsid w:val="00D6568B"/>
    <w:rsid w:val="00D656BE"/>
    <w:rsid w:val="00D65781"/>
    <w:rsid w:val="00D657E3"/>
    <w:rsid w:val="00D658D2"/>
    <w:rsid w:val="00D65A86"/>
    <w:rsid w:val="00D65A8E"/>
    <w:rsid w:val="00D65ABA"/>
    <w:rsid w:val="00D65B21"/>
    <w:rsid w:val="00D65E2E"/>
    <w:rsid w:val="00D65F0C"/>
    <w:rsid w:val="00D660E6"/>
    <w:rsid w:val="00D6629F"/>
    <w:rsid w:val="00D66424"/>
    <w:rsid w:val="00D667BA"/>
    <w:rsid w:val="00D66A97"/>
    <w:rsid w:val="00D66BAD"/>
    <w:rsid w:val="00D66BF2"/>
    <w:rsid w:val="00D66C76"/>
    <w:rsid w:val="00D66CC3"/>
    <w:rsid w:val="00D66D6B"/>
    <w:rsid w:val="00D67318"/>
    <w:rsid w:val="00D6736E"/>
    <w:rsid w:val="00D673DB"/>
    <w:rsid w:val="00D676A7"/>
    <w:rsid w:val="00D677D3"/>
    <w:rsid w:val="00D67881"/>
    <w:rsid w:val="00D6794C"/>
    <w:rsid w:val="00D67C26"/>
    <w:rsid w:val="00D67C6D"/>
    <w:rsid w:val="00D67DAD"/>
    <w:rsid w:val="00D67E48"/>
    <w:rsid w:val="00D67EA7"/>
    <w:rsid w:val="00D701A9"/>
    <w:rsid w:val="00D70292"/>
    <w:rsid w:val="00D70951"/>
    <w:rsid w:val="00D70D0D"/>
    <w:rsid w:val="00D70EEA"/>
    <w:rsid w:val="00D71029"/>
    <w:rsid w:val="00D7102A"/>
    <w:rsid w:val="00D71734"/>
    <w:rsid w:val="00D7174B"/>
    <w:rsid w:val="00D7191D"/>
    <w:rsid w:val="00D71A15"/>
    <w:rsid w:val="00D71DA4"/>
    <w:rsid w:val="00D72217"/>
    <w:rsid w:val="00D7238C"/>
    <w:rsid w:val="00D72427"/>
    <w:rsid w:val="00D7245C"/>
    <w:rsid w:val="00D7245E"/>
    <w:rsid w:val="00D7262E"/>
    <w:rsid w:val="00D72749"/>
    <w:rsid w:val="00D729D3"/>
    <w:rsid w:val="00D72A3A"/>
    <w:rsid w:val="00D72C44"/>
    <w:rsid w:val="00D72C7E"/>
    <w:rsid w:val="00D72CDF"/>
    <w:rsid w:val="00D72FAC"/>
    <w:rsid w:val="00D72FB9"/>
    <w:rsid w:val="00D72FED"/>
    <w:rsid w:val="00D72FFA"/>
    <w:rsid w:val="00D73148"/>
    <w:rsid w:val="00D731EB"/>
    <w:rsid w:val="00D73218"/>
    <w:rsid w:val="00D732F7"/>
    <w:rsid w:val="00D735E4"/>
    <w:rsid w:val="00D73710"/>
    <w:rsid w:val="00D73893"/>
    <w:rsid w:val="00D738B1"/>
    <w:rsid w:val="00D73C07"/>
    <w:rsid w:val="00D73C59"/>
    <w:rsid w:val="00D73E00"/>
    <w:rsid w:val="00D73E94"/>
    <w:rsid w:val="00D73F1C"/>
    <w:rsid w:val="00D73F38"/>
    <w:rsid w:val="00D73F8A"/>
    <w:rsid w:val="00D74241"/>
    <w:rsid w:val="00D74297"/>
    <w:rsid w:val="00D742E3"/>
    <w:rsid w:val="00D743BF"/>
    <w:rsid w:val="00D74412"/>
    <w:rsid w:val="00D74630"/>
    <w:rsid w:val="00D7466D"/>
    <w:rsid w:val="00D7468E"/>
    <w:rsid w:val="00D74772"/>
    <w:rsid w:val="00D74783"/>
    <w:rsid w:val="00D74876"/>
    <w:rsid w:val="00D7495D"/>
    <w:rsid w:val="00D74AF7"/>
    <w:rsid w:val="00D74BE1"/>
    <w:rsid w:val="00D74C13"/>
    <w:rsid w:val="00D74C21"/>
    <w:rsid w:val="00D74E26"/>
    <w:rsid w:val="00D74E33"/>
    <w:rsid w:val="00D75006"/>
    <w:rsid w:val="00D75026"/>
    <w:rsid w:val="00D75140"/>
    <w:rsid w:val="00D752DC"/>
    <w:rsid w:val="00D7532F"/>
    <w:rsid w:val="00D75331"/>
    <w:rsid w:val="00D753B1"/>
    <w:rsid w:val="00D7545C"/>
    <w:rsid w:val="00D75525"/>
    <w:rsid w:val="00D7577B"/>
    <w:rsid w:val="00D757A7"/>
    <w:rsid w:val="00D7581A"/>
    <w:rsid w:val="00D7581D"/>
    <w:rsid w:val="00D75A61"/>
    <w:rsid w:val="00D75C9D"/>
    <w:rsid w:val="00D75E28"/>
    <w:rsid w:val="00D76002"/>
    <w:rsid w:val="00D763D9"/>
    <w:rsid w:val="00D76539"/>
    <w:rsid w:val="00D766AA"/>
    <w:rsid w:val="00D766F1"/>
    <w:rsid w:val="00D7695A"/>
    <w:rsid w:val="00D76ADB"/>
    <w:rsid w:val="00D76C6B"/>
    <w:rsid w:val="00D76D91"/>
    <w:rsid w:val="00D76DFE"/>
    <w:rsid w:val="00D770AF"/>
    <w:rsid w:val="00D7719C"/>
    <w:rsid w:val="00D7722F"/>
    <w:rsid w:val="00D77279"/>
    <w:rsid w:val="00D7729F"/>
    <w:rsid w:val="00D77314"/>
    <w:rsid w:val="00D7736D"/>
    <w:rsid w:val="00D778DF"/>
    <w:rsid w:val="00D7799F"/>
    <w:rsid w:val="00D77A64"/>
    <w:rsid w:val="00D77C4D"/>
    <w:rsid w:val="00D77DA2"/>
    <w:rsid w:val="00D77F64"/>
    <w:rsid w:val="00D803F2"/>
    <w:rsid w:val="00D806F1"/>
    <w:rsid w:val="00D80A86"/>
    <w:rsid w:val="00D80BA6"/>
    <w:rsid w:val="00D80FBD"/>
    <w:rsid w:val="00D81171"/>
    <w:rsid w:val="00D8119F"/>
    <w:rsid w:val="00D81224"/>
    <w:rsid w:val="00D8126B"/>
    <w:rsid w:val="00D8128D"/>
    <w:rsid w:val="00D814D8"/>
    <w:rsid w:val="00D81585"/>
    <w:rsid w:val="00D81648"/>
    <w:rsid w:val="00D81663"/>
    <w:rsid w:val="00D8168C"/>
    <w:rsid w:val="00D81835"/>
    <w:rsid w:val="00D819BA"/>
    <w:rsid w:val="00D81BF5"/>
    <w:rsid w:val="00D81D6F"/>
    <w:rsid w:val="00D81F6B"/>
    <w:rsid w:val="00D82027"/>
    <w:rsid w:val="00D8205A"/>
    <w:rsid w:val="00D8243E"/>
    <w:rsid w:val="00D825CF"/>
    <w:rsid w:val="00D82647"/>
    <w:rsid w:val="00D82852"/>
    <w:rsid w:val="00D82916"/>
    <w:rsid w:val="00D82961"/>
    <w:rsid w:val="00D82DAA"/>
    <w:rsid w:val="00D82DE2"/>
    <w:rsid w:val="00D82E4E"/>
    <w:rsid w:val="00D82E65"/>
    <w:rsid w:val="00D82E97"/>
    <w:rsid w:val="00D8323A"/>
    <w:rsid w:val="00D8336B"/>
    <w:rsid w:val="00D833AF"/>
    <w:rsid w:val="00D8344A"/>
    <w:rsid w:val="00D8344B"/>
    <w:rsid w:val="00D8369B"/>
    <w:rsid w:val="00D8377D"/>
    <w:rsid w:val="00D83C96"/>
    <w:rsid w:val="00D83ED0"/>
    <w:rsid w:val="00D83EFA"/>
    <w:rsid w:val="00D83F3E"/>
    <w:rsid w:val="00D841A8"/>
    <w:rsid w:val="00D844B2"/>
    <w:rsid w:val="00D84500"/>
    <w:rsid w:val="00D84563"/>
    <w:rsid w:val="00D84B17"/>
    <w:rsid w:val="00D84DE4"/>
    <w:rsid w:val="00D84DEE"/>
    <w:rsid w:val="00D84E46"/>
    <w:rsid w:val="00D84EDE"/>
    <w:rsid w:val="00D84EED"/>
    <w:rsid w:val="00D8509D"/>
    <w:rsid w:val="00D85273"/>
    <w:rsid w:val="00D85297"/>
    <w:rsid w:val="00D8547D"/>
    <w:rsid w:val="00D85715"/>
    <w:rsid w:val="00D8572E"/>
    <w:rsid w:val="00D857C7"/>
    <w:rsid w:val="00D859F8"/>
    <w:rsid w:val="00D85A2C"/>
    <w:rsid w:val="00D85A6E"/>
    <w:rsid w:val="00D85BA7"/>
    <w:rsid w:val="00D85FA5"/>
    <w:rsid w:val="00D86057"/>
    <w:rsid w:val="00D864F6"/>
    <w:rsid w:val="00D8666A"/>
    <w:rsid w:val="00D86704"/>
    <w:rsid w:val="00D869B7"/>
    <w:rsid w:val="00D86A28"/>
    <w:rsid w:val="00D86B32"/>
    <w:rsid w:val="00D86BF6"/>
    <w:rsid w:val="00D86C12"/>
    <w:rsid w:val="00D86C7D"/>
    <w:rsid w:val="00D86C8D"/>
    <w:rsid w:val="00D86CCB"/>
    <w:rsid w:val="00D86D22"/>
    <w:rsid w:val="00D8713E"/>
    <w:rsid w:val="00D87221"/>
    <w:rsid w:val="00D876C5"/>
    <w:rsid w:val="00D877DA"/>
    <w:rsid w:val="00D87832"/>
    <w:rsid w:val="00D878A2"/>
    <w:rsid w:val="00D879E3"/>
    <w:rsid w:val="00D87A00"/>
    <w:rsid w:val="00D87B58"/>
    <w:rsid w:val="00D87D20"/>
    <w:rsid w:val="00D87DCE"/>
    <w:rsid w:val="00D903A1"/>
    <w:rsid w:val="00D9059E"/>
    <w:rsid w:val="00D90608"/>
    <w:rsid w:val="00D9064E"/>
    <w:rsid w:val="00D90729"/>
    <w:rsid w:val="00D908FC"/>
    <w:rsid w:val="00D9097B"/>
    <w:rsid w:val="00D909FF"/>
    <w:rsid w:val="00D90AE3"/>
    <w:rsid w:val="00D90B43"/>
    <w:rsid w:val="00D90B8E"/>
    <w:rsid w:val="00D90F69"/>
    <w:rsid w:val="00D91143"/>
    <w:rsid w:val="00D91311"/>
    <w:rsid w:val="00D913D3"/>
    <w:rsid w:val="00D915BF"/>
    <w:rsid w:val="00D916CE"/>
    <w:rsid w:val="00D9175C"/>
    <w:rsid w:val="00D917C3"/>
    <w:rsid w:val="00D91861"/>
    <w:rsid w:val="00D91940"/>
    <w:rsid w:val="00D91A6F"/>
    <w:rsid w:val="00D91E19"/>
    <w:rsid w:val="00D91E47"/>
    <w:rsid w:val="00D91F81"/>
    <w:rsid w:val="00D9202D"/>
    <w:rsid w:val="00D92148"/>
    <w:rsid w:val="00D92380"/>
    <w:rsid w:val="00D92519"/>
    <w:rsid w:val="00D9253B"/>
    <w:rsid w:val="00D926D3"/>
    <w:rsid w:val="00D927F2"/>
    <w:rsid w:val="00D9298A"/>
    <w:rsid w:val="00D929AF"/>
    <w:rsid w:val="00D92AE1"/>
    <w:rsid w:val="00D92BF2"/>
    <w:rsid w:val="00D92C07"/>
    <w:rsid w:val="00D92CA6"/>
    <w:rsid w:val="00D9316E"/>
    <w:rsid w:val="00D9328C"/>
    <w:rsid w:val="00D93292"/>
    <w:rsid w:val="00D933E1"/>
    <w:rsid w:val="00D93448"/>
    <w:rsid w:val="00D935EC"/>
    <w:rsid w:val="00D9390D"/>
    <w:rsid w:val="00D93A20"/>
    <w:rsid w:val="00D93D73"/>
    <w:rsid w:val="00D9455B"/>
    <w:rsid w:val="00D945BC"/>
    <w:rsid w:val="00D94890"/>
    <w:rsid w:val="00D94EC0"/>
    <w:rsid w:val="00D94F58"/>
    <w:rsid w:val="00D95AF0"/>
    <w:rsid w:val="00D96185"/>
    <w:rsid w:val="00D961FB"/>
    <w:rsid w:val="00D962E8"/>
    <w:rsid w:val="00D96425"/>
    <w:rsid w:val="00D96453"/>
    <w:rsid w:val="00D966AE"/>
    <w:rsid w:val="00D96AAF"/>
    <w:rsid w:val="00D96D56"/>
    <w:rsid w:val="00D96FAE"/>
    <w:rsid w:val="00D97062"/>
    <w:rsid w:val="00D97312"/>
    <w:rsid w:val="00D973EC"/>
    <w:rsid w:val="00D97514"/>
    <w:rsid w:val="00D9770F"/>
    <w:rsid w:val="00D97734"/>
    <w:rsid w:val="00D97753"/>
    <w:rsid w:val="00D977FB"/>
    <w:rsid w:val="00D979E4"/>
    <w:rsid w:val="00D97A55"/>
    <w:rsid w:val="00D97AC7"/>
    <w:rsid w:val="00D97B26"/>
    <w:rsid w:val="00D97C61"/>
    <w:rsid w:val="00DA03D8"/>
    <w:rsid w:val="00DA05AF"/>
    <w:rsid w:val="00DA0851"/>
    <w:rsid w:val="00DA0881"/>
    <w:rsid w:val="00DA0A95"/>
    <w:rsid w:val="00DA0B03"/>
    <w:rsid w:val="00DA0C26"/>
    <w:rsid w:val="00DA0CF9"/>
    <w:rsid w:val="00DA0D54"/>
    <w:rsid w:val="00DA0DCC"/>
    <w:rsid w:val="00DA0F5D"/>
    <w:rsid w:val="00DA101E"/>
    <w:rsid w:val="00DA12B2"/>
    <w:rsid w:val="00DA12D7"/>
    <w:rsid w:val="00DA1551"/>
    <w:rsid w:val="00DA1566"/>
    <w:rsid w:val="00DA17CC"/>
    <w:rsid w:val="00DA18DB"/>
    <w:rsid w:val="00DA1982"/>
    <w:rsid w:val="00DA1CBE"/>
    <w:rsid w:val="00DA1FE3"/>
    <w:rsid w:val="00DA202D"/>
    <w:rsid w:val="00DA209E"/>
    <w:rsid w:val="00DA2142"/>
    <w:rsid w:val="00DA2250"/>
    <w:rsid w:val="00DA2260"/>
    <w:rsid w:val="00DA2494"/>
    <w:rsid w:val="00DA2B5D"/>
    <w:rsid w:val="00DA2D68"/>
    <w:rsid w:val="00DA2E28"/>
    <w:rsid w:val="00DA2E8D"/>
    <w:rsid w:val="00DA315F"/>
    <w:rsid w:val="00DA319E"/>
    <w:rsid w:val="00DA32FE"/>
    <w:rsid w:val="00DA3300"/>
    <w:rsid w:val="00DA3458"/>
    <w:rsid w:val="00DA3606"/>
    <w:rsid w:val="00DA36A3"/>
    <w:rsid w:val="00DA388D"/>
    <w:rsid w:val="00DA38D5"/>
    <w:rsid w:val="00DA3C76"/>
    <w:rsid w:val="00DA3CBB"/>
    <w:rsid w:val="00DA3CE1"/>
    <w:rsid w:val="00DA3D27"/>
    <w:rsid w:val="00DA3DF9"/>
    <w:rsid w:val="00DA3F69"/>
    <w:rsid w:val="00DA42B9"/>
    <w:rsid w:val="00DA4308"/>
    <w:rsid w:val="00DA44A2"/>
    <w:rsid w:val="00DA44EC"/>
    <w:rsid w:val="00DA45C0"/>
    <w:rsid w:val="00DA495C"/>
    <w:rsid w:val="00DA4975"/>
    <w:rsid w:val="00DA4A5D"/>
    <w:rsid w:val="00DA4D22"/>
    <w:rsid w:val="00DA4D41"/>
    <w:rsid w:val="00DA4E0C"/>
    <w:rsid w:val="00DA5161"/>
    <w:rsid w:val="00DA54E0"/>
    <w:rsid w:val="00DA54FF"/>
    <w:rsid w:val="00DA5788"/>
    <w:rsid w:val="00DA5896"/>
    <w:rsid w:val="00DA58E6"/>
    <w:rsid w:val="00DA5C09"/>
    <w:rsid w:val="00DA5CC4"/>
    <w:rsid w:val="00DA5DE6"/>
    <w:rsid w:val="00DA5EAF"/>
    <w:rsid w:val="00DA5ECF"/>
    <w:rsid w:val="00DA5F37"/>
    <w:rsid w:val="00DA5F7A"/>
    <w:rsid w:val="00DA63D0"/>
    <w:rsid w:val="00DA6428"/>
    <w:rsid w:val="00DA6519"/>
    <w:rsid w:val="00DA65A9"/>
    <w:rsid w:val="00DA65C4"/>
    <w:rsid w:val="00DA689B"/>
    <w:rsid w:val="00DA6ABA"/>
    <w:rsid w:val="00DA6CCC"/>
    <w:rsid w:val="00DA6E47"/>
    <w:rsid w:val="00DA7262"/>
    <w:rsid w:val="00DA72C8"/>
    <w:rsid w:val="00DA7417"/>
    <w:rsid w:val="00DA76E6"/>
    <w:rsid w:val="00DA7776"/>
    <w:rsid w:val="00DA7791"/>
    <w:rsid w:val="00DA78FD"/>
    <w:rsid w:val="00DA7976"/>
    <w:rsid w:val="00DA7C61"/>
    <w:rsid w:val="00DA7DEB"/>
    <w:rsid w:val="00DA7DF5"/>
    <w:rsid w:val="00DB016B"/>
    <w:rsid w:val="00DB0624"/>
    <w:rsid w:val="00DB0842"/>
    <w:rsid w:val="00DB09AE"/>
    <w:rsid w:val="00DB0B2B"/>
    <w:rsid w:val="00DB0C19"/>
    <w:rsid w:val="00DB0F1D"/>
    <w:rsid w:val="00DB1320"/>
    <w:rsid w:val="00DB1330"/>
    <w:rsid w:val="00DB1695"/>
    <w:rsid w:val="00DB1769"/>
    <w:rsid w:val="00DB1788"/>
    <w:rsid w:val="00DB18B4"/>
    <w:rsid w:val="00DB18D7"/>
    <w:rsid w:val="00DB1958"/>
    <w:rsid w:val="00DB1A0B"/>
    <w:rsid w:val="00DB1AD4"/>
    <w:rsid w:val="00DB1C40"/>
    <w:rsid w:val="00DB1DB7"/>
    <w:rsid w:val="00DB20A6"/>
    <w:rsid w:val="00DB237A"/>
    <w:rsid w:val="00DB245D"/>
    <w:rsid w:val="00DB247C"/>
    <w:rsid w:val="00DB254A"/>
    <w:rsid w:val="00DB2767"/>
    <w:rsid w:val="00DB29AB"/>
    <w:rsid w:val="00DB29E0"/>
    <w:rsid w:val="00DB2A30"/>
    <w:rsid w:val="00DB2B99"/>
    <w:rsid w:val="00DB2BE9"/>
    <w:rsid w:val="00DB2C15"/>
    <w:rsid w:val="00DB2E9E"/>
    <w:rsid w:val="00DB310B"/>
    <w:rsid w:val="00DB3127"/>
    <w:rsid w:val="00DB3170"/>
    <w:rsid w:val="00DB337D"/>
    <w:rsid w:val="00DB35C4"/>
    <w:rsid w:val="00DB3626"/>
    <w:rsid w:val="00DB36E8"/>
    <w:rsid w:val="00DB37BD"/>
    <w:rsid w:val="00DB3973"/>
    <w:rsid w:val="00DB398D"/>
    <w:rsid w:val="00DB3C02"/>
    <w:rsid w:val="00DB3C19"/>
    <w:rsid w:val="00DB3E86"/>
    <w:rsid w:val="00DB3F09"/>
    <w:rsid w:val="00DB4028"/>
    <w:rsid w:val="00DB4038"/>
    <w:rsid w:val="00DB4298"/>
    <w:rsid w:val="00DB442D"/>
    <w:rsid w:val="00DB44BA"/>
    <w:rsid w:val="00DB45F5"/>
    <w:rsid w:val="00DB46FF"/>
    <w:rsid w:val="00DB49E7"/>
    <w:rsid w:val="00DB4AD9"/>
    <w:rsid w:val="00DB4B55"/>
    <w:rsid w:val="00DB4D42"/>
    <w:rsid w:val="00DB4E0D"/>
    <w:rsid w:val="00DB522A"/>
    <w:rsid w:val="00DB5482"/>
    <w:rsid w:val="00DB55E2"/>
    <w:rsid w:val="00DB5650"/>
    <w:rsid w:val="00DB5668"/>
    <w:rsid w:val="00DB5AFB"/>
    <w:rsid w:val="00DB5BB2"/>
    <w:rsid w:val="00DB5F7E"/>
    <w:rsid w:val="00DB6272"/>
    <w:rsid w:val="00DB6446"/>
    <w:rsid w:val="00DB669F"/>
    <w:rsid w:val="00DB6716"/>
    <w:rsid w:val="00DB6BAA"/>
    <w:rsid w:val="00DB6C4B"/>
    <w:rsid w:val="00DB6E68"/>
    <w:rsid w:val="00DB6E79"/>
    <w:rsid w:val="00DB70A8"/>
    <w:rsid w:val="00DB7233"/>
    <w:rsid w:val="00DB72B0"/>
    <w:rsid w:val="00DB7922"/>
    <w:rsid w:val="00DB794E"/>
    <w:rsid w:val="00DB7EEC"/>
    <w:rsid w:val="00DB7FAA"/>
    <w:rsid w:val="00DC0137"/>
    <w:rsid w:val="00DC0536"/>
    <w:rsid w:val="00DC07B6"/>
    <w:rsid w:val="00DC0952"/>
    <w:rsid w:val="00DC0CEB"/>
    <w:rsid w:val="00DC0D9A"/>
    <w:rsid w:val="00DC0DF5"/>
    <w:rsid w:val="00DC108E"/>
    <w:rsid w:val="00DC10A8"/>
    <w:rsid w:val="00DC10C4"/>
    <w:rsid w:val="00DC13CB"/>
    <w:rsid w:val="00DC1766"/>
    <w:rsid w:val="00DC1903"/>
    <w:rsid w:val="00DC19C2"/>
    <w:rsid w:val="00DC1DC7"/>
    <w:rsid w:val="00DC1EE1"/>
    <w:rsid w:val="00DC1F2D"/>
    <w:rsid w:val="00DC20B5"/>
    <w:rsid w:val="00DC20E3"/>
    <w:rsid w:val="00DC20FA"/>
    <w:rsid w:val="00DC2442"/>
    <w:rsid w:val="00DC24EA"/>
    <w:rsid w:val="00DC29F0"/>
    <w:rsid w:val="00DC2A03"/>
    <w:rsid w:val="00DC2B71"/>
    <w:rsid w:val="00DC2E98"/>
    <w:rsid w:val="00DC30D1"/>
    <w:rsid w:val="00DC3149"/>
    <w:rsid w:val="00DC3165"/>
    <w:rsid w:val="00DC3195"/>
    <w:rsid w:val="00DC3319"/>
    <w:rsid w:val="00DC34B5"/>
    <w:rsid w:val="00DC3693"/>
    <w:rsid w:val="00DC36B5"/>
    <w:rsid w:val="00DC396B"/>
    <w:rsid w:val="00DC3AEF"/>
    <w:rsid w:val="00DC3D10"/>
    <w:rsid w:val="00DC3D99"/>
    <w:rsid w:val="00DC3E17"/>
    <w:rsid w:val="00DC3EBF"/>
    <w:rsid w:val="00DC4051"/>
    <w:rsid w:val="00DC4330"/>
    <w:rsid w:val="00DC46A6"/>
    <w:rsid w:val="00DC4766"/>
    <w:rsid w:val="00DC490A"/>
    <w:rsid w:val="00DC4ABF"/>
    <w:rsid w:val="00DC4BBF"/>
    <w:rsid w:val="00DC4CD8"/>
    <w:rsid w:val="00DC4D92"/>
    <w:rsid w:val="00DC4F2C"/>
    <w:rsid w:val="00DC5060"/>
    <w:rsid w:val="00DC517A"/>
    <w:rsid w:val="00DC5436"/>
    <w:rsid w:val="00DC5524"/>
    <w:rsid w:val="00DC58DB"/>
    <w:rsid w:val="00DC5978"/>
    <w:rsid w:val="00DC5BCE"/>
    <w:rsid w:val="00DC5BF3"/>
    <w:rsid w:val="00DC600E"/>
    <w:rsid w:val="00DC6091"/>
    <w:rsid w:val="00DC60CA"/>
    <w:rsid w:val="00DC6223"/>
    <w:rsid w:val="00DC63FE"/>
    <w:rsid w:val="00DC6457"/>
    <w:rsid w:val="00DC6540"/>
    <w:rsid w:val="00DC65AC"/>
    <w:rsid w:val="00DC6D48"/>
    <w:rsid w:val="00DC6D52"/>
    <w:rsid w:val="00DC6E1D"/>
    <w:rsid w:val="00DC6ECF"/>
    <w:rsid w:val="00DC7008"/>
    <w:rsid w:val="00DC7080"/>
    <w:rsid w:val="00DC70B5"/>
    <w:rsid w:val="00DC722A"/>
    <w:rsid w:val="00DC726E"/>
    <w:rsid w:val="00DC7369"/>
    <w:rsid w:val="00DC74D2"/>
    <w:rsid w:val="00DC7563"/>
    <w:rsid w:val="00DC7683"/>
    <w:rsid w:val="00DC772C"/>
    <w:rsid w:val="00DC7B3A"/>
    <w:rsid w:val="00DC7CAC"/>
    <w:rsid w:val="00DC7D9B"/>
    <w:rsid w:val="00DC7F28"/>
    <w:rsid w:val="00DC7F66"/>
    <w:rsid w:val="00DC7F88"/>
    <w:rsid w:val="00DC7F8D"/>
    <w:rsid w:val="00DD0177"/>
    <w:rsid w:val="00DD0330"/>
    <w:rsid w:val="00DD0346"/>
    <w:rsid w:val="00DD0482"/>
    <w:rsid w:val="00DD0505"/>
    <w:rsid w:val="00DD056D"/>
    <w:rsid w:val="00DD05DC"/>
    <w:rsid w:val="00DD08AA"/>
    <w:rsid w:val="00DD090E"/>
    <w:rsid w:val="00DD0A63"/>
    <w:rsid w:val="00DD0C95"/>
    <w:rsid w:val="00DD0DB9"/>
    <w:rsid w:val="00DD0DF6"/>
    <w:rsid w:val="00DD0F2D"/>
    <w:rsid w:val="00DD14BE"/>
    <w:rsid w:val="00DD16BB"/>
    <w:rsid w:val="00DD18DB"/>
    <w:rsid w:val="00DD1A77"/>
    <w:rsid w:val="00DD1E3F"/>
    <w:rsid w:val="00DD1FDA"/>
    <w:rsid w:val="00DD204A"/>
    <w:rsid w:val="00DD2061"/>
    <w:rsid w:val="00DD227A"/>
    <w:rsid w:val="00DD23D3"/>
    <w:rsid w:val="00DD2864"/>
    <w:rsid w:val="00DD28CA"/>
    <w:rsid w:val="00DD2AE7"/>
    <w:rsid w:val="00DD2AF3"/>
    <w:rsid w:val="00DD2CE1"/>
    <w:rsid w:val="00DD2F45"/>
    <w:rsid w:val="00DD2FBD"/>
    <w:rsid w:val="00DD31A7"/>
    <w:rsid w:val="00DD3234"/>
    <w:rsid w:val="00DD32A2"/>
    <w:rsid w:val="00DD32E4"/>
    <w:rsid w:val="00DD3320"/>
    <w:rsid w:val="00DD332F"/>
    <w:rsid w:val="00DD354C"/>
    <w:rsid w:val="00DD374F"/>
    <w:rsid w:val="00DD3858"/>
    <w:rsid w:val="00DD3996"/>
    <w:rsid w:val="00DD3AA1"/>
    <w:rsid w:val="00DD3B62"/>
    <w:rsid w:val="00DD3BA3"/>
    <w:rsid w:val="00DD3CBE"/>
    <w:rsid w:val="00DD3CCA"/>
    <w:rsid w:val="00DD3E4D"/>
    <w:rsid w:val="00DD3E97"/>
    <w:rsid w:val="00DD4283"/>
    <w:rsid w:val="00DD4355"/>
    <w:rsid w:val="00DD47CE"/>
    <w:rsid w:val="00DD4DE9"/>
    <w:rsid w:val="00DD4F24"/>
    <w:rsid w:val="00DD56D7"/>
    <w:rsid w:val="00DD57B2"/>
    <w:rsid w:val="00DD58B8"/>
    <w:rsid w:val="00DD5A81"/>
    <w:rsid w:val="00DD5AB3"/>
    <w:rsid w:val="00DD5BB7"/>
    <w:rsid w:val="00DD600A"/>
    <w:rsid w:val="00DD6188"/>
    <w:rsid w:val="00DD657C"/>
    <w:rsid w:val="00DD6672"/>
    <w:rsid w:val="00DD6678"/>
    <w:rsid w:val="00DD6906"/>
    <w:rsid w:val="00DD6A18"/>
    <w:rsid w:val="00DD6A3C"/>
    <w:rsid w:val="00DD6BF6"/>
    <w:rsid w:val="00DD6D5E"/>
    <w:rsid w:val="00DD6E36"/>
    <w:rsid w:val="00DD6E49"/>
    <w:rsid w:val="00DD6E61"/>
    <w:rsid w:val="00DD6E88"/>
    <w:rsid w:val="00DD6F29"/>
    <w:rsid w:val="00DD6F5E"/>
    <w:rsid w:val="00DD6F7F"/>
    <w:rsid w:val="00DD715D"/>
    <w:rsid w:val="00DD725D"/>
    <w:rsid w:val="00DD7368"/>
    <w:rsid w:val="00DD75EA"/>
    <w:rsid w:val="00DD775F"/>
    <w:rsid w:val="00DD7800"/>
    <w:rsid w:val="00DD7995"/>
    <w:rsid w:val="00DD7B3C"/>
    <w:rsid w:val="00DD7BA6"/>
    <w:rsid w:val="00DD7E1C"/>
    <w:rsid w:val="00DD7E21"/>
    <w:rsid w:val="00DE0138"/>
    <w:rsid w:val="00DE0277"/>
    <w:rsid w:val="00DE0337"/>
    <w:rsid w:val="00DE03C5"/>
    <w:rsid w:val="00DE0407"/>
    <w:rsid w:val="00DE05CE"/>
    <w:rsid w:val="00DE078C"/>
    <w:rsid w:val="00DE0873"/>
    <w:rsid w:val="00DE0939"/>
    <w:rsid w:val="00DE0C6E"/>
    <w:rsid w:val="00DE0D49"/>
    <w:rsid w:val="00DE0DCE"/>
    <w:rsid w:val="00DE0E25"/>
    <w:rsid w:val="00DE0E4A"/>
    <w:rsid w:val="00DE1382"/>
    <w:rsid w:val="00DE1414"/>
    <w:rsid w:val="00DE165C"/>
    <w:rsid w:val="00DE1AC1"/>
    <w:rsid w:val="00DE1B63"/>
    <w:rsid w:val="00DE1BB4"/>
    <w:rsid w:val="00DE1CA6"/>
    <w:rsid w:val="00DE1DCE"/>
    <w:rsid w:val="00DE20D6"/>
    <w:rsid w:val="00DE243C"/>
    <w:rsid w:val="00DE262D"/>
    <w:rsid w:val="00DE263A"/>
    <w:rsid w:val="00DE278B"/>
    <w:rsid w:val="00DE27E6"/>
    <w:rsid w:val="00DE28F5"/>
    <w:rsid w:val="00DE2C5E"/>
    <w:rsid w:val="00DE2E2B"/>
    <w:rsid w:val="00DE2EC2"/>
    <w:rsid w:val="00DE30BC"/>
    <w:rsid w:val="00DE31AD"/>
    <w:rsid w:val="00DE31FD"/>
    <w:rsid w:val="00DE341B"/>
    <w:rsid w:val="00DE341E"/>
    <w:rsid w:val="00DE3707"/>
    <w:rsid w:val="00DE3834"/>
    <w:rsid w:val="00DE38F9"/>
    <w:rsid w:val="00DE3982"/>
    <w:rsid w:val="00DE3AE5"/>
    <w:rsid w:val="00DE3B81"/>
    <w:rsid w:val="00DE3D87"/>
    <w:rsid w:val="00DE3F5E"/>
    <w:rsid w:val="00DE40FB"/>
    <w:rsid w:val="00DE427F"/>
    <w:rsid w:val="00DE45AB"/>
    <w:rsid w:val="00DE46D6"/>
    <w:rsid w:val="00DE4B31"/>
    <w:rsid w:val="00DE4BC8"/>
    <w:rsid w:val="00DE4CEC"/>
    <w:rsid w:val="00DE4D42"/>
    <w:rsid w:val="00DE4DA7"/>
    <w:rsid w:val="00DE4DD7"/>
    <w:rsid w:val="00DE4F8D"/>
    <w:rsid w:val="00DE515D"/>
    <w:rsid w:val="00DE51E5"/>
    <w:rsid w:val="00DE5252"/>
    <w:rsid w:val="00DE5280"/>
    <w:rsid w:val="00DE52E9"/>
    <w:rsid w:val="00DE541C"/>
    <w:rsid w:val="00DE547D"/>
    <w:rsid w:val="00DE5499"/>
    <w:rsid w:val="00DE55CF"/>
    <w:rsid w:val="00DE569E"/>
    <w:rsid w:val="00DE5B41"/>
    <w:rsid w:val="00DE5B85"/>
    <w:rsid w:val="00DE5BF9"/>
    <w:rsid w:val="00DE5BFA"/>
    <w:rsid w:val="00DE5D08"/>
    <w:rsid w:val="00DE5F13"/>
    <w:rsid w:val="00DE626B"/>
    <w:rsid w:val="00DE62BF"/>
    <w:rsid w:val="00DE62CB"/>
    <w:rsid w:val="00DE63A6"/>
    <w:rsid w:val="00DE657A"/>
    <w:rsid w:val="00DE6612"/>
    <w:rsid w:val="00DE6C32"/>
    <w:rsid w:val="00DE6C9F"/>
    <w:rsid w:val="00DE6D8F"/>
    <w:rsid w:val="00DE6D90"/>
    <w:rsid w:val="00DE6E4B"/>
    <w:rsid w:val="00DE7107"/>
    <w:rsid w:val="00DE73B1"/>
    <w:rsid w:val="00DE75A3"/>
    <w:rsid w:val="00DE75CB"/>
    <w:rsid w:val="00DE7812"/>
    <w:rsid w:val="00DE79CB"/>
    <w:rsid w:val="00DE7AE0"/>
    <w:rsid w:val="00DE7B8D"/>
    <w:rsid w:val="00DE7C3B"/>
    <w:rsid w:val="00DE7E22"/>
    <w:rsid w:val="00DE7F5E"/>
    <w:rsid w:val="00DF005D"/>
    <w:rsid w:val="00DF01C0"/>
    <w:rsid w:val="00DF0278"/>
    <w:rsid w:val="00DF03DF"/>
    <w:rsid w:val="00DF04CF"/>
    <w:rsid w:val="00DF05E7"/>
    <w:rsid w:val="00DF06BB"/>
    <w:rsid w:val="00DF0848"/>
    <w:rsid w:val="00DF08A2"/>
    <w:rsid w:val="00DF08E0"/>
    <w:rsid w:val="00DF08FF"/>
    <w:rsid w:val="00DF0973"/>
    <w:rsid w:val="00DF099F"/>
    <w:rsid w:val="00DF0B20"/>
    <w:rsid w:val="00DF0B21"/>
    <w:rsid w:val="00DF0E43"/>
    <w:rsid w:val="00DF0F43"/>
    <w:rsid w:val="00DF1005"/>
    <w:rsid w:val="00DF101E"/>
    <w:rsid w:val="00DF121A"/>
    <w:rsid w:val="00DF1264"/>
    <w:rsid w:val="00DF1296"/>
    <w:rsid w:val="00DF1470"/>
    <w:rsid w:val="00DF173A"/>
    <w:rsid w:val="00DF18C3"/>
    <w:rsid w:val="00DF1A4D"/>
    <w:rsid w:val="00DF1A70"/>
    <w:rsid w:val="00DF1C79"/>
    <w:rsid w:val="00DF1CF6"/>
    <w:rsid w:val="00DF1DC9"/>
    <w:rsid w:val="00DF1F37"/>
    <w:rsid w:val="00DF204E"/>
    <w:rsid w:val="00DF20DC"/>
    <w:rsid w:val="00DF2215"/>
    <w:rsid w:val="00DF238A"/>
    <w:rsid w:val="00DF2518"/>
    <w:rsid w:val="00DF2801"/>
    <w:rsid w:val="00DF280A"/>
    <w:rsid w:val="00DF2936"/>
    <w:rsid w:val="00DF295B"/>
    <w:rsid w:val="00DF2AFE"/>
    <w:rsid w:val="00DF2F66"/>
    <w:rsid w:val="00DF2F75"/>
    <w:rsid w:val="00DF302F"/>
    <w:rsid w:val="00DF3100"/>
    <w:rsid w:val="00DF3447"/>
    <w:rsid w:val="00DF3460"/>
    <w:rsid w:val="00DF3510"/>
    <w:rsid w:val="00DF35A0"/>
    <w:rsid w:val="00DF369D"/>
    <w:rsid w:val="00DF379A"/>
    <w:rsid w:val="00DF3AF0"/>
    <w:rsid w:val="00DF3CA9"/>
    <w:rsid w:val="00DF3E2B"/>
    <w:rsid w:val="00DF3F21"/>
    <w:rsid w:val="00DF3FCD"/>
    <w:rsid w:val="00DF4194"/>
    <w:rsid w:val="00DF42D7"/>
    <w:rsid w:val="00DF4361"/>
    <w:rsid w:val="00DF4431"/>
    <w:rsid w:val="00DF44A4"/>
    <w:rsid w:val="00DF46C6"/>
    <w:rsid w:val="00DF48B0"/>
    <w:rsid w:val="00DF4C23"/>
    <w:rsid w:val="00DF4C38"/>
    <w:rsid w:val="00DF4C49"/>
    <w:rsid w:val="00DF4C63"/>
    <w:rsid w:val="00DF4C7D"/>
    <w:rsid w:val="00DF4DCA"/>
    <w:rsid w:val="00DF523C"/>
    <w:rsid w:val="00DF53A4"/>
    <w:rsid w:val="00DF545F"/>
    <w:rsid w:val="00DF5570"/>
    <w:rsid w:val="00DF55E1"/>
    <w:rsid w:val="00DF563F"/>
    <w:rsid w:val="00DF5755"/>
    <w:rsid w:val="00DF58E7"/>
    <w:rsid w:val="00DF59BE"/>
    <w:rsid w:val="00DF5A04"/>
    <w:rsid w:val="00DF5A13"/>
    <w:rsid w:val="00DF5A45"/>
    <w:rsid w:val="00DF5C4D"/>
    <w:rsid w:val="00DF5CF7"/>
    <w:rsid w:val="00DF5DE8"/>
    <w:rsid w:val="00DF61F2"/>
    <w:rsid w:val="00DF623E"/>
    <w:rsid w:val="00DF6624"/>
    <w:rsid w:val="00DF66AA"/>
    <w:rsid w:val="00DF682C"/>
    <w:rsid w:val="00DF6910"/>
    <w:rsid w:val="00DF695A"/>
    <w:rsid w:val="00DF6C2D"/>
    <w:rsid w:val="00DF6D70"/>
    <w:rsid w:val="00DF6D9F"/>
    <w:rsid w:val="00DF6E9A"/>
    <w:rsid w:val="00DF6F6A"/>
    <w:rsid w:val="00DF71F2"/>
    <w:rsid w:val="00DF7449"/>
    <w:rsid w:val="00DF789D"/>
    <w:rsid w:val="00DF7A50"/>
    <w:rsid w:val="00DF7B01"/>
    <w:rsid w:val="00DF7B6C"/>
    <w:rsid w:val="00DF7B85"/>
    <w:rsid w:val="00DF7C83"/>
    <w:rsid w:val="00DF7EB8"/>
    <w:rsid w:val="00DF7F3D"/>
    <w:rsid w:val="00E00071"/>
    <w:rsid w:val="00E00184"/>
    <w:rsid w:val="00E00392"/>
    <w:rsid w:val="00E003AB"/>
    <w:rsid w:val="00E00642"/>
    <w:rsid w:val="00E006FC"/>
    <w:rsid w:val="00E0094A"/>
    <w:rsid w:val="00E00D12"/>
    <w:rsid w:val="00E00DE5"/>
    <w:rsid w:val="00E012E3"/>
    <w:rsid w:val="00E0131B"/>
    <w:rsid w:val="00E01401"/>
    <w:rsid w:val="00E01452"/>
    <w:rsid w:val="00E01645"/>
    <w:rsid w:val="00E01673"/>
    <w:rsid w:val="00E01833"/>
    <w:rsid w:val="00E0184B"/>
    <w:rsid w:val="00E019EA"/>
    <w:rsid w:val="00E01A5A"/>
    <w:rsid w:val="00E01AD9"/>
    <w:rsid w:val="00E01D9C"/>
    <w:rsid w:val="00E01E03"/>
    <w:rsid w:val="00E02144"/>
    <w:rsid w:val="00E0221F"/>
    <w:rsid w:val="00E022BC"/>
    <w:rsid w:val="00E022FB"/>
    <w:rsid w:val="00E023E6"/>
    <w:rsid w:val="00E024A7"/>
    <w:rsid w:val="00E026F8"/>
    <w:rsid w:val="00E0287B"/>
    <w:rsid w:val="00E02AA8"/>
    <w:rsid w:val="00E02B56"/>
    <w:rsid w:val="00E03003"/>
    <w:rsid w:val="00E03056"/>
    <w:rsid w:val="00E030E3"/>
    <w:rsid w:val="00E0317F"/>
    <w:rsid w:val="00E031EA"/>
    <w:rsid w:val="00E032B1"/>
    <w:rsid w:val="00E033B8"/>
    <w:rsid w:val="00E03478"/>
    <w:rsid w:val="00E035DF"/>
    <w:rsid w:val="00E035FC"/>
    <w:rsid w:val="00E0373F"/>
    <w:rsid w:val="00E0392F"/>
    <w:rsid w:val="00E03984"/>
    <w:rsid w:val="00E03BDD"/>
    <w:rsid w:val="00E04009"/>
    <w:rsid w:val="00E04373"/>
    <w:rsid w:val="00E0442E"/>
    <w:rsid w:val="00E04502"/>
    <w:rsid w:val="00E045C5"/>
    <w:rsid w:val="00E0485F"/>
    <w:rsid w:val="00E048BF"/>
    <w:rsid w:val="00E04958"/>
    <w:rsid w:val="00E04BB2"/>
    <w:rsid w:val="00E04CA0"/>
    <w:rsid w:val="00E05080"/>
    <w:rsid w:val="00E05096"/>
    <w:rsid w:val="00E05147"/>
    <w:rsid w:val="00E05441"/>
    <w:rsid w:val="00E05705"/>
    <w:rsid w:val="00E0593A"/>
    <w:rsid w:val="00E05A33"/>
    <w:rsid w:val="00E05BAF"/>
    <w:rsid w:val="00E05BC4"/>
    <w:rsid w:val="00E05FFA"/>
    <w:rsid w:val="00E061B6"/>
    <w:rsid w:val="00E062C7"/>
    <w:rsid w:val="00E06479"/>
    <w:rsid w:val="00E064FC"/>
    <w:rsid w:val="00E065DF"/>
    <w:rsid w:val="00E06781"/>
    <w:rsid w:val="00E06873"/>
    <w:rsid w:val="00E06AE8"/>
    <w:rsid w:val="00E06E7A"/>
    <w:rsid w:val="00E07109"/>
    <w:rsid w:val="00E0746A"/>
    <w:rsid w:val="00E0767E"/>
    <w:rsid w:val="00E07884"/>
    <w:rsid w:val="00E10007"/>
    <w:rsid w:val="00E1000F"/>
    <w:rsid w:val="00E1008D"/>
    <w:rsid w:val="00E1044E"/>
    <w:rsid w:val="00E104D2"/>
    <w:rsid w:val="00E105AB"/>
    <w:rsid w:val="00E106A0"/>
    <w:rsid w:val="00E108B5"/>
    <w:rsid w:val="00E10C1A"/>
    <w:rsid w:val="00E10CF4"/>
    <w:rsid w:val="00E10D77"/>
    <w:rsid w:val="00E10E37"/>
    <w:rsid w:val="00E10E6C"/>
    <w:rsid w:val="00E11251"/>
    <w:rsid w:val="00E11328"/>
    <w:rsid w:val="00E11598"/>
    <w:rsid w:val="00E117AA"/>
    <w:rsid w:val="00E11A06"/>
    <w:rsid w:val="00E11AED"/>
    <w:rsid w:val="00E11B41"/>
    <w:rsid w:val="00E11D18"/>
    <w:rsid w:val="00E1205D"/>
    <w:rsid w:val="00E12163"/>
    <w:rsid w:val="00E122D2"/>
    <w:rsid w:val="00E122FD"/>
    <w:rsid w:val="00E12665"/>
    <w:rsid w:val="00E12755"/>
    <w:rsid w:val="00E129F3"/>
    <w:rsid w:val="00E12AEC"/>
    <w:rsid w:val="00E12B0C"/>
    <w:rsid w:val="00E12CD8"/>
    <w:rsid w:val="00E12D26"/>
    <w:rsid w:val="00E12F04"/>
    <w:rsid w:val="00E12F62"/>
    <w:rsid w:val="00E131D7"/>
    <w:rsid w:val="00E1337E"/>
    <w:rsid w:val="00E1338F"/>
    <w:rsid w:val="00E13426"/>
    <w:rsid w:val="00E134B2"/>
    <w:rsid w:val="00E13589"/>
    <w:rsid w:val="00E1369D"/>
    <w:rsid w:val="00E136B4"/>
    <w:rsid w:val="00E1379C"/>
    <w:rsid w:val="00E137DF"/>
    <w:rsid w:val="00E13A0C"/>
    <w:rsid w:val="00E13A68"/>
    <w:rsid w:val="00E13D61"/>
    <w:rsid w:val="00E141C9"/>
    <w:rsid w:val="00E14354"/>
    <w:rsid w:val="00E1465A"/>
    <w:rsid w:val="00E1467F"/>
    <w:rsid w:val="00E147B3"/>
    <w:rsid w:val="00E147B8"/>
    <w:rsid w:val="00E14826"/>
    <w:rsid w:val="00E148FC"/>
    <w:rsid w:val="00E14A2C"/>
    <w:rsid w:val="00E14BE0"/>
    <w:rsid w:val="00E14D75"/>
    <w:rsid w:val="00E14E2A"/>
    <w:rsid w:val="00E14E59"/>
    <w:rsid w:val="00E14E79"/>
    <w:rsid w:val="00E15158"/>
    <w:rsid w:val="00E151F7"/>
    <w:rsid w:val="00E1530E"/>
    <w:rsid w:val="00E1571D"/>
    <w:rsid w:val="00E15785"/>
    <w:rsid w:val="00E15A62"/>
    <w:rsid w:val="00E15DD1"/>
    <w:rsid w:val="00E15DE8"/>
    <w:rsid w:val="00E15E8D"/>
    <w:rsid w:val="00E1615F"/>
    <w:rsid w:val="00E1640B"/>
    <w:rsid w:val="00E1643E"/>
    <w:rsid w:val="00E16736"/>
    <w:rsid w:val="00E16782"/>
    <w:rsid w:val="00E167D4"/>
    <w:rsid w:val="00E1686D"/>
    <w:rsid w:val="00E168AC"/>
    <w:rsid w:val="00E16E5E"/>
    <w:rsid w:val="00E1701A"/>
    <w:rsid w:val="00E17020"/>
    <w:rsid w:val="00E17101"/>
    <w:rsid w:val="00E172D6"/>
    <w:rsid w:val="00E17351"/>
    <w:rsid w:val="00E174A5"/>
    <w:rsid w:val="00E174E9"/>
    <w:rsid w:val="00E1788D"/>
    <w:rsid w:val="00E17971"/>
    <w:rsid w:val="00E1797D"/>
    <w:rsid w:val="00E17A0D"/>
    <w:rsid w:val="00E17B62"/>
    <w:rsid w:val="00E17C3A"/>
    <w:rsid w:val="00E17D2C"/>
    <w:rsid w:val="00E17D40"/>
    <w:rsid w:val="00E17EC4"/>
    <w:rsid w:val="00E17F62"/>
    <w:rsid w:val="00E17F8B"/>
    <w:rsid w:val="00E202DA"/>
    <w:rsid w:val="00E2032B"/>
    <w:rsid w:val="00E20345"/>
    <w:rsid w:val="00E2035F"/>
    <w:rsid w:val="00E20578"/>
    <w:rsid w:val="00E2065A"/>
    <w:rsid w:val="00E207CD"/>
    <w:rsid w:val="00E20873"/>
    <w:rsid w:val="00E20D12"/>
    <w:rsid w:val="00E21036"/>
    <w:rsid w:val="00E212B8"/>
    <w:rsid w:val="00E21303"/>
    <w:rsid w:val="00E214FE"/>
    <w:rsid w:val="00E21564"/>
    <w:rsid w:val="00E21592"/>
    <w:rsid w:val="00E215B5"/>
    <w:rsid w:val="00E21895"/>
    <w:rsid w:val="00E21B0F"/>
    <w:rsid w:val="00E21BAA"/>
    <w:rsid w:val="00E21CD3"/>
    <w:rsid w:val="00E21DAA"/>
    <w:rsid w:val="00E21F08"/>
    <w:rsid w:val="00E2217D"/>
    <w:rsid w:val="00E2226E"/>
    <w:rsid w:val="00E223E9"/>
    <w:rsid w:val="00E22462"/>
    <w:rsid w:val="00E2260B"/>
    <w:rsid w:val="00E22C54"/>
    <w:rsid w:val="00E22DA8"/>
    <w:rsid w:val="00E22DF0"/>
    <w:rsid w:val="00E22EBF"/>
    <w:rsid w:val="00E23266"/>
    <w:rsid w:val="00E233DF"/>
    <w:rsid w:val="00E233FD"/>
    <w:rsid w:val="00E2354D"/>
    <w:rsid w:val="00E2375B"/>
    <w:rsid w:val="00E23A21"/>
    <w:rsid w:val="00E23B94"/>
    <w:rsid w:val="00E23BA9"/>
    <w:rsid w:val="00E23C04"/>
    <w:rsid w:val="00E23FD4"/>
    <w:rsid w:val="00E23FF1"/>
    <w:rsid w:val="00E2434B"/>
    <w:rsid w:val="00E24369"/>
    <w:rsid w:val="00E2450D"/>
    <w:rsid w:val="00E2483C"/>
    <w:rsid w:val="00E24862"/>
    <w:rsid w:val="00E248D6"/>
    <w:rsid w:val="00E24A7C"/>
    <w:rsid w:val="00E24FB6"/>
    <w:rsid w:val="00E2515B"/>
    <w:rsid w:val="00E2520F"/>
    <w:rsid w:val="00E25460"/>
    <w:rsid w:val="00E2554C"/>
    <w:rsid w:val="00E25647"/>
    <w:rsid w:val="00E256E8"/>
    <w:rsid w:val="00E25803"/>
    <w:rsid w:val="00E25834"/>
    <w:rsid w:val="00E25934"/>
    <w:rsid w:val="00E259A7"/>
    <w:rsid w:val="00E25A77"/>
    <w:rsid w:val="00E25D07"/>
    <w:rsid w:val="00E25DFD"/>
    <w:rsid w:val="00E25E90"/>
    <w:rsid w:val="00E25F00"/>
    <w:rsid w:val="00E2603B"/>
    <w:rsid w:val="00E26324"/>
    <w:rsid w:val="00E2639B"/>
    <w:rsid w:val="00E263B2"/>
    <w:rsid w:val="00E26427"/>
    <w:rsid w:val="00E26739"/>
    <w:rsid w:val="00E2677B"/>
    <w:rsid w:val="00E26840"/>
    <w:rsid w:val="00E26881"/>
    <w:rsid w:val="00E269C2"/>
    <w:rsid w:val="00E269F5"/>
    <w:rsid w:val="00E26A36"/>
    <w:rsid w:val="00E26A7A"/>
    <w:rsid w:val="00E26CDB"/>
    <w:rsid w:val="00E27108"/>
    <w:rsid w:val="00E27201"/>
    <w:rsid w:val="00E27220"/>
    <w:rsid w:val="00E2737E"/>
    <w:rsid w:val="00E274DB"/>
    <w:rsid w:val="00E2754A"/>
    <w:rsid w:val="00E277CD"/>
    <w:rsid w:val="00E279FF"/>
    <w:rsid w:val="00E27A7E"/>
    <w:rsid w:val="00E27D4D"/>
    <w:rsid w:val="00E27EE7"/>
    <w:rsid w:val="00E27F79"/>
    <w:rsid w:val="00E30122"/>
    <w:rsid w:val="00E3045D"/>
    <w:rsid w:val="00E3053C"/>
    <w:rsid w:val="00E30587"/>
    <w:rsid w:val="00E30667"/>
    <w:rsid w:val="00E30704"/>
    <w:rsid w:val="00E3073B"/>
    <w:rsid w:val="00E30798"/>
    <w:rsid w:val="00E3081C"/>
    <w:rsid w:val="00E30848"/>
    <w:rsid w:val="00E308A6"/>
    <w:rsid w:val="00E309D4"/>
    <w:rsid w:val="00E30E42"/>
    <w:rsid w:val="00E31021"/>
    <w:rsid w:val="00E314B3"/>
    <w:rsid w:val="00E314FE"/>
    <w:rsid w:val="00E31501"/>
    <w:rsid w:val="00E3159D"/>
    <w:rsid w:val="00E3163C"/>
    <w:rsid w:val="00E316A9"/>
    <w:rsid w:val="00E316F0"/>
    <w:rsid w:val="00E31754"/>
    <w:rsid w:val="00E31D6E"/>
    <w:rsid w:val="00E32099"/>
    <w:rsid w:val="00E320F3"/>
    <w:rsid w:val="00E32331"/>
    <w:rsid w:val="00E324C6"/>
    <w:rsid w:val="00E3295A"/>
    <w:rsid w:val="00E32A15"/>
    <w:rsid w:val="00E32B8D"/>
    <w:rsid w:val="00E32BB3"/>
    <w:rsid w:val="00E32C4D"/>
    <w:rsid w:val="00E32D00"/>
    <w:rsid w:val="00E32E9D"/>
    <w:rsid w:val="00E32F23"/>
    <w:rsid w:val="00E3317A"/>
    <w:rsid w:val="00E3335B"/>
    <w:rsid w:val="00E33423"/>
    <w:rsid w:val="00E33449"/>
    <w:rsid w:val="00E33621"/>
    <w:rsid w:val="00E3367F"/>
    <w:rsid w:val="00E337A2"/>
    <w:rsid w:val="00E337B3"/>
    <w:rsid w:val="00E337CB"/>
    <w:rsid w:val="00E3397A"/>
    <w:rsid w:val="00E33AB8"/>
    <w:rsid w:val="00E33F05"/>
    <w:rsid w:val="00E34081"/>
    <w:rsid w:val="00E34305"/>
    <w:rsid w:val="00E344A7"/>
    <w:rsid w:val="00E345D7"/>
    <w:rsid w:val="00E345FA"/>
    <w:rsid w:val="00E346A8"/>
    <w:rsid w:val="00E34816"/>
    <w:rsid w:val="00E34A5B"/>
    <w:rsid w:val="00E34C6B"/>
    <w:rsid w:val="00E34CE1"/>
    <w:rsid w:val="00E34D7C"/>
    <w:rsid w:val="00E34EE2"/>
    <w:rsid w:val="00E35013"/>
    <w:rsid w:val="00E350C0"/>
    <w:rsid w:val="00E35102"/>
    <w:rsid w:val="00E3519E"/>
    <w:rsid w:val="00E355E4"/>
    <w:rsid w:val="00E359DB"/>
    <w:rsid w:val="00E35A77"/>
    <w:rsid w:val="00E35B8A"/>
    <w:rsid w:val="00E35BB7"/>
    <w:rsid w:val="00E35EEA"/>
    <w:rsid w:val="00E35EEF"/>
    <w:rsid w:val="00E35F07"/>
    <w:rsid w:val="00E35F19"/>
    <w:rsid w:val="00E3602E"/>
    <w:rsid w:val="00E360C3"/>
    <w:rsid w:val="00E361DB"/>
    <w:rsid w:val="00E36216"/>
    <w:rsid w:val="00E3674F"/>
    <w:rsid w:val="00E369A0"/>
    <w:rsid w:val="00E36AF5"/>
    <w:rsid w:val="00E36BF9"/>
    <w:rsid w:val="00E36C95"/>
    <w:rsid w:val="00E36E03"/>
    <w:rsid w:val="00E36E0F"/>
    <w:rsid w:val="00E36F1F"/>
    <w:rsid w:val="00E370FF"/>
    <w:rsid w:val="00E37220"/>
    <w:rsid w:val="00E3734C"/>
    <w:rsid w:val="00E373AD"/>
    <w:rsid w:val="00E37502"/>
    <w:rsid w:val="00E37536"/>
    <w:rsid w:val="00E3771B"/>
    <w:rsid w:val="00E3779E"/>
    <w:rsid w:val="00E37A2A"/>
    <w:rsid w:val="00E37A79"/>
    <w:rsid w:val="00E37B03"/>
    <w:rsid w:val="00E37BD2"/>
    <w:rsid w:val="00E3D358"/>
    <w:rsid w:val="00E4001C"/>
    <w:rsid w:val="00E40066"/>
    <w:rsid w:val="00E401F4"/>
    <w:rsid w:val="00E402B4"/>
    <w:rsid w:val="00E4076B"/>
    <w:rsid w:val="00E40845"/>
    <w:rsid w:val="00E40A63"/>
    <w:rsid w:val="00E40ADD"/>
    <w:rsid w:val="00E40BD0"/>
    <w:rsid w:val="00E40DE3"/>
    <w:rsid w:val="00E40E9F"/>
    <w:rsid w:val="00E410B4"/>
    <w:rsid w:val="00E411CA"/>
    <w:rsid w:val="00E412BF"/>
    <w:rsid w:val="00E412F6"/>
    <w:rsid w:val="00E412FB"/>
    <w:rsid w:val="00E41410"/>
    <w:rsid w:val="00E41569"/>
    <w:rsid w:val="00E41717"/>
    <w:rsid w:val="00E41746"/>
    <w:rsid w:val="00E41B42"/>
    <w:rsid w:val="00E41E94"/>
    <w:rsid w:val="00E41FFB"/>
    <w:rsid w:val="00E4201C"/>
    <w:rsid w:val="00E4203E"/>
    <w:rsid w:val="00E422C5"/>
    <w:rsid w:val="00E42649"/>
    <w:rsid w:val="00E426B2"/>
    <w:rsid w:val="00E42B9E"/>
    <w:rsid w:val="00E42C79"/>
    <w:rsid w:val="00E42DF6"/>
    <w:rsid w:val="00E42FF8"/>
    <w:rsid w:val="00E432D4"/>
    <w:rsid w:val="00E4346E"/>
    <w:rsid w:val="00E437B1"/>
    <w:rsid w:val="00E437CF"/>
    <w:rsid w:val="00E43B03"/>
    <w:rsid w:val="00E43B94"/>
    <w:rsid w:val="00E43C2C"/>
    <w:rsid w:val="00E43D51"/>
    <w:rsid w:val="00E43DE7"/>
    <w:rsid w:val="00E43E9C"/>
    <w:rsid w:val="00E43F2E"/>
    <w:rsid w:val="00E44248"/>
    <w:rsid w:val="00E442D6"/>
    <w:rsid w:val="00E4453E"/>
    <w:rsid w:val="00E44687"/>
    <w:rsid w:val="00E4470F"/>
    <w:rsid w:val="00E44720"/>
    <w:rsid w:val="00E44832"/>
    <w:rsid w:val="00E44853"/>
    <w:rsid w:val="00E448F2"/>
    <w:rsid w:val="00E449E9"/>
    <w:rsid w:val="00E44D9D"/>
    <w:rsid w:val="00E450B3"/>
    <w:rsid w:val="00E45243"/>
    <w:rsid w:val="00E45335"/>
    <w:rsid w:val="00E453C1"/>
    <w:rsid w:val="00E4572F"/>
    <w:rsid w:val="00E45910"/>
    <w:rsid w:val="00E45921"/>
    <w:rsid w:val="00E45933"/>
    <w:rsid w:val="00E45A31"/>
    <w:rsid w:val="00E45A9C"/>
    <w:rsid w:val="00E45B43"/>
    <w:rsid w:val="00E45B84"/>
    <w:rsid w:val="00E45C11"/>
    <w:rsid w:val="00E45E1B"/>
    <w:rsid w:val="00E460E7"/>
    <w:rsid w:val="00E462CC"/>
    <w:rsid w:val="00E463CC"/>
    <w:rsid w:val="00E463CD"/>
    <w:rsid w:val="00E465AB"/>
    <w:rsid w:val="00E46670"/>
    <w:rsid w:val="00E466F0"/>
    <w:rsid w:val="00E46800"/>
    <w:rsid w:val="00E468CC"/>
    <w:rsid w:val="00E468F0"/>
    <w:rsid w:val="00E4692E"/>
    <w:rsid w:val="00E469F2"/>
    <w:rsid w:val="00E46B3F"/>
    <w:rsid w:val="00E46BD0"/>
    <w:rsid w:val="00E46D03"/>
    <w:rsid w:val="00E46E89"/>
    <w:rsid w:val="00E46EFC"/>
    <w:rsid w:val="00E472C0"/>
    <w:rsid w:val="00E474C5"/>
    <w:rsid w:val="00E476C5"/>
    <w:rsid w:val="00E479D9"/>
    <w:rsid w:val="00E47A6B"/>
    <w:rsid w:val="00E47B27"/>
    <w:rsid w:val="00E47D42"/>
    <w:rsid w:val="00E47EB7"/>
    <w:rsid w:val="00E47F94"/>
    <w:rsid w:val="00E47FE4"/>
    <w:rsid w:val="00E50031"/>
    <w:rsid w:val="00E50168"/>
    <w:rsid w:val="00E50248"/>
    <w:rsid w:val="00E50524"/>
    <w:rsid w:val="00E505B1"/>
    <w:rsid w:val="00E505B8"/>
    <w:rsid w:val="00E50693"/>
    <w:rsid w:val="00E5070C"/>
    <w:rsid w:val="00E507D0"/>
    <w:rsid w:val="00E5092D"/>
    <w:rsid w:val="00E5092E"/>
    <w:rsid w:val="00E50B53"/>
    <w:rsid w:val="00E50DAC"/>
    <w:rsid w:val="00E51051"/>
    <w:rsid w:val="00E51182"/>
    <w:rsid w:val="00E511BB"/>
    <w:rsid w:val="00E51281"/>
    <w:rsid w:val="00E512CC"/>
    <w:rsid w:val="00E51325"/>
    <w:rsid w:val="00E51358"/>
    <w:rsid w:val="00E5181C"/>
    <w:rsid w:val="00E51D85"/>
    <w:rsid w:val="00E51DB1"/>
    <w:rsid w:val="00E520B0"/>
    <w:rsid w:val="00E5212F"/>
    <w:rsid w:val="00E5218B"/>
    <w:rsid w:val="00E52337"/>
    <w:rsid w:val="00E52448"/>
    <w:rsid w:val="00E5251E"/>
    <w:rsid w:val="00E52617"/>
    <w:rsid w:val="00E5269D"/>
    <w:rsid w:val="00E5275C"/>
    <w:rsid w:val="00E52774"/>
    <w:rsid w:val="00E52853"/>
    <w:rsid w:val="00E528DF"/>
    <w:rsid w:val="00E528E4"/>
    <w:rsid w:val="00E52A01"/>
    <w:rsid w:val="00E52AA4"/>
    <w:rsid w:val="00E52B2D"/>
    <w:rsid w:val="00E52BD4"/>
    <w:rsid w:val="00E52CA5"/>
    <w:rsid w:val="00E52CDB"/>
    <w:rsid w:val="00E52E68"/>
    <w:rsid w:val="00E531AC"/>
    <w:rsid w:val="00E53372"/>
    <w:rsid w:val="00E53398"/>
    <w:rsid w:val="00E53542"/>
    <w:rsid w:val="00E53545"/>
    <w:rsid w:val="00E53550"/>
    <w:rsid w:val="00E53731"/>
    <w:rsid w:val="00E53841"/>
    <w:rsid w:val="00E538B2"/>
    <w:rsid w:val="00E5394C"/>
    <w:rsid w:val="00E53A5C"/>
    <w:rsid w:val="00E53AEF"/>
    <w:rsid w:val="00E53B72"/>
    <w:rsid w:val="00E53EB4"/>
    <w:rsid w:val="00E54188"/>
    <w:rsid w:val="00E544F0"/>
    <w:rsid w:val="00E54522"/>
    <w:rsid w:val="00E5466D"/>
    <w:rsid w:val="00E5469E"/>
    <w:rsid w:val="00E549C7"/>
    <w:rsid w:val="00E54A33"/>
    <w:rsid w:val="00E54A78"/>
    <w:rsid w:val="00E54C12"/>
    <w:rsid w:val="00E54C51"/>
    <w:rsid w:val="00E54DB1"/>
    <w:rsid w:val="00E5504A"/>
    <w:rsid w:val="00E550F5"/>
    <w:rsid w:val="00E5512E"/>
    <w:rsid w:val="00E5530E"/>
    <w:rsid w:val="00E55451"/>
    <w:rsid w:val="00E554E4"/>
    <w:rsid w:val="00E5552B"/>
    <w:rsid w:val="00E55A23"/>
    <w:rsid w:val="00E55C85"/>
    <w:rsid w:val="00E55CCA"/>
    <w:rsid w:val="00E55E76"/>
    <w:rsid w:val="00E55FC3"/>
    <w:rsid w:val="00E56170"/>
    <w:rsid w:val="00E563F5"/>
    <w:rsid w:val="00E56442"/>
    <w:rsid w:val="00E56622"/>
    <w:rsid w:val="00E56660"/>
    <w:rsid w:val="00E566BB"/>
    <w:rsid w:val="00E56763"/>
    <w:rsid w:val="00E567E4"/>
    <w:rsid w:val="00E56845"/>
    <w:rsid w:val="00E56DD2"/>
    <w:rsid w:val="00E56F43"/>
    <w:rsid w:val="00E56F7A"/>
    <w:rsid w:val="00E5717D"/>
    <w:rsid w:val="00E573A7"/>
    <w:rsid w:val="00E573EB"/>
    <w:rsid w:val="00E575C6"/>
    <w:rsid w:val="00E5787B"/>
    <w:rsid w:val="00E5787C"/>
    <w:rsid w:val="00E57889"/>
    <w:rsid w:val="00E5791E"/>
    <w:rsid w:val="00E57A05"/>
    <w:rsid w:val="00E57B87"/>
    <w:rsid w:val="00E57BAE"/>
    <w:rsid w:val="00E57BB6"/>
    <w:rsid w:val="00E57CE0"/>
    <w:rsid w:val="00E57E6C"/>
    <w:rsid w:val="00E57F9A"/>
    <w:rsid w:val="00E57F9C"/>
    <w:rsid w:val="00E57FAB"/>
    <w:rsid w:val="00E6000A"/>
    <w:rsid w:val="00E601E6"/>
    <w:rsid w:val="00E6020C"/>
    <w:rsid w:val="00E603D9"/>
    <w:rsid w:val="00E605C6"/>
    <w:rsid w:val="00E606D3"/>
    <w:rsid w:val="00E607E4"/>
    <w:rsid w:val="00E60BED"/>
    <w:rsid w:val="00E60C7F"/>
    <w:rsid w:val="00E60C82"/>
    <w:rsid w:val="00E60E0F"/>
    <w:rsid w:val="00E60E25"/>
    <w:rsid w:val="00E611DD"/>
    <w:rsid w:val="00E61833"/>
    <w:rsid w:val="00E619EA"/>
    <w:rsid w:val="00E61D38"/>
    <w:rsid w:val="00E61DAE"/>
    <w:rsid w:val="00E62011"/>
    <w:rsid w:val="00E62080"/>
    <w:rsid w:val="00E621F1"/>
    <w:rsid w:val="00E62222"/>
    <w:rsid w:val="00E6222A"/>
    <w:rsid w:val="00E62275"/>
    <w:rsid w:val="00E6249C"/>
    <w:rsid w:val="00E625B8"/>
    <w:rsid w:val="00E62724"/>
    <w:rsid w:val="00E6274F"/>
    <w:rsid w:val="00E629A5"/>
    <w:rsid w:val="00E62A23"/>
    <w:rsid w:val="00E62B36"/>
    <w:rsid w:val="00E62BCD"/>
    <w:rsid w:val="00E62C40"/>
    <w:rsid w:val="00E62CDF"/>
    <w:rsid w:val="00E62CEC"/>
    <w:rsid w:val="00E62D9F"/>
    <w:rsid w:val="00E63207"/>
    <w:rsid w:val="00E63215"/>
    <w:rsid w:val="00E6328C"/>
    <w:rsid w:val="00E6345F"/>
    <w:rsid w:val="00E63755"/>
    <w:rsid w:val="00E638DC"/>
    <w:rsid w:val="00E63904"/>
    <w:rsid w:val="00E63A4F"/>
    <w:rsid w:val="00E63AD5"/>
    <w:rsid w:val="00E63C78"/>
    <w:rsid w:val="00E63DAA"/>
    <w:rsid w:val="00E63E14"/>
    <w:rsid w:val="00E63F16"/>
    <w:rsid w:val="00E63FB6"/>
    <w:rsid w:val="00E643A4"/>
    <w:rsid w:val="00E64400"/>
    <w:rsid w:val="00E64469"/>
    <w:rsid w:val="00E646C7"/>
    <w:rsid w:val="00E647B1"/>
    <w:rsid w:val="00E648F1"/>
    <w:rsid w:val="00E64F83"/>
    <w:rsid w:val="00E6501F"/>
    <w:rsid w:val="00E651D2"/>
    <w:rsid w:val="00E65226"/>
    <w:rsid w:val="00E653C8"/>
    <w:rsid w:val="00E65427"/>
    <w:rsid w:val="00E65B25"/>
    <w:rsid w:val="00E65B90"/>
    <w:rsid w:val="00E65BC8"/>
    <w:rsid w:val="00E65C40"/>
    <w:rsid w:val="00E65DD5"/>
    <w:rsid w:val="00E65EA0"/>
    <w:rsid w:val="00E65FD6"/>
    <w:rsid w:val="00E6623E"/>
    <w:rsid w:val="00E66257"/>
    <w:rsid w:val="00E66356"/>
    <w:rsid w:val="00E66556"/>
    <w:rsid w:val="00E66564"/>
    <w:rsid w:val="00E66648"/>
    <w:rsid w:val="00E66688"/>
    <w:rsid w:val="00E66C15"/>
    <w:rsid w:val="00E66D2F"/>
    <w:rsid w:val="00E66D34"/>
    <w:rsid w:val="00E66D7B"/>
    <w:rsid w:val="00E66E81"/>
    <w:rsid w:val="00E66FA3"/>
    <w:rsid w:val="00E6727C"/>
    <w:rsid w:val="00E674A7"/>
    <w:rsid w:val="00E675AB"/>
    <w:rsid w:val="00E67728"/>
    <w:rsid w:val="00E67764"/>
    <w:rsid w:val="00E67804"/>
    <w:rsid w:val="00E67A51"/>
    <w:rsid w:val="00E67A59"/>
    <w:rsid w:val="00E67A6D"/>
    <w:rsid w:val="00E67D2C"/>
    <w:rsid w:val="00E67DFB"/>
    <w:rsid w:val="00E702B1"/>
    <w:rsid w:val="00E7044D"/>
    <w:rsid w:val="00E70690"/>
    <w:rsid w:val="00E7081E"/>
    <w:rsid w:val="00E70878"/>
    <w:rsid w:val="00E708AD"/>
    <w:rsid w:val="00E7096B"/>
    <w:rsid w:val="00E709F8"/>
    <w:rsid w:val="00E70A6F"/>
    <w:rsid w:val="00E70C57"/>
    <w:rsid w:val="00E70D1F"/>
    <w:rsid w:val="00E70E11"/>
    <w:rsid w:val="00E710B2"/>
    <w:rsid w:val="00E710FE"/>
    <w:rsid w:val="00E711E8"/>
    <w:rsid w:val="00E712EA"/>
    <w:rsid w:val="00E713CA"/>
    <w:rsid w:val="00E715E5"/>
    <w:rsid w:val="00E71898"/>
    <w:rsid w:val="00E71913"/>
    <w:rsid w:val="00E71BC8"/>
    <w:rsid w:val="00E71C16"/>
    <w:rsid w:val="00E71DFC"/>
    <w:rsid w:val="00E71E96"/>
    <w:rsid w:val="00E71EA8"/>
    <w:rsid w:val="00E7210A"/>
    <w:rsid w:val="00E724F1"/>
    <w:rsid w:val="00E72656"/>
    <w:rsid w:val="00E7269A"/>
    <w:rsid w:val="00E7280A"/>
    <w:rsid w:val="00E72AF1"/>
    <w:rsid w:val="00E72D7A"/>
    <w:rsid w:val="00E72DF5"/>
    <w:rsid w:val="00E72E87"/>
    <w:rsid w:val="00E730CA"/>
    <w:rsid w:val="00E731D1"/>
    <w:rsid w:val="00E7361E"/>
    <w:rsid w:val="00E73623"/>
    <w:rsid w:val="00E738FA"/>
    <w:rsid w:val="00E7399B"/>
    <w:rsid w:val="00E73BB1"/>
    <w:rsid w:val="00E73BD8"/>
    <w:rsid w:val="00E73CDE"/>
    <w:rsid w:val="00E73CE2"/>
    <w:rsid w:val="00E73D5C"/>
    <w:rsid w:val="00E742DF"/>
    <w:rsid w:val="00E74302"/>
    <w:rsid w:val="00E743A5"/>
    <w:rsid w:val="00E7452B"/>
    <w:rsid w:val="00E745D4"/>
    <w:rsid w:val="00E747FC"/>
    <w:rsid w:val="00E74E55"/>
    <w:rsid w:val="00E74F25"/>
    <w:rsid w:val="00E74FD0"/>
    <w:rsid w:val="00E75108"/>
    <w:rsid w:val="00E7540E"/>
    <w:rsid w:val="00E754A0"/>
    <w:rsid w:val="00E754B7"/>
    <w:rsid w:val="00E754F4"/>
    <w:rsid w:val="00E7551D"/>
    <w:rsid w:val="00E75760"/>
    <w:rsid w:val="00E757DF"/>
    <w:rsid w:val="00E7586A"/>
    <w:rsid w:val="00E759AC"/>
    <w:rsid w:val="00E759E5"/>
    <w:rsid w:val="00E75A50"/>
    <w:rsid w:val="00E75F2F"/>
    <w:rsid w:val="00E7618D"/>
    <w:rsid w:val="00E761EA"/>
    <w:rsid w:val="00E761EB"/>
    <w:rsid w:val="00E763FD"/>
    <w:rsid w:val="00E76674"/>
    <w:rsid w:val="00E766F8"/>
    <w:rsid w:val="00E7670D"/>
    <w:rsid w:val="00E76803"/>
    <w:rsid w:val="00E7689D"/>
    <w:rsid w:val="00E76902"/>
    <w:rsid w:val="00E76BB1"/>
    <w:rsid w:val="00E76C7C"/>
    <w:rsid w:val="00E76EBF"/>
    <w:rsid w:val="00E77440"/>
    <w:rsid w:val="00E7768C"/>
    <w:rsid w:val="00E77766"/>
    <w:rsid w:val="00E77793"/>
    <w:rsid w:val="00E777E2"/>
    <w:rsid w:val="00E77B54"/>
    <w:rsid w:val="00E77C00"/>
    <w:rsid w:val="00E77CEB"/>
    <w:rsid w:val="00E77DEA"/>
    <w:rsid w:val="00E80053"/>
    <w:rsid w:val="00E80104"/>
    <w:rsid w:val="00E80131"/>
    <w:rsid w:val="00E801B7"/>
    <w:rsid w:val="00E801E5"/>
    <w:rsid w:val="00E8029B"/>
    <w:rsid w:val="00E80673"/>
    <w:rsid w:val="00E807D3"/>
    <w:rsid w:val="00E80958"/>
    <w:rsid w:val="00E809AC"/>
    <w:rsid w:val="00E80A91"/>
    <w:rsid w:val="00E80CC4"/>
    <w:rsid w:val="00E80D7A"/>
    <w:rsid w:val="00E80E26"/>
    <w:rsid w:val="00E81121"/>
    <w:rsid w:val="00E81271"/>
    <w:rsid w:val="00E812F8"/>
    <w:rsid w:val="00E813A0"/>
    <w:rsid w:val="00E814DE"/>
    <w:rsid w:val="00E81513"/>
    <w:rsid w:val="00E816A9"/>
    <w:rsid w:val="00E81757"/>
    <w:rsid w:val="00E81AA4"/>
    <w:rsid w:val="00E81D7B"/>
    <w:rsid w:val="00E81ED1"/>
    <w:rsid w:val="00E81EF8"/>
    <w:rsid w:val="00E81FCB"/>
    <w:rsid w:val="00E82200"/>
    <w:rsid w:val="00E8227B"/>
    <w:rsid w:val="00E823C2"/>
    <w:rsid w:val="00E82796"/>
    <w:rsid w:val="00E827AF"/>
    <w:rsid w:val="00E827F3"/>
    <w:rsid w:val="00E82814"/>
    <w:rsid w:val="00E82A24"/>
    <w:rsid w:val="00E82B92"/>
    <w:rsid w:val="00E82C41"/>
    <w:rsid w:val="00E82CBD"/>
    <w:rsid w:val="00E82D11"/>
    <w:rsid w:val="00E82D19"/>
    <w:rsid w:val="00E82D80"/>
    <w:rsid w:val="00E82E25"/>
    <w:rsid w:val="00E82EB1"/>
    <w:rsid w:val="00E82F30"/>
    <w:rsid w:val="00E8304B"/>
    <w:rsid w:val="00E8316E"/>
    <w:rsid w:val="00E8331D"/>
    <w:rsid w:val="00E833C3"/>
    <w:rsid w:val="00E834EA"/>
    <w:rsid w:val="00E83597"/>
    <w:rsid w:val="00E835B6"/>
    <w:rsid w:val="00E8373E"/>
    <w:rsid w:val="00E83A3C"/>
    <w:rsid w:val="00E83B86"/>
    <w:rsid w:val="00E84000"/>
    <w:rsid w:val="00E84038"/>
    <w:rsid w:val="00E840E6"/>
    <w:rsid w:val="00E8446C"/>
    <w:rsid w:val="00E844C7"/>
    <w:rsid w:val="00E844C8"/>
    <w:rsid w:val="00E8455A"/>
    <w:rsid w:val="00E84719"/>
    <w:rsid w:val="00E849A4"/>
    <w:rsid w:val="00E84DAE"/>
    <w:rsid w:val="00E85207"/>
    <w:rsid w:val="00E8526B"/>
    <w:rsid w:val="00E853FE"/>
    <w:rsid w:val="00E85415"/>
    <w:rsid w:val="00E85573"/>
    <w:rsid w:val="00E85623"/>
    <w:rsid w:val="00E856FC"/>
    <w:rsid w:val="00E85859"/>
    <w:rsid w:val="00E858FF"/>
    <w:rsid w:val="00E859FA"/>
    <w:rsid w:val="00E85C25"/>
    <w:rsid w:val="00E85C4C"/>
    <w:rsid w:val="00E85D8D"/>
    <w:rsid w:val="00E85E9F"/>
    <w:rsid w:val="00E85EA6"/>
    <w:rsid w:val="00E85F61"/>
    <w:rsid w:val="00E860D5"/>
    <w:rsid w:val="00E86131"/>
    <w:rsid w:val="00E862D9"/>
    <w:rsid w:val="00E86447"/>
    <w:rsid w:val="00E86450"/>
    <w:rsid w:val="00E8662F"/>
    <w:rsid w:val="00E8690A"/>
    <w:rsid w:val="00E869B0"/>
    <w:rsid w:val="00E86A2E"/>
    <w:rsid w:val="00E86A3F"/>
    <w:rsid w:val="00E86E0F"/>
    <w:rsid w:val="00E86ECD"/>
    <w:rsid w:val="00E86FFA"/>
    <w:rsid w:val="00E871F8"/>
    <w:rsid w:val="00E8732C"/>
    <w:rsid w:val="00E874BF"/>
    <w:rsid w:val="00E875C4"/>
    <w:rsid w:val="00E87891"/>
    <w:rsid w:val="00E87B3C"/>
    <w:rsid w:val="00E87C24"/>
    <w:rsid w:val="00E87CCA"/>
    <w:rsid w:val="00E87D61"/>
    <w:rsid w:val="00E87D87"/>
    <w:rsid w:val="00E90268"/>
    <w:rsid w:val="00E90406"/>
    <w:rsid w:val="00E90465"/>
    <w:rsid w:val="00E905F1"/>
    <w:rsid w:val="00E9067D"/>
    <w:rsid w:val="00E90951"/>
    <w:rsid w:val="00E90A13"/>
    <w:rsid w:val="00E90AA3"/>
    <w:rsid w:val="00E9100D"/>
    <w:rsid w:val="00E91025"/>
    <w:rsid w:val="00E91031"/>
    <w:rsid w:val="00E911BB"/>
    <w:rsid w:val="00E91229"/>
    <w:rsid w:val="00E913EC"/>
    <w:rsid w:val="00E91688"/>
    <w:rsid w:val="00E916A3"/>
    <w:rsid w:val="00E91759"/>
    <w:rsid w:val="00E91770"/>
    <w:rsid w:val="00E91B2B"/>
    <w:rsid w:val="00E91D62"/>
    <w:rsid w:val="00E91E29"/>
    <w:rsid w:val="00E91FE1"/>
    <w:rsid w:val="00E92013"/>
    <w:rsid w:val="00E920E6"/>
    <w:rsid w:val="00E922A4"/>
    <w:rsid w:val="00E9243D"/>
    <w:rsid w:val="00E9245F"/>
    <w:rsid w:val="00E92464"/>
    <w:rsid w:val="00E92488"/>
    <w:rsid w:val="00E9248F"/>
    <w:rsid w:val="00E925E1"/>
    <w:rsid w:val="00E9264E"/>
    <w:rsid w:val="00E927B6"/>
    <w:rsid w:val="00E92900"/>
    <w:rsid w:val="00E9299C"/>
    <w:rsid w:val="00E92CCE"/>
    <w:rsid w:val="00E92D28"/>
    <w:rsid w:val="00E92F36"/>
    <w:rsid w:val="00E93195"/>
    <w:rsid w:val="00E93258"/>
    <w:rsid w:val="00E93271"/>
    <w:rsid w:val="00E9337E"/>
    <w:rsid w:val="00E93437"/>
    <w:rsid w:val="00E93533"/>
    <w:rsid w:val="00E935BD"/>
    <w:rsid w:val="00E936AA"/>
    <w:rsid w:val="00E937A5"/>
    <w:rsid w:val="00E93B07"/>
    <w:rsid w:val="00E93C5D"/>
    <w:rsid w:val="00E93C92"/>
    <w:rsid w:val="00E93CB0"/>
    <w:rsid w:val="00E93DD8"/>
    <w:rsid w:val="00E93F64"/>
    <w:rsid w:val="00E9400A"/>
    <w:rsid w:val="00E940A8"/>
    <w:rsid w:val="00E94217"/>
    <w:rsid w:val="00E9453E"/>
    <w:rsid w:val="00E9476B"/>
    <w:rsid w:val="00E94889"/>
    <w:rsid w:val="00E94905"/>
    <w:rsid w:val="00E94C11"/>
    <w:rsid w:val="00E94D25"/>
    <w:rsid w:val="00E94E28"/>
    <w:rsid w:val="00E95081"/>
    <w:rsid w:val="00E951A0"/>
    <w:rsid w:val="00E951D1"/>
    <w:rsid w:val="00E9523B"/>
    <w:rsid w:val="00E953E4"/>
    <w:rsid w:val="00E95622"/>
    <w:rsid w:val="00E95668"/>
    <w:rsid w:val="00E9572F"/>
    <w:rsid w:val="00E95BED"/>
    <w:rsid w:val="00E95D02"/>
    <w:rsid w:val="00E95EB9"/>
    <w:rsid w:val="00E96082"/>
    <w:rsid w:val="00E961E1"/>
    <w:rsid w:val="00E96322"/>
    <w:rsid w:val="00E96406"/>
    <w:rsid w:val="00E96742"/>
    <w:rsid w:val="00E9677E"/>
    <w:rsid w:val="00E969F5"/>
    <w:rsid w:val="00E96AFC"/>
    <w:rsid w:val="00E96B27"/>
    <w:rsid w:val="00E97083"/>
    <w:rsid w:val="00E97137"/>
    <w:rsid w:val="00E97352"/>
    <w:rsid w:val="00E973EA"/>
    <w:rsid w:val="00E9742D"/>
    <w:rsid w:val="00E974B5"/>
    <w:rsid w:val="00E97561"/>
    <w:rsid w:val="00E976C8"/>
    <w:rsid w:val="00E97720"/>
    <w:rsid w:val="00E977DB"/>
    <w:rsid w:val="00E9799A"/>
    <w:rsid w:val="00E979A0"/>
    <w:rsid w:val="00E97A23"/>
    <w:rsid w:val="00E97A9B"/>
    <w:rsid w:val="00E97D94"/>
    <w:rsid w:val="00E97E03"/>
    <w:rsid w:val="00E97E3D"/>
    <w:rsid w:val="00E97E46"/>
    <w:rsid w:val="00E97E59"/>
    <w:rsid w:val="00EA00CD"/>
    <w:rsid w:val="00EA0259"/>
    <w:rsid w:val="00EA074D"/>
    <w:rsid w:val="00EA0855"/>
    <w:rsid w:val="00EA0A23"/>
    <w:rsid w:val="00EA0B43"/>
    <w:rsid w:val="00EA0C60"/>
    <w:rsid w:val="00EA0F60"/>
    <w:rsid w:val="00EA1120"/>
    <w:rsid w:val="00EA11AB"/>
    <w:rsid w:val="00EA137C"/>
    <w:rsid w:val="00EA1694"/>
    <w:rsid w:val="00EA1933"/>
    <w:rsid w:val="00EA1A5E"/>
    <w:rsid w:val="00EA1A67"/>
    <w:rsid w:val="00EA1BB9"/>
    <w:rsid w:val="00EA1EC0"/>
    <w:rsid w:val="00EA1F07"/>
    <w:rsid w:val="00EA1F9C"/>
    <w:rsid w:val="00EA1FF7"/>
    <w:rsid w:val="00EA2004"/>
    <w:rsid w:val="00EA209C"/>
    <w:rsid w:val="00EA25C2"/>
    <w:rsid w:val="00EA287E"/>
    <w:rsid w:val="00EA28C5"/>
    <w:rsid w:val="00EA29FD"/>
    <w:rsid w:val="00EA2B17"/>
    <w:rsid w:val="00EA2BCD"/>
    <w:rsid w:val="00EA2E9F"/>
    <w:rsid w:val="00EA2FC4"/>
    <w:rsid w:val="00EA30BB"/>
    <w:rsid w:val="00EA31C5"/>
    <w:rsid w:val="00EA32B0"/>
    <w:rsid w:val="00EA35BA"/>
    <w:rsid w:val="00EA370B"/>
    <w:rsid w:val="00EA3769"/>
    <w:rsid w:val="00EA3871"/>
    <w:rsid w:val="00EA3A26"/>
    <w:rsid w:val="00EA3CA2"/>
    <w:rsid w:val="00EA3CEE"/>
    <w:rsid w:val="00EA4124"/>
    <w:rsid w:val="00EA4237"/>
    <w:rsid w:val="00EA427D"/>
    <w:rsid w:val="00EA4284"/>
    <w:rsid w:val="00EA43E9"/>
    <w:rsid w:val="00EA440D"/>
    <w:rsid w:val="00EA4493"/>
    <w:rsid w:val="00EA482C"/>
    <w:rsid w:val="00EA4893"/>
    <w:rsid w:val="00EA49DB"/>
    <w:rsid w:val="00EA4ACA"/>
    <w:rsid w:val="00EA4AF4"/>
    <w:rsid w:val="00EA4B04"/>
    <w:rsid w:val="00EA4D2E"/>
    <w:rsid w:val="00EA523F"/>
    <w:rsid w:val="00EA53DB"/>
    <w:rsid w:val="00EA542C"/>
    <w:rsid w:val="00EA5485"/>
    <w:rsid w:val="00EA56F0"/>
    <w:rsid w:val="00EA572E"/>
    <w:rsid w:val="00EA5A15"/>
    <w:rsid w:val="00EA5A7D"/>
    <w:rsid w:val="00EA5AEE"/>
    <w:rsid w:val="00EA5AF9"/>
    <w:rsid w:val="00EA5BB8"/>
    <w:rsid w:val="00EA6023"/>
    <w:rsid w:val="00EA627B"/>
    <w:rsid w:val="00EA64B9"/>
    <w:rsid w:val="00EA6552"/>
    <w:rsid w:val="00EA66C9"/>
    <w:rsid w:val="00EA66E7"/>
    <w:rsid w:val="00EA6735"/>
    <w:rsid w:val="00EA67D0"/>
    <w:rsid w:val="00EA6AD6"/>
    <w:rsid w:val="00EA6CC5"/>
    <w:rsid w:val="00EA6D39"/>
    <w:rsid w:val="00EA6DC9"/>
    <w:rsid w:val="00EA709F"/>
    <w:rsid w:val="00EA70CA"/>
    <w:rsid w:val="00EA71C8"/>
    <w:rsid w:val="00EA72B6"/>
    <w:rsid w:val="00EA76BB"/>
    <w:rsid w:val="00EA76FB"/>
    <w:rsid w:val="00EA7768"/>
    <w:rsid w:val="00EA79B1"/>
    <w:rsid w:val="00EA7B70"/>
    <w:rsid w:val="00EA7BBA"/>
    <w:rsid w:val="00EA7D50"/>
    <w:rsid w:val="00EA7E4C"/>
    <w:rsid w:val="00EB003D"/>
    <w:rsid w:val="00EB01B7"/>
    <w:rsid w:val="00EB0218"/>
    <w:rsid w:val="00EB02A1"/>
    <w:rsid w:val="00EB0361"/>
    <w:rsid w:val="00EB05E0"/>
    <w:rsid w:val="00EB09B1"/>
    <w:rsid w:val="00EB0AB6"/>
    <w:rsid w:val="00EB0B3E"/>
    <w:rsid w:val="00EB0D50"/>
    <w:rsid w:val="00EB0DC1"/>
    <w:rsid w:val="00EB0DD1"/>
    <w:rsid w:val="00EB0DEE"/>
    <w:rsid w:val="00EB0F1D"/>
    <w:rsid w:val="00EB0F41"/>
    <w:rsid w:val="00EB0F9A"/>
    <w:rsid w:val="00EB1096"/>
    <w:rsid w:val="00EB1099"/>
    <w:rsid w:val="00EB1109"/>
    <w:rsid w:val="00EB12E7"/>
    <w:rsid w:val="00EB13E2"/>
    <w:rsid w:val="00EB140B"/>
    <w:rsid w:val="00EB152A"/>
    <w:rsid w:val="00EB152F"/>
    <w:rsid w:val="00EB1542"/>
    <w:rsid w:val="00EB15D3"/>
    <w:rsid w:val="00EB1AB8"/>
    <w:rsid w:val="00EB1B88"/>
    <w:rsid w:val="00EB1D84"/>
    <w:rsid w:val="00EB2029"/>
    <w:rsid w:val="00EB209D"/>
    <w:rsid w:val="00EB21FA"/>
    <w:rsid w:val="00EB2204"/>
    <w:rsid w:val="00EB22E1"/>
    <w:rsid w:val="00EB26B3"/>
    <w:rsid w:val="00EB2D1E"/>
    <w:rsid w:val="00EB2DF9"/>
    <w:rsid w:val="00EB2F90"/>
    <w:rsid w:val="00EB2FA9"/>
    <w:rsid w:val="00EB2FB8"/>
    <w:rsid w:val="00EB2FDB"/>
    <w:rsid w:val="00EB30C7"/>
    <w:rsid w:val="00EB3177"/>
    <w:rsid w:val="00EB340B"/>
    <w:rsid w:val="00EB3413"/>
    <w:rsid w:val="00EB364B"/>
    <w:rsid w:val="00EB390A"/>
    <w:rsid w:val="00EB3981"/>
    <w:rsid w:val="00EB3A75"/>
    <w:rsid w:val="00EB3B5C"/>
    <w:rsid w:val="00EB3D9E"/>
    <w:rsid w:val="00EB3DAD"/>
    <w:rsid w:val="00EB3E13"/>
    <w:rsid w:val="00EB3FCF"/>
    <w:rsid w:val="00EB4110"/>
    <w:rsid w:val="00EB4269"/>
    <w:rsid w:val="00EB437D"/>
    <w:rsid w:val="00EB4769"/>
    <w:rsid w:val="00EB48D5"/>
    <w:rsid w:val="00EB495E"/>
    <w:rsid w:val="00EB4A6A"/>
    <w:rsid w:val="00EB4BA0"/>
    <w:rsid w:val="00EB4C1E"/>
    <w:rsid w:val="00EB4C52"/>
    <w:rsid w:val="00EB4CC4"/>
    <w:rsid w:val="00EB4D04"/>
    <w:rsid w:val="00EB4D66"/>
    <w:rsid w:val="00EB4D9D"/>
    <w:rsid w:val="00EB4F8A"/>
    <w:rsid w:val="00EB4FEC"/>
    <w:rsid w:val="00EB5407"/>
    <w:rsid w:val="00EB5411"/>
    <w:rsid w:val="00EB54A4"/>
    <w:rsid w:val="00EB5604"/>
    <w:rsid w:val="00EB5737"/>
    <w:rsid w:val="00EB5746"/>
    <w:rsid w:val="00EB58EA"/>
    <w:rsid w:val="00EB59AA"/>
    <w:rsid w:val="00EB5C6D"/>
    <w:rsid w:val="00EB5D2A"/>
    <w:rsid w:val="00EB5DD9"/>
    <w:rsid w:val="00EB6017"/>
    <w:rsid w:val="00EB62C7"/>
    <w:rsid w:val="00EB642B"/>
    <w:rsid w:val="00EB64CA"/>
    <w:rsid w:val="00EB6649"/>
    <w:rsid w:val="00EB670D"/>
    <w:rsid w:val="00EB6B5E"/>
    <w:rsid w:val="00EB6C1B"/>
    <w:rsid w:val="00EB6E35"/>
    <w:rsid w:val="00EB6E68"/>
    <w:rsid w:val="00EB72BC"/>
    <w:rsid w:val="00EB7381"/>
    <w:rsid w:val="00EB7486"/>
    <w:rsid w:val="00EB754F"/>
    <w:rsid w:val="00EB756C"/>
    <w:rsid w:val="00EB75C8"/>
    <w:rsid w:val="00EB765B"/>
    <w:rsid w:val="00EB76AC"/>
    <w:rsid w:val="00EB78C4"/>
    <w:rsid w:val="00EB79C3"/>
    <w:rsid w:val="00EB7BB8"/>
    <w:rsid w:val="00EB7BBA"/>
    <w:rsid w:val="00EC039F"/>
    <w:rsid w:val="00EC0438"/>
    <w:rsid w:val="00EC04BF"/>
    <w:rsid w:val="00EC0628"/>
    <w:rsid w:val="00EC07BE"/>
    <w:rsid w:val="00EC080A"/>
    <w:rsid w:val="00EC0888"/>
    <w:rsid w:val="00EC096C"/>
    <w:rsid w:val="00EC0C9B"/>
    <w:rsid w:val="00EC0DE4"/>
    <w:rsid w:val="00EC1017"/>
    <w:rsid w:val="00EC1123"/>
    <w:rsid w:val="00EC11DC"/>
    <w:rsid w:val="00EC13D5"/>
    <w:rsid w:val="00EC15D7"/>
    <w:rsid w:val="00EC1675"/>
    <w:rsid w:val="00EC1705"/>
    <w:rsid w:val="00EC17D5"/>
    <w:rsid w:val="00EC193D"/>
    <w:rsid w:val="00EC1B50"/>
    <w:rsid w:val="00EC1DB3"/>
    <w:rsid w:val="00EC200C"/>
    <w:rsid w:val="00EC2082"/>
    <w:rsid w:val="00EC208D"/>
    <w:rsid w:val="00EC24F7"/>
    <w:rsid w:val="00EC2821"/>
    <w:rsid w:val="00EC2833"/>
    <w:rsid w:val="00EC2C70"/>
    <w:rsid w:val="00EC2D88"/>
    <w:rsid w:val="00EC2E25"/>
    <w:rsid w:val="00EC2E7D"/>
    <w:rsid w:val="00EC2F1D"/>
    <w:rsid w:val="00EC2FC3"/>
    <w:rsid w:val="00EC3032"/>
    <w:rsid w:val="00EC3171"/>
    <w:rsid w:val="00EC3414"/>
    <w:rsid w:val="00EC3574"/>
    <w:rsid w:val="00EC35E5"/>
    <w:rsid w:val="00EC3657"/>
    <w:rsid w:val="00EC3769"/>
    <w:rsid w:val="00EC378F"/>
    <w:rsid w:val="00EC3909"/>
    <w:rsid w:val="00EC393A"/>
    <w:rsid w:val="00EC3F81"/>
    <w:rsid w:val="00EC3FC0"/>
    <w:rsid w:val="00EC428F"/>
    <w:rsid w:val="00EC4598"/>
    <w:rsid w:val="00EC46CD"/>
    <w:rsid w:val="00EC46E3"/>
    <w:rsid w:val="00EC4768"/>
    <w:rsid w:val="00EC4A3D"/>
    <w:rsid w:val="00EC4B5D"/>
    <w:rsid w:val="00EC4B8F"/>
    <w:rsid w:val="00EC4FC3"/>
    <w:rsid w:val="00EC50C2"/>
    <w:rsid w:val="00EC50D0"/>
    <w:rsid w:val="00EC50FF"/>
    <w:rsid w:val="00EC5198"/>
    <w:rsid w:val="00EC5200"/>
    <w:rsid w:val="00EC52D8"/>
    <w:rsid w:val="00EC531D"/>
    <w:rsid w:val="00EC53CC"/>
    <w:rsid w:val="00EC53CE"/>
    <w:rsid w:val="00EC555D"/>
    <w:rsid w:val="00EC56F7"/>
    <w:rsid w:val="00EC5775"/>
    <w:rsid w:val="00EC5891"/>
    <w:rsid w:val="00EC5A4B"/>
    <w:rsid w:val="00EC5DD6"/>
    <w:rsid w:val="00EC602E"/>
    <w:rsid w:val="00EC6170"/>
    <w:rsid w:val="00EC61F3"/>
    <w:rsid w:val="00EC66CF"/>
    <w:rsid w:val="00EC6781"/>
    <w:rsid w:val="00EC68BB"/>
    <w:rsid w:val="00EC6916"/>
    <w:rsid w:val="00EC6B2D"/>
    <w:rsid w:val="00EC6D35"/>
    <w:rsid w:val="00EC745D"/>
    <w:rsid w:val="00EC7470"/>
    <w:rsid w:val="00EC76F0"/>
    <w:rsid w:val="00EC7829"/>
    <w:rsid w:val="00EC7916"/>
    <w:rsid w:val="00EC7AAE"/>
    <w:rsid w:val="00EC7D9E"/>
    <w:rsid w:val="00EC7E66"/>
    <w:rsid w:val="00EC7EE6"/>
    <w:rsid w:val="00EC7F51"/>
    <w:rsid w:val="00EC7FE4"/>
    <w:rsid w:val="00ED00AB"/>
    <w:rsid w:val="00ED01F6"/>
    <w:rsid w:val="00ED0248"/>
    <w:rsid w:val="00ED034D"/>
    <w:rsid w:val="00ED0683"/>
    <w:rsid w:val="00ED0AAF"/>
    <w:rsid w:val="00ED0AD3"/>
    <w:rsid w:val="00ED0BBC"/>
    <w:rsid w:val="00ED0CA0"/>
    <w:rsid w:val="00ED0FC5"/>
    <w:rsid w:val="00ED1122"/>
    <w:rsid w:val="00ED11B9"/>
    <w:rsid w:val="00ED1322"/>
    <w:rsid w:val="00ED1337"/>
    <w:rsid w:val="00ED1468"/>
    <w:rsid w:val="00ED14CD"/>
    <w:rsid w:val="00ED15E4"/>
    <w:rsid w:val="00ED162B"/>
    <w:rsid w:val="00ED1877"/>
    <w:rsid w:val="00ED197E"/>
    <w:rsid w:val="00ED1A63"/>
    <w:rsid w:val="00ED1B08"/>
    <w:rsid w:val="00ED1B27"/>
    <w:rsid w:val="00ED1D72"/>
    <w:rsid w:val="00ED1F34"/>
    <w:rsid w:val="00ED1F52"/>
    <w:rsid w:val="00ED20F0"/>
    <w:rsid w:val="00ED21C9"/>
    <w:rsid w:val="00ED223E"/>
    <w:rsid w:val="00ED2352"/>
    <w:rsid w:val="00ED23BD"/>
    <w:rsid w:val="00ED240C"/>
    <w:rsid w:val="00ED2415"/>
    <w:rsid w:val="00ED24DB"/>
    <w:rsid w:val="00ED27CB"/>
    <w:rsid w:val="00ED2983"/>
    <w:rsid w:val="00ED2B2B"/>
    <w:rsid w:val="00ED2BBD"/>
    <w:rsid w:val="00ED2CA5"/>
    <w:rsid w:val="00ED2D08"/>
    <w:rsid w:val="00ED2F5E"/>
    <w:rsid w:val="00ED3022"/>
    <w:rsid w:val="00ED328A"/>
    <w:rsid w:val="00ED3339"/>
    <w:rsid w:val="00ED33A5"/>
    <w:rsid w:val="00ED35CF"/>
    <w:rsid w:val="00ED35DF"/>
    <w:rsid w:val="00ED3709"/>
    <w:rsid w:val="00ED3E31"/>
    <w:rsid w:val="00ED424E"/>
    <w:rsid w:val="00ED42DE"/>
    <w:rsid w:val="00ED45B3"/>
    <w:rsid w:val="00ED45FB"/>
    <w:rsid w:val="00ED467A"/>
    <w:rsid w:val="00ED46AD"/>
    <w:rsid w:val="00ED46C9"/>
    <w:rsid w:val="00ED4744"/>
    <w:rsid w:val="00ED4818"/>
    <w:rsid w:val="00ED4825"/>
    <w:rsid w:val="00ED486B"/>
    <w:rsid w:val="00ED48EF"/>
    <w:rsid w:val="00ED49BB"/>
    <w:rsid w:val="00ED4ADB"/>
    <w:rsid w:val="00ED4B0E"/>
    <w:rsid w:val="00ED4B6F"/>
    <w:rsid w:val="00ED4BF4"/>
    <w:rsid w:val="00ED4FD4"/>
    <w:rsid w:val="00ED50A5"/>
    <w:rsid w:val="00ED50D0"/>
    <w:rsid w:val="00ED50E8"/>
    <w:rsid w:val="00ED52FD"/>
    <w:rsid w:val="00ED55CC"/>
    <w:rsid w:val="00ED5706"/>
    <w:rsid w:val="00ED580A"/>
    <w:rsid w:val="00ED59F1"/>
    <w:rsid w:val="00ED5A92"/>
    <w:rsid w:val="00ED5B32"/>
    <w:rsid w:val="00ED5CBA"/>
    <w:rsid w:val="00ED5D6B"/>
    <w:rsid w:val="00ED5DF6"/>
    <w:rsid w:val="00ED5ECE"/>
    <w:rsid w:val="00ED5EDA"/>
    <w:rsid w:val="00ED5FA3"/>
    <w:rsid w:val="00ED6172"/>
    <w:rsid w:val="00ED626C"/>
    <w:rsid w:val="00ED6321"/>
    <w:rsid w:val="00ED6360"/>
    <w:rsid w:val="00ED6575"/>
    <w:rsid w:val="00ED6599"/>
    <w:rsid w:val="00ED66B9"/>
    <w:rsid w:val="00ED68B3"/>
    <w:rsid w:val="00ED68F1"/>
    <w:rsid w:val="00ED69D3"/>
    <w:rsid w:val="00ED6A0F"/>
    <w:rsid w:val="00ED6B5A"/>
    <w:rsid w:val="00ED6B72"/>
    <w:rsid w:val="00ED6DEA"/>
    <w:rsid w:val="00ED6FDA"/>
    <w:rsid w:val="00ED70B7"/>
    <w:rsid w:val="00ED70CD"/>
    <w:rsid w:val="00ED713F"/>
    <w:rsid w:val="00ED7221"/>
    <w:rsid w:val="00ED7261"/>
    <w:rsid w:val="00ED7420"/>
    <w:rsid w:val="00ED7630"/>
    <w:rsid w:val="00ED7944"/>
    <w:rsid w:val="00ED7A01"/>
    <w:rsid w:val="00ED7A7C"/>
    <w:rsid w:val="00ED7A9D"/>
    <w:rsid w:val="00ED7B50"/>
    <w:rsid w:val="00ED7D22"/>
    <w:rsid w:val="00ED7EA9"/>
    <w:rsid w:val="00ED7FB6"/>
    <w:rsid w:val="00EDB0E0"/>
    <w:rsid w:val="00EE009F"/>
    <w:rsid w:val="00EE015E"/>
    <w:rsid w:val="00EE0181"/>
    <w:rsid w:val="00EE021C"/>
    <w:rsid w:val="00EE0266"/>
    <w:rsid w:val="00EE02F8"/>
    <w:rsid w:val="00EE053A"/>
    <w:rsid w:val="00EE05DD"/>
    <w:rsid w:val="00EE063C"/>
    <w:rsid w:val="00EE08D0"/>
    <w:rsid w:val="00EE0BDE"/>
    <w:rsid w:val="00EE0C0C"/>
    <w:rsid w:val="00EE0CA0"/>
    <w:rsid w:val="00EE118B"/>
    <w:rsid w:val="00EE1297"/>
    <w:rsid w:val="00EE12B7"/>
    <w:rsid w:val="00EE16B1"/>
    <w:rsid w:val="00EE171C"/>
    <w:rsid w:val="00EE19D4"/>
    <w:rsid w:val="00EE1AC9"/>
    <w:rsid w:val="00EE1B49"/>
    <w:rsid w:val="00EE1D32"/>
    <w:rsid w:val="00EE1DAA"/>
    <w:rsid w:val="00EE1E23"/>
    <w:rsid w:val="00EE23C0"/>
    <w:rsid w:val="00EE2565"/>
    <w:rsid w:val="00EE259E"/>
    <w:rsid w:val="00EE2A37"/>
    <w:rsid w:val="00EE2AE1"/>
    <w:rsid w:val="00EE2B0F"/>
    <w:rsid w:val="00EE2B6D"/>
    <w:rsid w:val="00EE2D4E"/>
    <w:rsid w:val="00EE2F19"/>
    <w:rsid w:val="00EE2FC1"/>
    <w:rsid w:val="00EE3563"/>
    <w:rsid w:val="00EE363C"/>
    <w:rsid w:val="00EE36E9"/>
    <w:rsid w:val="00EE3970"/>
    <w:rsid w:val="00EE3AB3"/>
    <w:rsid w:val="00EE414F"/>
    <w:rsid w:val="00EE4823"/>
    <w:rsid w:val="00EE48EE"/>
    <w:rsid w:val="00EE49A5"/>
    <w:rsid w:val="00EE4B37"/>
    <w:rsid w:val="00EE4D23"/>
    <w:rsid w:val="00EE4EFC"/>
    <w:rsid w:val="00EE4F2A"/>
    <w:rsid w:val="00EE523B"/>
    <w:rsid w:val="00EE52FB"/>
    <w:rsid w:val="00EE535E"/>
    <w:rsid w:val="00EE55EB"/>
    <w:rsid w:val="00EE5687"/>
    <w:rsid w:val="00EE577D"/>
    <w:rsid w:val="00EE5789"/>
    <w:rsid w:val="00EE5DED"/>
    <w:rsid w:val="00EE5EEE"/>
    <w:rsid w:val="00EE5F03"/>
    <w:rsid w:val="00EE605B"/>
    <w:rsid w:val="00EE62A7"/>
    <w:rsid w:val="00EE6375"/>
    <w:rsid w:val="00EE63B5"/>
    <w:rsid w:val="00EE6B77"/>
    <w:rsid w:val="00EE6D28"/>
    <w:rsid w:val="00EE6DBF"/>
    <w:rsid w:val="00EE6E30"/>
    <w:rsid w:val="00EE6F42"/>
    <w:rsid w:val="00EE7128"/>
    <w:rsid w:val="00EE74EF"/>
    <w:rsid w:val="00EE7571"/>
    <w:rsid w:val="00EE77B9"/>
    <w:rsid w:val="00EE78F8"/>
    <w:rsid w:val="00EE7908"/>
    <w:rsid w:val="00EE7BB2"/>
    <w:rsid w:val="00EE7D20"/>
    <w:rsid w:val="00EE7D92"/>
    <w:rsid w:val="00EE7F00"/>
    <w:rsid w:val="00EF0139"/>
    <w:rsid w:val="00EF02E1"/>
    <w:rsid w:val="00EF02ED"/>
    <w:rsid w:val="00EF03FE"/>
    <w:rsid w:val="00EF05ED"/>
    <w:rsid w:val="00EF06E4"/>
    <w:rsid w:val="00EF0745"/>
    <w:rsid w:val="00EF075E"/>
    <w:rsid w:val="00EF0828"/>
    <w:rsid w:val="00EF09AF"/>
    <w:rsid w:val="00EF0A8C"/>
    <w:rsid w:val="00EF0B42"/>
    <w:rsid w:val="00EF0C68"/>
    <w:rsid w:val="00EF0DBA"/>
    <w:rsid w:val="00EF0E32"/>
    <w:rsid w:val="00EF0E4B"/>
    <w:rsid w:val="00EF0E92"/>
    <w:rsid w:val="00EF100B"/>
    <w:rsid w:val="00EF114F"/>
    <w:rsid w:val="00EF18CC"/>
    <w:rsid w:val="00EF1990"/>
    <w:rsid w:val="00EF19D0"/>
    <w:rsid w:val="00EF19EE"/>
    <w:rsid w:val="00EF1D27"/>
    <w:rsid w:val="00EF1FB1"/>
    <w:rsid w:val="00EF2066"/>
    <w:rsid w:val="00EF2221"/>
    <w:rsid w:val="00EF2387"/>
    <w:rsid w:val="00EF23BA"/>
    <w:rsid w:val="00EF25BC"/>
    <w:rsid w:val="00EF27A4"/>
    <w:rsid w:val="00EF2A91"/>
    <w:rsid w:val="00EF2ABD"/>
    <w:rsid w:val="00EF2ABF"/>
    <w:rsid w:val="00EF2BAC"/>
    <w:rsid w:val="00EF2D5B"/>
    <w:rsid w:val="00EF2F0D"/>
    <w:rsid w:val="00EF32F4"/>
    <w:rsid w:val="00EF3397"/>
    <w:rsid w:val="00EF34DD"/>
    <w:rsid w:val="00EF353D"/>
    <w:rsid w:val="00EF36FB"/>
    <w:rsid w:val="00EF3741"/>
    <w:rsid w:val="00EF37EC"/>
    <w:rsid w:val="00EF38BC"/>
    <w:rsid w:val="00EF391D"/>
    <w:rsid w:val="00EF3A28"/>
    <w:rsid w:val="00EF3A30"/>
    <w:rsid w:val="00EF3C4F"/>
    <w:rsid w:val="00EF3C5A"/>
    <w:rsid w:val="00EF3E39"/>
    <w:rsid w:val="00EF3EE1"/>
    <w:rsid w:val="00EF3F9F"/>
    <w:rsid w:val="00EF419D"/>
    <w:rsid w:val="00EF41EB"/>
    <w:rsid w:val="00EF4225"/>
    <w:rsid w:val="00EF435A"/>
    <w:rsid w:val="00EF445C"/>
    <w:rsid w:val="00EF446A"/>
    <w:rsid w:val="00EF448C"/>
    <w:rsid w:val="00EF4630"/>
    <w:rsid w:val="00EF4722"/>
    <w:rsid w:val="00EF4B5D"/>
    <w:rsid w:val="00EF4CB1"/>
    <w:rsid w:val="00EF4D0A"/>
    <w:rsid w:val="00EF4DBE"/>
    <w:rsid w:val="00EF4F1D"/>
    <w:rsid w:val="00EF5210"/>
    <w:rsid w:val="00EF5331"/>
    <w:rsid w:val="00EF54D3"/>
    <w:rsid w:val="00EF565F"/>
    <w:rsid w:val="00EF56D8"/>
    <w:rsid w:val="00EF58B7"/>
    <w:rsid w:val="00EF5994"/>
    <w:rsid w:val="00EF5A71"/>
    <w:rsid w:val="00EF5AA1"/>
    <w:rsid w:val="00EF6282"/>
    <w:rsid w:val="00EF6453"/>
    <w:rsid w:val="00EF65A8"/>
    <w:rsid w:val="00EF66B3"/>
    <w:rsid w:val="00EF671F"/>
    <w:rsid w:val="00EF683D"/>
    <w:rsid w:val="00EF684B"/>
    <w:rsid w:val="00EF68B2"/>
    <w:rsid w:val="00EF6935"/>
    <w:rsid w:val="00EF69DB"/>
    <w:rsid w:val="00EF6C38"/>
    <w:rsid w:val="00EF6DF0"/>
    <w:rsid w:val="00EF6F6F"/>
    <w:rsid w:val="00EF728F"/>
    <w:rsid w:val="00EF75EA"/>
    <w:rsid w:val="00EF781A"/>
    <w:rsid w:val="00EF7A88"/>
    <w:rsid w:val="00EF7C80"/>
    <w:rsid w:val="00EF7DB8"/>
    <w:rsid w:val="00EF7E9B"/>
    <w:rsid w:val="00EF7EAC"/>
    <w:rsid w:val="00EF7F14"/>
    <w:rsid w:val="00EF7F29"/>
    <w:rsid w:val="00F00038"/>
    <w:rsid w:val="00F0017D"/>
    <w:rsid w:val="00F0025C"/>
    <w:rsid w:val="00F00285"/>
    <w:rsid w:val="00F0030C"/>
    <w:rsid w:val="00F003D9"/>
    <w:rsid w:val="00F00490"/>
    <w:rsid w:val="00F0065B"/>
    <w:rsid w:val="00F0084B"/>
    <w:rsid w:val="00F00B9D"/>
    <w:rsid w:val="00F00F59"/>
    <w:rsid w:val="00F014AD"/>
    <w:rsid w:val="00F01621"/>
    <w:rsid w:val="00F01720"/>
    <w:rsid w:val="00F0181B"/>
    <w:rsid w:val="00F01880"/>
    <w:rsid w:val="00F01999"/>
    <w:rsid w:val="00F01A82"/>
    <w:rsid w:val="00F01AC3"/>
    <w:rsid w:val="00F01B8D"/>
    <w:rsid w:val="00F01C85"/>
    <w:rsid w:val="00F01CAD"/>
    <w:rsid w:val="00F027DB"/>
    <w:rsid w:val="00F02A0E"/>
    <w:rsid w:val="00F02A69"/>
    <w:rsid w:val="00F02AAF"/>
    <w:rsid w:val="00F02AEF"/>
    <w:rsid w:val="00F02BF3"/>
    <w:rsid w:val="00F02E8A"/>
    <w:rsid w:val="00F02EF6"/>
    <w:rsid w:val="00F034D2"/>
    <w:rsid w:val="00F0380C"/>
    <w:rsid w:val="00F039A9"/>
    <w:rsid w:val="00F03BE1"/>
    <w:rsid w:val="00F03CC0"/>
    <w:rsid w:val="00F03CDD"/>
    <w:rsid w:val="00F03E84"/>
    <w:rsid w:val="00F03EFD"/>
    <w:rsid w:val="00F040F1"/>
    <w:rsid w:val="00F0419E"/>
    <w:rsid w:val="00F0426B"/>
    <w:rsid w:val="00F04368"/>
    <w:rsid w:val="00F047FB"/>
    <w:rsid w:val="00F0485C"/>
    <w:rsid w:val="00F048CE"/>
    <w:rsid w:val="00F04AF7"/>
    <w:rsid w:val="00F04BDA"/>
    <w:rsid w:val="00F04BE4"/>
    <w:rsid w:val="00F04CA4"/>
    <w:rsid w:val="00F04DA5"/>
    <w:rsid w:val="00F04F90"/>
    <w:rsid w:val="00F0526D"/>
    <w:rsid w:val="00F052AC"/>
    <w:rsid w:val="00F053FC"/>
    <w:rsid w:val="00F05617"/>
    <w:rsid w:val="00F05717"/>
    <w:rsid w:val="00F05736"/>
    <w:rsid w:val="00F05806"/>
    <w:rsid w:val="00F059B6"/>
    <w:rsid w:val="00F059FB"/>
    <w:rsid w:val="00F05C42"/>
    <w:rsid w:val="00F05E82"/>
    <w:rsid w:val="00F05F93"/>
    <w:rsid w:val="00F06317"/>
    <w:rsid w:val="00F0637F"/>
    <w:rsid w:val="00F0644B"/>
    <w:rsid w:val="00F065DB"/>
    <w:rsid w:val="00F06676"/>
    <w:rsid w:val="00F0669A"/>
    <w:rsid w:val="00F06876"/>
    <w:rsid w:val="00F068B4"/>
    <w:rsid w:val="00F068D8"/>
    <w:rsid w:val="00F06962"/>
    <w:rsid w:val="00F06AF7"/>
    <w:rsid w:val="00F06DE3"/>
    <w:rsid w:val="00F06E20"/>
    <w:rsid w:val="00F06EC5"/>
    <w:rsid w:val="00F06ED7"/>
    <w:rsid w:val="00F07051"/>
    <w:rsid w:val="00F07233"/>
    <w:rsid w:val="00F072F5"/>
    <w:rsid w:val="00F07369"/>
    <w:rsid w:val="00F0747C"/>
    <w:rsid w:val="00F0752B"/>
    <w:rsid w:val="00F076F3"/>
    <w:rsid w:val="00F077CA"/>
    <w:rsid w:val="00F0781D"/>
    <w:rsid w:val="00F0797B"/>
    <w:rsid w:val="00F07BCA"/>
    <w:rsid w:val="00F07BFA"/>
    <w:rsid w:val="00F07E8D"/>
    <w:rsid w:val="00F1007F"/>
    <w:rsid w:val="00F100AD"/>
    <w:rsid w:val="00F1011C"/>
    <w:rsid w:val="00F101E5"/>
    <w:rsid w:val="00F10277"/>
    <w:rsid w:val="00F1034E"/>
    <w:rsid w:val="00F1079F"/>
    <w:rsid w:val="00F10897"/>
    <w:rsid w:val="00F108F1"/>
    <w:rsid w:val="00F10AAA"/>
    <w:rsid w:val="00F10BA6"/>
    <w:rsid w:val="00F10BEC"/>
    <w:rsid w:val="00F10F63"/>
    <w:rsid w:val="00F10FF4"/>
    <w:rsid w:val="00F112D0"/>
    <w:rsid w:val="00F11325"/>
    <w:rsid w:val="00F113FD"/>
    <w:rsid w:val="00F11569"/>
    <w:rsid w:val="00F115C6"/>
    <w:rsid w:val="00F11764"/>
    <w:rsid w:val="00F11902"/>
    <w:rsid w:val="00F11963"/>
    <w:rsid w:val="00F11A18"/>
    <w:rsid w:val="00F11BB1"/>
    <w:rsid w:val="00F11F7B"/>
    <w:rsid w:val="00F1201B"/>
    <w:rsid w:val="00F1211F"/>
    <w:rsid w:val="00F12270"/>
    <w:rsid w:val="00F122D4"/>
    <w:rsid w:val="00F1236A"/>
    <w:rsid w:val="00F123A8"/>
    <w:rsid w:val="00F1241E"/>
    <w:rsid w:val="00F12553"/>
    <w:rsid w:val="00F12650"/>
    <w:rsid w:val="00F12701"/>
    <w:rsid w:val="00F128BB"/>
    <w:rsid w:val="00F128CE"/>
    <w:rsid w:val="00F12933"/>
    <w:rsid w:val="00F12A05"/>
    <w:rsid w:val="00F12A76"/>
    <w:rsid w:val="00F12AE3"/>
    <w:rsid w:val="00F12C12"/>
    <w:rsid w:val="00F12F39"/>
    <w:rsid w:val="00F13220"/>
    <w:rsid w:val="00F13258"/>
    <w:rsid w:val="00F133B6"/>
    <w:rsid w:val="00F13440"/>
    <w:rsid w:val="00F1358C"/>
    <w:rsid w:val="00F1376B"/>
    <w:rsid w:val="00F137CE"/>
    <w:rsid w:val="00F138AC"/>
    <w:rsid w:val="00F138B2"/>
    <w:rsid w:val="00F13D28"/>
    <w:rsid w:val="00F13D2C"/>
    <w:rsid w:val="00F13D3B"/>
    <w:rsid w:val="00F13DC1"/>
    <w:rsid w:val="00F13EF1"/>
    <w:rsid w:val="00F13F56"/>
    <w:rsid w:val="00F140D0"/>
    <w:rsid w:val="00F14141"/>
    <w:rsid w:val="00F1426C"/>
    <w:rsid w:val="00F14292"/>
    <w:rsid w:val="00F142A6"/>
    <w:rsid w:val="00F1432B"/>
    <w:rsid w:val="00F1433E"/>
    <w:rsid w:val="00F14446"/>
    <w:rsid w:val="00F14615"/>
    <w:rsid w:val="00F146FF"/>
    <w:rsid w:val="00F1479F"/>
    <w:rsid w:val="00F14845"/>
    <w:rsid w:val="00F149CE"/>
    <w:rsid w:val="00F14C63"/>
    <w:rsid w:val="00F14DCD"/>
    <w:rsid w:val="00F14DD1"/>
    <w:rsid w:val="00F14F32"/>
    <w:rsid w:val="00F15030"/>
    <w:rsid w:val="00F15070"/>
    <w:rsid w:val="00F15282"/>
    <w:rsid w:val="00F152E6"/>
    <w:rsid w:val="00F1572A"/>
    <w:rsid w:val="00F1577A"/>
    <w:rsid w:val="00F157D6"/>
    <w:rsid w:val="00F15C80"/>
    <w:rsid w:val="00F15E25"/>
    <w:rsid w:val="00F16313"/>
    <w:rsid w:val="00F166AB"/>
    <w:rsid w:val="00F168F3"/>
    <w:rsid w:val="00F16A59"/>
    <w:rsid w:val="00F16BBE"/>
    <w:rsid w:val="00F16E89"/>
    <w:rsid w:val="00F16F43"/>
    <w:rsid w:val="00F171E7"/>
    <w:rsid w:val="00F171F1"/>
    <w:rsid w:val="00F17703"/>
    <w:rsid w:val="00F17727"/>
    <w:rsid w:val="00F1780C"/>
    <w:rsid w:val="00F17A11"/>
    <w:rsid w:val="00F17AF0"/>
    <w:rsid w:val="00F17B45"/>
    <w:rsid w:val="00F17B94"/>
    <w:rsid w:val="00F17D29"/>
    <w:rsid w:val="00F17D93"/>
    <w:rsid w:val="00F17EAE"/>
    <w:rsid w:val="00F17F8A"/>
    <w:rsid w:val="00F20047"/>
    <w:rsid w:val="00F20121"/>
    <w:rsid w:val="00F20209"/>
    <w:rsid w:val="00F2025A"/>
    <w:rsid w:val="00F20306"/>
    <w:rsid w:val="00F20423"/>
    <w:rsid w:val="00F20562"/>
    <w:rsid w:val="00F205BB"/>
    <w:rsid w:val="00F205C8"/>
    <w:rsid w:val="00F208F8"/>
    <w:rsid w:val="00F209D6"/>
    <w:rsid w:val="00F20A1F"/>
    <w:rsid w:val="00F20C79"/>
    <w:rsid w:val="00F20D52"/>
    <w:rsid w:val="00F20D76"/>
    <w:rsid w:val="00F20E41"/>
    <w:rsid w:val="00F20ED9"/>
    <w:rsid w:val="00F21272"/>
    <w:rsid w:val="00F21438"/>
    <w:rsid w:val="00F21555"/>
    <w:rsid w:val="00F218DE"/>
    <w:rsid w:val="00F218E7"/>
    <w:rsid w:val="00F21D75"/>
    <w:rsid w:val="00F21DAD"/>
    <w:rsid w:val="00F21DC8"/>
    <w:rsid w:val="00F221CD"/>
    <w:rsid w:val="00F22441"/>
    <w:rsid w:val="00F225EF"/>
    <w:rsid w:val="00F22711"/>
    <w:rsid w:val="00F227E5"/>
    <w:rsid w:val="00F22816"/>
    <w:rsid w:val="00F22939"/>
    <w:rsid w:val="00F2293D"/>
    <w:rsid w:val="00F22942"/>
    <w:rsid w:val="00F22B83"/>
    <w:rsid w:val="00F22C54"/>
    <w:rsid w:val="00F22EAB"/>
    <w:rsid w:val="00F22F6F"/>
    <w:rsid w:val="00F22FB6"/>
    <w:rsid w:val="00F230E8"/>
    <w:rsid w:val="00F233CD"/>
    <w:rsid w:val="00F23448"/>
    <w:rsid w:val="00F234B8"/>
    <w:rsid w:val="00F234BF"/>
    <w:rsid w:val="00F236C8"/>
    <w:rsid w:val="00F23855"/>
    <w:rsid w:val="00F23974"/>
    <w:rsid w:val="00F23C6C"/>
    <w:rsid w:val="00F23C82"/>
    <w:rsid w:val="00F23D08"/>
    <w:rsid w:val="00F23D0B"/>
    <w:rsid w:val="00F23EBB"/>
    <w:rsid w:val="00F23EC2"/>
    <w:rsid w:val="00F23FB0"/>
    <w:rsid w:val="00F23FD9"/>
    <w:rsid w:val="00F24148"/>
    <w:rsid w:val="00F24184"/>
    <w:rsid w:val="00F2423E"/>
    <w:rsid w:val="00F2461F"/>
    <w:rsid w:val="00F2466A"/>
    <w:rsid w:val="00F24734"/>
    <w:rsid w:val="00F2487E"/>
    <w:rsid w:val="00F249B2"/>
    <w:rsid w:val="00F24ACD"/>
    <w:rsid w:val="00F24C4E"/>
    <w:rsid w:val="00F24CAA"/>
    <w:rsid w:val="00F24CB6"/>
    <w:rsid w:val="00F24E34"/>
    <w:rsid w:val="00F24E7B"/>
    <w:rsid w:val="00F25306"/>
    <w:rsid w:val="00F2534A"/>
    <w:rsid w:val="00F25419"/>
    <w:rsid w:val="00F254C2"/>
    <w:rsid w:val="00F2562E"/>
    <w:rsid w:val="00F25A5B"/>
    <w:rsid w:val="00F25A9F"/>
    <w:rsid w:val="00F25ADC"/>
    <w:rsid w:val="00F25C38"/>
    <w:rsid w:val="00F25EF7"/>
    <w:rsid w:val="00F25FDC"/>
    <w:rsid w:val="00F26059"/>
    <w:rsid w:val="00F2613A"/>
    <w:rsid w:val="00F2615A"/>
    <w:rsid w:val="00F261B6"/>
    <w:rsid w:val="00F262C2"/>
    <w:rsid w:val="00F263A6"/>
    <w:rsid w:val="00F263DA"/>
    <w:rsid w:val="00F264D3"/>
    <w:rsid w:val="00F265E7"/>
    <w:rsid w:val="00F26737"/>
    <w:rsid w:val="00F269F0"/>
    <w:rsid w:val="00F26C91"/>
    <w:rsid w:val="00F26DEF"/>
    <w:rsid w:val="00F26F07"/>
    <w:rsid w:val="00F26F5B"/>
    <w:rsid w:val="00F270BF"/>
    <w:rsid w:val="00F271D7"/>
    <w:rsid w:val="00F27252"/>
    <w:rsid w:val="00F273DF"/>
    <w:rsid w:val="00F275E0"/>
    <w:rsid w:val="00F2785F"/>
    <w:rsid w:val="00F27948"/>
    <w:rsid w:val="00F27AE1"/>
    <w:rsid w:val="00F27D05"/>
    <w:rsid w:val="00F27F36"/>
    <w:rsid w:val="00F27F41"/>
    <w:rsid w:val="00F3022F"/>
    <w:rsid w:val="00F3023B"/>
    <w:rsid w:val="00F302B6"/>
    <w:rsid w:val="00F305AE"/>
    <w:rsid w:val="00F30699"/>
    <w:rsid w:val="00F307B5"/>
    <w:rsid w:val="00F30820"/>
    <w:rsid w:val="00F30939"/>
    <w:rsid w:val="00F30AFC"/>
    <w:rsid w:val="00F30BA8"/>
    <w:rsid w:val="00F30C92"/>
    <w:rsid w:val="00F30EF0"/>
    <w:rsid w:val="00F30F83"/>
    <w:rsid w:val="00F30F89"/>
    <w:rsid w:val="00F30FB2"/>
    <w:rsid w:val="00F31039"/>
    <w:rsid w:val="00F31462"/>
    <w:rsid w:val="00F314C1"/>
    <w:rsid w:val="00F31555"/>
    <w:rsid w:val="00F31568"/>
    <w:rsid w:val="00F317C0"/>
    <w:rsid w:val="00F31C3F"/>
    <w:rsid w:val="00F31D4E"/>
    <w:rsid w:val="00F321C3"/>
    <w:rsid w:val="00F322A9"/>
    <w:rsid w:val="00F3240C"/>
    <w:rsid w:val="00F325A2"/>
    <w:rsid w:val="00F327D1"/>
    <w:rsid w:val="00F32801"/>
    <w:rsid w:val="00F329CA"/>
    <w:rsid w:val="00F32A43"/>
    <w:rsid w:val="00F32C25"/>
    <w:rsid w:val="00F32C50"/>
    <w:rsid w:val="00F32FFF"/>
    <w:rsid w:val="00F3302A"/>
    <w:rsid w:val="00F33096"/>
    <w:rsid w:val="00F33240"/>
    <w:rsid w:val="00F33262"/>
    <w:rsid w:val="00F33343"/>
    <w:rsid w:val="00F3337E"/>
    <w:rsid w:val="00F33541"/>
    <w:rsid w:val="00F336F6"/>
    <w:rsid w:val="00F3376D"/>
    <w:rsid w:val="00F337C7"/>
    <w:rsid w:val="00F337F8"/>
    <w:rsid w:val="00F33965"/>
    <w:rsid w:val="00F33B29"/>
    <w:rsid w:val="00F33E59"/>
    <w:rsid w:val="00F33EA5"/>
    <w:rsid w:val="00F3404F"/>
    <w:rsid w:val="00F34113"/>
    <w:rsid w:val="00F34252"/>
    <w:rsid w:val="00F3457A"/>
    <w:rsid w:val="00F34746"/>
    <w:rsid w:val="00F34749"/>
    <w:rsid w:val="00F348E1"/>
    <w:rsid w:val="00F34AD6"/>
    <w:rsid w:val="00F34ADF"/>
    <w:rsid w:val="00F34B8E"/>
    <w:rsid w:val="00F34CFD"/>
    <w:rsid w:val="00F34D97"/>
    <w:rsid w:val="00F34DB4"/>
    <w:rsid w:val="00F34EE4"/>
    <w:rsid w:val="00F3505D"/>
    <w:rsid w:val="00F35066"/>
    <w:rsid w:val="00F353DB"/>
    <w:rsid w:val="00F356B3"/>
    <w:rsid w:val="00F35811"/>
    <w:rsid w:val="00F358C5"/>
    <w:rsid w:val="00F3599D"/>
    <w:rsid w:val="00F35B61"/>
    <w:rsid w:val="00F35C74"/>
    <w:rsid w:val="00F35F89"/>
    <w:rsid w:val="00F36032"/>
    <w:rsid w:val="00F3640D"/>
    <w:rsid w:val="00F3669F"/>
    <w:rsid w:val="00F3673E"/>
    <w:rsid w:val="00F367B6"/>
    <w:rsid w:val="00F36BC7"/>
    <w:rsid w:val="00F36D91"/>
    <w:rsid w:val="00F36E16"/>
    <w:rsid w:val="00F37220"/>
    <w:rsid w:val="00F3731B"/>
    <w:rsid w:val="00F373B5"/>
    <w:rsid w:val="00F373F9"/>
    <w:rsid w:val="00F37508"/>
    <w:rsid w:val="00F37698"/>
    <w:rsid w:val="00F37813"/>
    <w:rsid w:val="00F37838"/>
    <w:rsid w:val="00F378A1"/>
    <w:rsid w:val="00F37BF4"/>
    <w:rsid w:val="00F37CD8"/>
    <w:rsid w:val="00F37DC0"/>
    <w:rsid w:val="00F40256"/>
    <w:rsid w:val="00F402B9"/>
    <w:rsid w:val="00F403F0"/>
    <w:rsid w:val="00F4043D"/>
    <w:rsid w:val="00F407AE"/>
    <w:rsid w:val="00F407B5"/>
    <w:rsid w:val="00F407D9"/>
    <w:rsid w:val="00F40A8C"/>
    <w:rsid w:val="00F40B9A"/>
    <w:rsid w:val="00F40C58"/>
    <w:rsid w:val="00F41025"/>
    <w:rsid w:val="00F4105F"/>
    <w:rsid w:val="00F410E1"/>
    <w:rsid w:val="00F4123C"/>
    <w:rsid w:val="00F41257"/>
    <w:rsid w:val="00F414C7"/>
    <w:rsid w:val="00F4167C"/>
    <w:rsid w:val="00F416C3"/>
    <w:rsid w:val="00F41773"/>
    <w:rsid w:val="00F417C0"/>
    <w:rsid w:val="00F4193A"/>
    <w:rsid w:val="00F41981"/>
    <w:rsid w:val="00F419D1"/>
    <w:rsid w:val="00F41B47"/>
    <w:rsid w:val="00F41CEC"/>
    <w:rsid w:val="00F41D54"/>
    <w:rsid w:val="00F41D60"/>
    <w:rsid w:val="00F42055"/>
    <w:rsid w:val="00F420AE"/>
    <w:rsid w:val="00F421D2"/>
    <w:rsid w:val="00F4239C"/>
    <w:rsid w:val="00F424E0"/>
    <w:rsid w:val="00F4250B"/>
    <w:rsid w:val="00F42540"/>
    <w:rsid w:val="00F42871"/>
    <w:rsid w:val="00F4289B"/>
    <w:rsid w:val="00F428FC"/>
    <w:rsid w:val="00F429D6"/>
    <w:rsid w:val="00F42A7C"/>
    <w:rsid w:val="00F42AA3"/>
    <w:rsid w:val="00F42D06"/>
    <w:rsid w:val="00F4395F"/>
    <w:rsid w:val="00F43D32"/>
    <w:rsid w:val="00F43EF7"/>
    <w:rsid w:val="00F43FEA"/>
    <w:rsid w:val="00F4402A"/>
    <w:rsid w:val="00F4452E"/>
    <w:rsid w:val="00F4453E"/>
    <w:rsid w:val="00F4461D"/>
    <w:rsid w:val="00F4473A"/>
    <w:rsid w:val="00F448D0"/>
    <w:rsid w:val="00F449BE"/>
    <w:rsid w:val="00F44A82"/>
    <w:rsid w:val="00F44BAC"/>
    <w:rsid w:val="00F44C80"/>
    <w:rsid w:val="00F44D68"/>
    <w:rsid w:val="00F44DB1"/>
    <w:rsid w:val="00F450AA"/>
    <w:rsid w:val="00F45217"/>
    <w:rsid w:val="00F4555E"/>
    <w:rsid w:val="00F45579"/>
    <w:rsid w:val="00F455D4"/>
    <w:rsid w:val="00F456C4"/>
    <w:rsid w:val="00F45905"/>
    <w:rsid w:val="00F45A18"/>
    <w:rsid w:val="00F45AFA"/>
    <w:rsid w:val="00F45B12"/>
    <w:rsid w:val="00F45B53"/>
    <w:rsid w:val="00F45C0C"/>
    <w:rsid w:val="00F45D4F"/>
    <w:rsid w:val="00F45E93"/>
    <w:rsid w:val="00F45EE7"/>
    <w:rsid w:val="00F46165"/>
    <w:rsid w:val="00F46411"/>
    <w:rsid w:val="00F465AE"/>
    <w:rsid w:val="00F46602"/>
    <w:rsid w:val="00F46671"/>
    <w:rsid w:val="00F4685D"/>
    <w:rsid w:val="00F46902"/>
    <w:rsid w:val="00F46A28"/>
    <w:rsid w:val="00F46D5E"/>
    <w:rsid w:val="00F46D9A"/>
    <w:rsid w:val="00F46DF0"/>
    <w:rsid w:val="00F46EFC"/>
    <w:rsid w:val="00F46F12"/>
    <w:rsid w:val="00F47174"/>
    <w:rsid w:val="00F4749D"/>
    <w:rsid w:val="00F47544"/>
    <w:rsid w:val="00F4774B"/>
    <w:rsid w:val="00F4787B"/>
    <w:rsid w:val="00F47A02"/>
    <w:rsid w:val="00F47A82"/>
    <w:rsid w:val="00F47AD4"/>
    <w:rsid w:val="00F47B0A"/>
    <w:rsid w:val="00F47BF9"/>
    <w:rsid w:val="00F47D6F"/>
    <w:rsid w:val="00F47E8B"/>
    <w:rsid w:val="00F500C5"/>
    <w:rsid w:val="00F500DC"/>
    <w:rsid w:val="00F5011A"/>
    <w:rsid w:val="00F501DB"/>
    <w:rsid w:val="00F50289"/>
    <w:rsid w:val="00F5040A"/>
    <w:rsid w:val="00F504EA"/>
    <w:rsid w:val="00F50600"/>
    <w:rsid w:val="00F5061C"/>
    <w:rsid w:val="00F5065A"/>
    <w:rsid w:val="00F50A3E"/>
    <w:rsid w:val="00F50A8D"/>
    <w:rsid w:val="00F50B8D"/>
    <w:rsid w:val="00F50B9D"/>
    <w:rsid w:val="00F50BF9"/>
    <w:rsid w:val="00F50E1A"/>
    <w:rsid w:val="00F50ED9"/>
    <w:rsid w:val="00F50F5B"/>
    <w:rsid w:val="00F5100D"/>
    <w:rsid w:val="00F510DF"/>
    <w:rsid w:val="00F51344"/>
    <w:rsid w:val="00F516B2"/>
    <w:rsid w:val="00F516C6"/>
    <w:rsid w:val="00F517D3"/>
    <w:rsid w:val="00F5194F"/>
    <w:rsid w:val="00F519C7"/>
    <w:rsid w:val="00F51A73"/>
    <w:rsid w:val="00F51B4D"/>
    <w:rsid w:val="00F51B70"/>
    <w:rsid w:val="00F51C52"/>
    <w:rsid w:val="00F51F64"/>
    <w:rsid w:val="00F5203F"/>
    <w:rsid w:val="00F5223D"/>
    <w:rsid w:val="00F523F4"/>
    <w:rsid w:val="00F5249B"/>
    <w:rsid w:val="00F524DF"/>
    <w:rsid w:val="00F524F5"/>
    <w:rsid w:val="00F52695"/>
    <w:rsid w:val="00F5272F"/>
    <w:rsid w:val="00F52964"/>
    <w:rsid w:val="00F529F4"/>
    <w:rsid w:val="00F52ABA"/>
    <w:rsid w:val="00F52B2A"/>
    <w:rsid w:val="00F52B7F"/>
    <w:rsid w:val="00F52E51"/>
    <w:rsid w:val="00F52E9C"/>
    <w:rsid w:val="00F52F97"/>
    <w:rsid w:val="00F53035"/>
    <w:rsid w:val="00F536EA"/>
    <w:rsid w:val="00F537C2"/>
    <w:rsid w:val="00F538F2"/>
    <w:rsid w:val="00F53951"/>
    <w:rsid w:val="00F5395A"/>
    <w:rsid w:val="00F539E7"/>
    <w:rsid w:val="00F53E46"/>
    <w:rsid w:val="00F540B3"/>
    <w:rsid w:val="00F5415B"/>
    <w:rsid w:val="00F5421F"/>
    <w:rsid w:val="00F5436F"/>
    <w:rsid w:val="00F5448A"/>
    <w:rsid w:val="00F5480F"/>
    <w:rsid w:val="00F54818"/>
    <w:rsid w:val="00F54978"/>
    <w:rsid w:val="00F54ABE"/>
    <w:rsid w:val="00F54AE5"/>
    <w:rsid w:val="00F54C9A"/>
    <w:rsid w:val="00F54CD2"/>
    <w:rsid w:val="00F54F9B"/>
    <w:rsid w:val="00F55166"/>
    <w:rsid w:val="00F551DB"/>
    <w:rsid w:val="00F552CA"/>
    <w:rsid w:val="00F554C1"/>
    <w:rsid w:val="00F55508"/>
    <w:rsid w:val="00F555FC"/>
    <w:rsid w:val="00F55614"/>
    <w:rsid w:val="00F55768"/>
    <w:rsid w:val="00F55783"/>
    <w:rsid w:val="00F557A3"/>
    <w:rsid w:val="00F55824"/>
    <w:rsid w:val="00F55872"/>
    <w:rsid w:val="00F558FF"/>
    <w:rsid w:val="00F55A9C"/>
    <w:rsid w:val="00F55BCF"/>
    <w:rsid w:val="00F55D4F"/>
    <w:rsid w:val="00F55E01"/>
    <w:rsid w:val="00F55FD5"/>
    <w:rsid w:val="00F56011"/>
    <w:rsid w:val="00F56171"/>
    <w:rsid w:val="00F5622C"/>
    <w:rsid w:val="00F563B6"/>
    <w:rsid w:val="00F563F0"/>
    <w:rsid w:val="00F5654F"/>
    <w:rsid w:val="00F567D1"/>
    <w:rsid w:val="00F567D8"/>
    <w:rsid w:val="00F5680A"/>
    <w:rsid w:val="00F56A6D"/>
    <w:rsid w:val="00F56C08"/>
    <w:rsid w:val="00F56CDE"/>
    <w:rsid w:val="00F56ED4"/>
    <w:rsid w:val="00F56F80"/>
    <w:rsid w:val="00F5709E"/>
    <w:rsid w:val="00F57321"/>
    <w:rsid w:val="00F57527"/>
    <w:rsid w:val="00F5753E"/>
    <w:rsid w:val="00F57559"/>
    <w:rsid w:val="00F57620"/>
    <w:rsid w:val="00F578D7"/>
    <w:rsid w:val="00F57BCC"/>
    <w:rsid w:val="00F57F4F"/>
    <w:rsid w:val="00F60011"/>
    <w:rsid w:val="00F6005E"/>
    <w:rsid w:val="00F600FF"/>
    <w:rsid w:val="00F6049D"/>
    <w:rsid w:val="00F60542"/>
    <w:rsid w:val="00F60585"/>
    <w:rsid w:val="00F60635"/>
    <w:rsid w:val="00F60764"/>
    <w:rsid w:val="00F60A99"/>
    <w:rsid w:val="00F61000"/>
    <w:rsid w:val="00F61052"/>
    <w:rsid w:val="00F610E2"/>
    <w:rsid w:val="00F610E6"/>
    <w:rsid w:val="00F612F1"/>
    <w:rsid w:val="00F61457"/>
    <w:rsid w:val="00F61585"/>
    <w:rsid w:val="00F6191E"/>
    <w:rsid w:val="00F61946"/>
    <w:rsid w:val="00F619E6"/>
    <w:rsid w:val="00F61BFC"/>
    <w:rsid w:val="00F61E31"/>
    <w:rsid w:val="00F61FB0"/>
    <w:rsid w:val="00F62130"/>
    <w:rsid w:val="00F6213E"/>
    <w:rsid w:val="00F62310"/>
    <w:rsid w:val="00F62444"/>
    <w:rsid w:val="00F6264E"/>
    <w:rsid w:val="00F62771"/>
    <w:rsid w:val="00F62A8F"/>
    <w:rsid w:val="00F62CCA"/>
    <w:rsid w:val="00F62E56"/>
    <w:rsid w:val="00F6301E"/>
    <w:rsid w:val="00F6302F"/>
    <w:rsid w:val="00F6309A"/>
    <w:rsid w:val="00F6318C"/>
    <w:rsid w:val="00F631F8"/>
    <w:rsid w:val="00F6333A"/>
    <w:rsid w:val="00F63432"/>
    <w:rsid w:val="00F63487"/>
    <w:rsid w:val="00F63511"/>
    <w:rsid w:val="00F63A9A"/>
    <w:rsid w:val="00F63AC4"/>
    <w:rsid w:val="00F63B46"/>
    <w:rsid w:val="00F63F69"/>
    <w:rsid w:val="00F6437C"/>
    <w:rsid w:val="00F64391"/>
    <w:rsid w:val="00F644D6"/>
    <w:rsid w:val="00F648D7"/>
    <w:rsid w:val="00F64DD5"/>
    <w:rsid w:val="00F64FB4"/>
    <w:rsid w:val="00F64FDF"/>
    <w:rsid w:val="00F6553B"/>
    <w:rsid w:val="00F65703"/>
    <w:rsid w:val="00F65848"/>
    <w:rsid w:val="00F6591B"/>
    <w:rsid w:val="00F6591D"/>
    <w:rsid w:val="00F65D1C"/>
    <w:rsid w:val="00F65D27"/>
    <w:rsid w:val="00F65D79"/>
    <w:rsid w:val="00F65E09"/>
    <w:rsid w:val="00F66204"/>
    <w:rsid w:val="00F662E7"/>
    <w:rsid w:val="00F6666B"/>
    <w:rsid w:val="00F6693F"/>
    <w:rsid w:val="00F669FA"/>
    <w:rsid w:val="00F66AE5"/>
    <w:rsid w:val="00F66B53"/>
    <w:rsid w:val="00F66C31"/>
    <w:rsid w:val="00F66C53"/>
    <w:rsid w:val="00F66C63"/>
    <w:rsid w:val="00F66C81"/>
    <w:rsid w:val="00F66D66"/>
    <w:rsid w:val="00F66E32"/>
    <w:rsid w:val="00F66EF2"/>
    <w:rsid w:val="00F6713A"/>
    <w:rsid w:val="00F67486"/>
    <w:rsid w:val="00F674B3"/>
    <w:rsid w:val="00F675E2"/>
    <w:rsid w:val="00F676B2"/>
    <w:rsid w:val="00F67745"/>
    <w:rsid w:val="00F678B7"/>
    <w:rsid w:val="00F679CA"/>
    <w:rsid w:val="00F67A67"/>
    <w:rsid w:val="00F67ADC"/>
    <w:rsid w:val="00F67D74"/>
    <w:rsid w:val="00F67F6D"/>
    <w:rsid w:val="00F702C7"/>
    <w:rsid w:val="00F705AA"/>
    <w:rsid w:val="00F7087C"/>
    <w:rsid w:val="00F70941"/>
    <w:rsid w:val="00F70AB9"/>
    <w:rsid w:val="00F70B60"/>
    <w:rsid w:val="00F70B75"/>
    <w:rsid w:val="00F70DBB"/>
    <w:rsid w:val="00F70FFC"/>
    <w:rsid w:val="00F71115"/>
    <w:rsid w:val="00F71191"/>
    <w:rsid w:val="00F71332"/>
    <w:rsid w:val="00F714AB"/>
    <w:rsid w:val="00F714F7"/>
    <w:rsid w:val="00F7151F"/>
    <w:rsid w:val="00F715EC"/>
    <w:rsid w:val="00F7168D"/>
    <w:rsid w:val="00F7172D"/>
    <w:rsid w:val="00F7188D"/>
    <w:rsid w:val="00F7194A"/>
    <w:rsid w:val="00F71E97"/>
    <w:rsid w:val="00F71F68"/>
    <w:rsid w:val="00F7209F"/>
    <w:rsid w:val="00F72106"/>
    <w:rsid w:val="00F72158"/>
    <w:rsid w:val="00F722EE"/>
    <w:rsid w:val="00F72359"/>
    <w:rsid w:val="00F723BC"/>
    <w:rsid w:val="00F72707"/>
    <w:rsid w:val="00F7277B"/>
    <w:rsid w:val="00F72830"/>
    <w:rsid w:val="00F72843"/>
    <w:rsid w:val="00F729B9"/>
    <w:rsid w:val="00F72A55"/>
    <w:rsid w:val="00F72A7C"/>
    <w:rsid w:val="00F72DFB"/>
    <w:rsid w:val="00F72E11"/>
    <w:rsid w:val="00F72EE0"/>
    <w:rsid w:val="00F72F58"/>
    <w:rsid w:val="00F72F64"/>
    <w:rsid w:val="00F730D8"/>
    <w:rsid w:val="00F73214"/>
    <w:rsid w:val="00F73295"/>
    <w:rsid w:val="00F7336E"/>
    <w:rsid w:val="00F733F7"/>
    <w:rsid w:val="00F7360E"/>
    <w:rsid w:val="00F736E2"/>
    <w:rsid w:val="00F7377F"/>
    <w:rsid w:val="00F739A5"/>
    <w:rsid w:val="00F73A53"/>
    <w:rsid w:val="00F73B25"/>
    <w:rsid w:val="00F73C92"/>
    <w:rsid w:val="00F73D17"/>
    <w:rsid w:val="00F73D54"/>
    <w:rsid w:val="00F73E2D"/>
    <w:rsid w:val="00F73E47"/>
    <w:rsid w:val="00F742A1"/>
    <w:rsid w:val="00F742C9"/>
    <w:rsid w:val="00F74473"/>
    <w:rsid w:val="00F744EE"/>
    <w:rsid w:val="00F747A6"/>
    <w:rsid w:val="00F7490D"/>
    <w:rsid w:val="00F74A0B"/>
    <w:rsid w:val="00F74AA4"/>
    <w:rsid w:val="00F74CEC"/>
    <w:rsid w:val="00F74E62"/>
    <w:rsid w:val="00F74FB5"/>
    <w:rsid w:val="00F751BE"/>
    <w:rsid w:val="00F754BC"/>
    <w:rsid w:val="00F75645"/>
    <w:rsid w:val="00F75906"/>
    <w:rsid w:val="00F759C0"/>
    <w:rsid w:val="00F75B6D"/>
    <w:rsid w:val="00F75D92"/>
    <w:rsid w:val="00F75E7C"/>
    <w:rsid w:val="00F75F09"/>
    <w:rsid w:val="00F75F5D"/>
    <w:rsid w:val="00F75FFB"/>
    <w:rsid w:val="00F76056"/>
    <w:rsid w:val="00F760E4"/>
    <w:rsid w:val="00F7634F"/>
    <w:rsid w:val="00F7638B"/>
    <w:rsid w:val="00F76406"/>
    <w:rsid w:val="00F768E7"/>
    <w:rsid w:val="00F76B36"/>
    <w:rsid w:val="00F76F86"/>
    <w:rsid w:val="00F77021"/>
    <w:rsid w:val="00F77168"/>
    <w:rsid w:val="00F7731F"/>
    <w:rsid w:val="00F773B2"/>
    <w:rsid w:val="00F7763A"/>
    <w:rsid w:val="00F77679"/>
    <w:rsid w:val="00F778AE"/>
    <w:rsid w:val="00F77D84"/>
    <w:rsid w:val="00F77F4B"/>
    <w:rsid w:val="00F77F6E"/>
    <w:rsid w:val="00F77FE3"/>
    <w:rsid w:val="00F77FEB"/>
    <w:rsid w:val="00F8024C"/>
    <w:rsid w:val="00F80273"/>
    <w:rsid w:val="00F80471"/>
    <w:rsid w:val="00F80545"/>
    <w:rsid w:val="00F805B3"/>
    <w:rsid w:val="00F807C3"/>
    <w:rsid w:val="00F80854"/>
    <w:rsid w:val="00F80A68"/>
    <w:rsid w:val="00F80C48"/>
    <w:rsid w:val="00F80C79"/>
    <w:rsid w:val="00F80EBA"/>
    <w:rsid w:val="00F80F26"/>
    <w:rsid w:val="00F81475"/>
    <w:rsid w:val="00F81513"/>
    <w:rsid w:val="00F8182D"/>
    <w:rsid w:val="00F81A3B"/>
    <w:rsid w:val="00F81B43"/>
    <w:rsid w:val="00F81CAC"/>
    <w:rsid w:val="00F81DAC"/>
    <w:rsid w:val="00F820BC"/>
    <w:rsid w:val="00F821BE"/>
    <w:rsid w:val="00F821FB"/>
    <w:rsid w:val="00F8245F"/>
    <w:rsid w:val="00F82545"/>
    <w:rsid w:val="00F8263B"/>
    <w:rsid w:val="00F8265B"/>
    <w:rsid w:val="00F82795"/>
    <w:rsid w:val="00F828D6"/>
    <w:rsid w:val="00F8293D"/>
    <w:rsid w:val="00F82CFA"/>
    <w:rsid w:val="00F82F4F"/>
    <w:rsid w:val="00F83054"/>
    <w:rsid w:val="00F8309F"/>
    <w:rsid w:val="00F83395"/>
    <w:rsid w:val="00F83424"/>
    <w:rsid w:val="00F834CF"/>
    <w:rsid w:val="00F8376A"/>
    <w:rsid w:val="00F8387B"/>
    <w:rsid w:val="00F83A3F"/>
    <w:rsid w:val="00F83A74"/>
    <w:rsid w:val="00F83C7F"/>
    <w:rsid w:val="00F83C98"/>
    <w:rsid w:val="00F83E11"/>
    <w:rsid w:val="00F83E27"/>
    <w:rsid w:val="00F83FC8"/>
    <w:rsid w:val="00F840EA"/>
    <w:rsid w:val="00F84191"/>
    <w:rsid w:val="00F841E5"/>
    <w:rsid w:val="00F8421C"/>
    <w:rsid w:val="00F84254"/>
    <w:rsid w:val="00F842D4"/>
    <w:rsid w:val="00F844AE"/>
    <w:rsid w:val="00F846AE"/>
    <w:rsid w:val="00F8473C"/>
    <w:rsid w:val="00F8479C"/>
    <w:rsid w:val="00F84864"/>
    <w:rsid w:val="00F848F1"/>
    <w:rsid w:val="00F8492F"/>
    <w:rsid w:val="00F84C81"/>
    <w:rsid w:val="00F84D9E"/>
    <w:rsid w:val="00F84DE6"/>
    <w:rsid w:val="00F85120"/>
    <w:rsid w:val="00F85416"/>
    <w:rsid w:val="00F8559C"/>
    <w:rsid w:val="00F85BC9"/>
    <w:rsid w:val="00F85DF1"/>
    <w:rsid w:val="00F85E85"/>
    <w:rsid w:val="00F8625A"/>
    <w:rsid w:val="00F862B6"/>
    <w:rsid w:val="00F86485"/>
    <w:rsid w:val="00F86600"/>
    <w:rsid w:val="00F86741"/>
    <w:rsid w:val="00F86893"/>
    <w:rsid w:val="00F86A79"/>
    <w:rsid w:val="00F86A9A"/>
    <w:rsid w:val="00F86B26"/>
    <w:rsid w:val="00F86E62"/>
    <w:rsid w:val="00F86EBD"/>
    <w:rsid w:val="00F86EC9"/>
    <w:rsid w:val="00F86ED9"/>
    <w:rsid w:val="00F86F88"/>
    <w:rsid w:val="00F873CD"/>
    <w:rsid w:val="00F873E3"/>
    <w:rsid w:val="00F874D2"/>
    <w:rsid w:val="00F876EA"/>
    <w:rsid w:val="00F87769"/>
    <w:rsid w:val="00F879A5"/>
    <w:rsid w:val="00F87A2E"/>
    <w:rsid w:val="00F87AF3"/>
    <w:rsid w:val="00F87BD6"/>
    <w:rsid w:val="00F87E27"/>
    <w:rsid w:val="00F900AF"/>
    <w:rsid w:val="00F90264"/>
    <w:rsid w:val="00F902C9"/>
    <w:rsid w:val="00F902E4"/>
    <w:rsid w:val="00F90600"/>
    <w:rsid w:val="00F90603"/>
    <w:rsid w:val="00F90758"/>
    <w:rsid w:val="00F90791"/>
    <w:rsid w:val="00F9081C"/>
    <w:rsid w:val="00F90A6A"/>
    <w:rsid w:val="00F90B2D"/>
    <w:rsid w:val="00F90B60"/>
    <w:rsid w:val="00F90C4F"/>
    <w:rsid w:val="00F90DAA"/>
    <w:rsid w:val="00F911F0"/>
    <w:rsid w:val="00F9121F"/>
    <w:rsid w:val="00F9130B"/>
    <w:rsid w:val="00F914CB"/>
    <w:rsid w:val="00F9167E"/>
    <w:rsid w:val="00F91B04"/>
    <w:rsid w:val="00F91D08"/>
    <w:rsid w:val="00F92093"/>
    <w:rsid w:val="00F923E6"/>
    <w:rsid w:val="00F92475"/>
    <w:rsid w:val="00F92540"/>
    <w:rsid w:val="00F926A5"/>
    <w:rsid w:val="00F92797"/>
    <w:rsid w:val="00F9297A"/>
    <w:rsid w:val="00F929A6"/>
    <w:rsid w:val="00F929E1"/>
    <w:rsid w:val="00F92A27"/>
    <w:rsid w:val="00F92A3A"/>
    <w:rsid w:val="00F92BC5"/>
    <w:rsid w:val="00F92D79"/>
    <w:rsid w:val="00F92E89"/>
    <w:rsid w:val="00F92FC2"/>
    <w:rsid w:val="00F92FDD"/>
    <w:rsid w:val="00F93037"/>
    <w:rsid w:val="00F9304B"/>
    <w:rsid w:val="00F93310"/>
    <w:rsid w:val="00F93593"/>
    <w:rsid w:val="00F9373B"/>
    <w:rsid w:val="00F93825"/>
    <w:rsid w:val="00F93829"/>
    <w:rsid w:val="00F939D7"/>
    <w:rsid w:val="00F93B2B"/>
    <w:rsid w:val="00F9412F"/>
    <w:rsid w:val="00F94136"/>
    <w:rsid w:val="00F94148"/>
    <w:rsid w:val="00F9428C"/>
    <w:rsid w:val="00F94496"/>
    <w:rsid w:val="00F944ED"/>
    <w:rsid w:val="00F9473E"/>
    <w:rsid w:val="00F94943"/>
    <w:rsid w:val="00F94AE7"/>
    <w:rsid w:val="00F94AEF"/>
    <w:rsid w:val="00F94C60"/>
    <w:rsid w:val="00F94C82"/>
    <w:rsid w:val="00F94EB1"/>
    <w:rsid w:val="00F9505A"/>
    <w:rsid w:val="00F95107"/>
    <w:rsid w:val="00F95268"/>
    <w:rsid w:val="00F95622"/>
    <w:rsid w:val="00F956AD"/>
    <w:rsid w:val="00F957B5"/>
    <w:rsid w:val="00F957C8"/>
    <w:rsid w:val="00F958DA"/>
    <w:rsid w:val="00F95A5C"/>
    <w:rsid w:val="00F95F4B"/>
    <w:rsid w:val="00F96144"/>
    <w:rsid w:val="00F96449"/>
    <w:rsid w:val="00F964DE"/>
    <w:rsid w:val="00F9654F"/>
    <w:rsid w:val="00F965E4"/>
    <w:rsid w:val="00F96646"/>
    <w:rsid w:val="00F96683"/>
    <w:rsid w:val="00F96758"/>
    <w:rsid w:val="00F9677C"/>
    <w:rsid w:val="00F967B3"/>
    <w:rsid w:val="00F9697B"/>
    <w:rsid w:val="00F969D0"/>
    <w:rsid w:val="00F96A96"/>
    <w:rsid w:val="00F96A9D"/>
    <w:rsid w:val="00F96B01"/>
    <w:rsid w:val="00F96B50"/>
    <w:rsid w:val="00F96C72"/>
    <w:rsid w:val="00F96D67"/>
    <w:rsid w:val="00F96E0E"/>
    <w:rsid w:val="00F96E4C"/>
    <w:rsid w:val="00F96F59"/>
    <w:rsid w:val="00F97368"/>
    <w:rsid w:val="00F973DD"/>
    <w:rsid w:val="00F9741C"/>
    <w:rsid w:val="00F97600"/>
    <w:rsid w:val="00F9762E"/>
    <w:rsid w:val="00F977D6"/>
    <w:rsid w:val="00F97805"/>
    <w:rsid w:val="00F9784F"/>
    <w:rsid w:val="00F9793F"/>
    <w:rsid w:val="00F9795E"/>
    <w:rsid w:val="00F979B4"/>
    <w:rsid w:val="00F97AD1"/>
    <w:rsid w:val="00F97CAE"/>
    <w:rsid w:val="00F97E8F"/>
    <w:rsid w:val="00F97E91"/>
    <w:rsid w:val="00F97F0C"/>
    <w:rsid w:val="00F97FB9"/>
    <w:rsid w:val="00FA0023"/>
    <w:rsid w:val="00FA01C3"/>
    <w:rsid w:val="00FA02A4"/>
    <w:rsid w:val="00FA0315"/>
    <w:rsid w:val="00FA0694"/>
    <w:rsid w:val="00FA0754"/>
    <w:rsid w:val="00FA0796"/>
    <w:rsid w:val="00FA0898"/>
    <w:rsid w:val="00FA0A1F"/>
    <w:rsid w:val="00FA0A41"/>
    <w:rsid w:val="00FA0AE4"/>
    <w:rsid w:val="00FA0C37"/>
    <w:rsid w:val="00FA0CA6"/>
    <w:rsid w:val="00FA10B3"/>
    <w:rsid w:val="00FA118D"/>
    <w:rsid w:val="00FA1249"/>
    <w:rsid w:val="00FA13B9"/>
    <w:rsid w:val="00FA166B"/>
    <w:rsid w:val="00FA1758"/>
    <w:rsid w:val="00FA1852"/>
    <w:rsid w:val="00FA1A43"/>
    <w:rsid w:val="00FA1A82"/>
    <w:rsid w:val="00FA1AC9"/>
    <w:rsid w:val="00FA1C8D"/>
    <w:rsid w:val="00FA2090"/>
    <w:rsid w:val="00FA2180"/>
    <w:rsid w:val="00FA21D7"/>
    <w:rsid w:val="00FA222B"/>
    <w:rsid w:val="00FA22B2"/>
    <w:rsid w:val="00FA23E5"/>
    <w:rsid w:val="00FA24B5"/>
    <w:rsid w:val="00FA261E"/>
    <w:rsid w:val="00FA2B67"/>
    <w:rsid w:val="00FA2C65"/>
    <w:rsid w:val="00FA2D97"/>
    <w:rsid w:val="00FA2EC7"/>
    <w:rsid w:val="00FA2F0D"/>
    <w:rsid w:val="00FA2FA2"/>
    <w:rsid w:val="00FA31FA"/>
    <w:rsid w:val="00FA33B2"/>
    <w:rsid w:val="00FA3421"/>
    <w:rsid w:val="00FA342A"/>
    <w:rsid w:val="00FA3472"/>
    <w:rsid w:val="00FA34F9"/>
    <w:rsid w:val="00FA3506"/>
    <w:rsid w:val="00FA35B6"/>
    <w:rsid w:val="00FA36F6"/>
    <w:rsid w:val="00FA372B"/>
    <w:rsid w:val="00FA3836"/>
    <w:rsid w:val="00FA3904"/>
    <w:rsid w:val="00FA3A28"/>
    <w:rsid w:val="00FA3C1F"/>
    <w:rsid w:val="00FA3CBC"/>
    <w:rsid w:val="00FA3CCC"/>
    <w:rsid w:val="00FA3EAD"/>
    <w:rsid w:val="00FA3F06"/>
    <w:rsid w:val="00FA3F55"/>
    <w:rsid w:val="00FA426A"/>
    <w:rsid w:val="00FA443C"/>
    <w:rsid w:val="00FA4698"/>
    <w:rsid w:val="00FA479C"/>
    <w:rsid w:val="00FA4C3C"/>
    <w:rsid w:val="00FA4C80"/>
    <w:rsid w:val="00FA4D08"/>
    <w:rsid w:val="00FA4F9E"/>
    <w:rsid w:val="00FA51AB"/>
    <w:rsid w:val="00FA52F4"/>
    <w:rsid w:val="00FA5313"/>
    <w:rsid w:val="00FA5973"/>
    <w:rsid w:val="00FA5B2E"/>
    <w:rsid w:val="00FA5D6C"/>
    <w:rsid w:val="00FA5EDC"/>
    <w:rsid w:val="00FA603C"/>
    <w:rsid w:val="00FA63CD"/>
    <w:rsid w:val="00FA6532"/>
    <w:rsid w:val="00FA6797"/>
    <w:rsid w:val="00FA67BA"/>
    <w:rsid w:val="00FA67D4"/>
    <w:rsid w:val="00FA68C2"/>
    <w:rsid w:val="00FA6B5A"/>
    <w:rsid w:val="00FA6C03"/>
    <w:rsid w:val="00FA6F1D"/>
    <w:rsid w:val="00FA6F6C"/>
    <w:rsid w:val="00FA6FB2"/>
    <w:rsid w:val="00FA78F4"/>
    <w:rsid w:val="00FA7A6E"/>
    <w:rsid w:val="00FA7CE4"/>
    <w:rsid w:val="00FA7D4D"/>
    <w:rsid w:val="00FA7DCB"/>
    <w:rsid w:val="00FA7F18"/>
    <w:rsid w:val="00FB020F"/>
    <w:rsid w:val="00FB0302"/>
    <w:rsid w:val="00FB0667"/>
    <w:rsid w:val="00FB094B"/>
    <w:rsid w:val="00FB097E"/>
    <w:rsid w:val="00FB0A95"/>
    <w:rsid w:val="00FB0BF4"/>
    <w:rsid w:val="00FB0C8A"/>
    <w:rsid w:val="00FB0E01"/>
    <w:rsid w:val="00FB0E33"/>
    <w:rsid w:val="00FB1181"/>
    <w:rsid w:val="00FB143A"/>
    <w:rsid w:val="00FB146B"/>
    <w:rsid w:val="00FB14BE"/>
    <w:rsid w:val="00FB1975"/>
    <w:rsid w:val="00FB21B6"/>
    <w:rsid w:val="00FB21D3"/>
    <w:rsid w:val="00FB2694"/>
    <w:rsid w:val="00FB2A9F"/>
    <w:rsid w:val="00FB2B18"/>
    <w:rsid w:val="00FB2C8E"/>
    <w:rsid w:val="00FB2E21"/>
    <w:rsid w:val="00FB2E7F"/>
    <w:rsid w:val="00FB3077"/>
    <w:rsid w:val="00FB3168"/>
    <w:rsid w:val="00FB323C"/>
    <w:rsid w:val="00FB34E8"/>
    <w:rsid w:val="00FB3565"/>
    <w:rsid w:val="00FB3621"/>
    <w:rsid w:val="00FB377E"/>
    <w:rsid w:val="00FB3B39"/>
    <w:rsid w:val="00FB3C95"/>
    <w:rsid w:val="00FB3D94"/>
    <w:rsid w:val="00FB3E1F"/>
    <w:rsid w:val="00FB3E39"/>
    <w:rsid w:val="00FB3EF6"/>
    <w:rsid w:val="00FB3FBD"/>
    <w:rsid w:val="00FB404E"/>
    <w:rsid w:val="00FB40C8"/>
    <w:rsid w:val="00FB40F1"/>
    <w:rsid w:val="00FB4450"/>
    <w:rsid w:val="00FB44DC"/>
    <w:rsid w:val="00FB4756"/>
    <w:rsid w:val="00FB476D"/>
    <w:rsid w:val="00FB495D"/>
    <w:rsid w:val="00FB4962"/>
    <w:rsid w:val="00FB4B67"/>
    <w:rsid w:val="00FB4E60"/>
    <w:rsid w:val="00FB4FBE"/>
    <w:rsid w:val="00FB5008"/>
    <w:rsid w:val="00FB56D1"/>
    <w:rsid w:val="00FB58A8"/>
    <w:rsid w:val="00FB594B"/>
    <w:rsid w:val="00FB5AA5"/>
    <w:rsid w:val="00FB61FA"/>
    <w:rsid w:val="00FB653C"/>
    <w:rsid w:val="00FB659E"/>
    <w:rsid w:val="00FB68DE"/>
    <w:rsid w:val="00FB6C62"/>
    <w:rsid w:val="00FB6C72"/>
    <w:rsid w:val="00FB6C93"/>
    <w:rsid w:val="00FB6E76"/>
    <w:rsid w:val="00FB7080"/>
    <w:rsid w:val="00FB70B7"/>
    <w:rsid w:val="00FB7484"/>
    <w:rsid w:val="00FB74CF"/>
    <w:rsid w:val="00FB7514"/>
    <w:rsid w:val="00FB756D"/>
    <w:rsid w:val="00FB766A"/>
    <w:rsid w:val="00FB7C1A"/>
    <w:rsid w:val="00FB7C1D"/>
    <w:rsid w:val="00FB7D4D"/>
    <w:rsid w:val="00FB7D64"/>
    <w:rsid w:val="00FB7EB7"/>
    <w:rsid w:val="00FB7F13"/>
    <w:rsid w:val="00FC0097"/>
    <w:rsid w:val="00FC009D"/>
    <w:rsid w:val="00FC05E3"/>
    <w:rsid w:val="00FC060B"/>
    <w:rsid w:val="00FC0696"/>
    <w:rsid w:val="00FC073A"/>
    <w:rsid w:val="00FC0769"/>
    <w:rsid w:val="00FC0896"/>
    <w:rsid w:val="00FC089F"/>
    <w:rsid w:val="00FC0945"/>
    <w:rsid w:val="00FC09AD"/>
    <w:rsid w:val="00FC0A4A"/>
    <w:rsid w:val="00FC0D4B"/>
    <w:rsid w:val="00FC0D54"/>
    <w:rsid w:val="00FC102F"/>
    <w:rsid w:val="00FC1037"/>
    <w:rsid w:val="00FC1263"/>
    <w:rsid w:val="00FC1490"/>
    <w:rsid w:val="00FC14A0"/>
    <w:rsid w:val="00FC15CF"/>
    <w:rsid w:val="00FC15F5"/>
    <w:rsid w:val="00FC161F"/>
    <w:rsid w:val="00FC171D"/>
    <w:rsid w:val="00FC19C1"/>
    <w:rsid w:val="00FC19F9"/>
    <w:rsid w:val="00FC1AE3"/>
    <w:rsid w:val="00FC1B26"/>
    <w:rsid w:val="00FC1D9D"/>
    <w:rsid w:val="00FC1E57"/>
    <w:rsid w:val="00FC1E68"/>
    <w:rsid w:val="00FC1E95"/>
    <w:rsid w:val="00FC22D8"/>
    <w:rsid w:val="00FC2336"/>
    <w:rsid w:val="00FC239A"/>
    <w:rsid w:val="00FC265E"/>
    <w:rsid w:val="00FC26C6"/>
    <w:rsid w:val="00FC27FB"/>
    <w:rsid w:val="00FC27FF"/>
    <w:rsid w:val="00FC2B63"/>
    <w:rsid w:val="00FC2BAD"/>
    <w:rsid w:val="00FC2C3F"/>
    <w:rsid w:val="00FC2D29"/>
    <w:rsid w:val="00FC2F43"/>
    <w:rsid w:val="00FC30BB"/>
    <w:rsid w:val="00FC31CD"/>
    <w:rsid w:val="00FC32C4"/>
    <w:rsid w:val="00FC32F6"/>
    <w:rsid w:val="00FC3466"/>
    <w:rsid w:val="00FC34A1"/>
    <w:rsid w:val="00FC370B"/>
    <w:rsid w:val="00FC37C5"/>
    <w:rsid w:val="00FC37ED"/>
    <w:rsid w:val="00FC384D"/>
    <w:rsid w:val="00FC3957"/>
    <w:rsid w:val="00FC3961"/>
    <w:rsid w:val="00FC3970"/>
    <w:rsid w:val="00FC397A"/>
    <w:rsid w:val="00FC39AE"/>
    <w:rsid w:val="00FC3AFE"/>
    <w:rsid w:val="00FC3B01"/>
    <w:rsid w:val="00FC3B61"/>
    <w:rsid w:val="00FC4319"/>
    <w:rsid w:val="00FC4481"/>
    <w:rsid w:val="00FC45D7"/>
    <w:rsid w:val="00FC471D"/>
    <w:rsid w:val="00FC47AC"/>
    <w:rsid w:val="00FC4955"/>
    <w:rsid w:val="00FC4A75"/>
    <w:rsid w:val="00FC4AE0"/>
    <w:rsid w:val="00FC4AE9"/>
    <w:rsid w:val="00FC4AEF"/>
    <w:rsid w:val="00FC4BC3"/>
    <w:rsid w:val="00FC4BF8"/>
    <w:rsid w:val="00FC4CD1"/>
    <w:rsid w:val="00FC4FE3"/>
    <w:rsid w:val="00FC5183"/>
    <w:rsid w:val="00FC51D3"/>
    <w:rsid w:val="00FC5301"/>
    <w:rsid w:val="00FC5317"/>
    <w:rsid w:val="00FC5393"/>
    <w:rsid w:val="00FC5397"/>
    <w:rsid w:val="00FC56C0"/>
    <w:rsid w:val="00FC59D7"/>
    <w:rsid w:val="00FC5D52"/>
    <w:rsid w:val="00FC5D74"/>
    <w:rsid w:val="00FC5FF9"/>
    <w:rsid w:val="00FC60B8"/>
    <w:rsid w:val="00FC60FA"/>
    <w:rsid w:val="00FC63CF"/>
    <w:rsid w:val="00FC663E"/>
    <w:rsid w:val="00FC691A"/>
    <w:rsid w:val="00FC695C"/>
    <w:rsid w:val="00FC6C1E"/>
    <w:rsid w:val="00FC6D4C"/>
    <w:rsid w:val="00FC6D62"/>
    <w:rsid w:val="00FC6DD2"/>
    <w:rsid w:val="00FC6EA9"/>
    <w:rsid w:val="00FC6F1F"/>
    <w:rsid w:val="00FC70D2"/>
    <w:rsid w:val="00FC724A"/>
    <w:rsid w:val="00FC725B"/>
    <w:rsid w:val="00FC7345"/>
    <w:rsid w:val="00FC7352"/>
    <w:rsid w:val="00FC7576"/>
    <w:rsid w:val="00FC75D4"/>
    <w:rsid w:val="00FC7690"/>
    <w:rsid w:val="00FC76C1"/>
    <w:rsid w:val="00FC7706"/>
    <w:rsid w:val="00FC77B4"/>
    <w:rsid w:val="00FC7875"/>
    <w:rsid w:val="00FC78BD"/>
    <w:rsid w:val="00FC7976"/>
    <w:rsid w:val="00FC7A87"/>
    <w:rsid w:val="00FD000A"/>
    <w:rsid w:val="00FD0092"/>
    <w:rsid w:val="00FD0329"/>
    <w:rsid w:val="00FD06DA"/>
    <w:rsid w:val="00FD0829"/>
    <w:rsid w:val="00FD0AC4"/>
    <w:rsid w:val="00FD0B08"/>
    <w:rsid w:val="00FD0B70"/>
    <w:rsid w:val="00FD0C16"/>
    <w:rsid w:val="00FD0C36"/>
    <w:rsid w:val="00FD0C7D"/>
    <w:rsid w:val="00FD0EE1"/>
    <w:rsid w:val="00FD0F0F"/>
    <w:rsid w:val="00FD103C"/>
    <w:rsid w:val="00FD1062"/>
    <w:rsid w:val="00FD1072"/>
    <w:rsid w:val="00FD10CA"/>
    <w:rsid w:val="00FD11D4"/>
    <w:rsid w:val="00FD1209"/>
    <w:rsid w:val="00FD1580"/>
    <w:rsid w:val="00FD1810"/>
    <w:rsid w:val="00FD1BB9"/>
    <w:rsid w:val="00FD1BDF"/>
    <w:rsid w:val="00FD1D35"/>
    <w:rsid w:val="00FD1E62"/>
    <w:rsid w:val="00FD1F6F"/>
    <w:rsid w:val="00FD1FA6"/>
    <w:rsid w:val="00FD235A"/>
    <w:rsid w:val="00FD23DF"/>
    <w:rsid w:val="00FD24C0"/>
    <w:rsid w:val="00FD251E"/>
    <w:rsid w:val="00FD298C"/>
    <w:rsid w:val="00FD2AB0"/>
    <w:rsid w:val="00FD2B30"/>
    <w:rsid w:val="00FD2C82"/>
    <w:rsid w:val="00FD2D4D"/>
    <w:rsid w:val="00FD2DA0"/>
    <w:rsid w:val="00FD2DD8"/>
    <w:rsid w:val="00FD2F32"/>
    <w:rsid w:val="00FD332B"/>
    <w:rsid w:val="00FD3444"/>
    <w:rsid w:val="00FD362F"/>
    <w:rsid w:val="00FD376C"/>
    <w:rsid w:val="00FD37A0"/>
    <w:rsid w:val="00FD39C1"/>
    <w:rsid w:val="00FD3A20"/>
    <w:rsid w:val="00FD3B5C"/>
    <w:rsid w:val="00FD3BF3"/>
    <w:rsid w:val="00FD3D81"/>
    <w:rsid w:val="00FD3E54"/>
    <w:rsid w:val="00FD3E94"/>
    <w:rsid w:val="00FD4532"/>
    <w:rsid w:val="00FD45A6"/>
    <w:rsid w:val="00FD4795"/>
    <w:rsid w:val="00FD487F"/>
    <w:rsid w:val="00FD4969"/>
    <w:rsid w:val="00FD49A2"/>
    <w:rsid w:val="00FD4AB0"/>
    <w:rsid w:val="00FD4DD9"/>
    <w:rsid w:val="00FD4E19"/>
    <w:rsid w:val="00FD4E6E"/>
    <w:rsid w:val="00FD4F27"/>
    <w:rsid w:val="00FD5047"/>
    <w:rsid w:val="00FD51D3"/>
    <w:rsid w:val="00FD5301"/>
    <w:rsid w:val="00FD53AE"/>
    <w:rsid w:val="00FD5481"/>
    <w:rsid w:val="00FD5779"/>
    <w:rsid w:val="00FD5A32"/>
    <w:rsid w:val="00FD5A7A"/>
    <w:rsid w:val="00FD5C98"/>
    <w:rsid w:val="00FD5E76"/>
    <w:rsid w:val="00FD6033"/>
    <w:rsid w:val="00FD6037"/>
    <w:rsid w:val="00FD61A0"/>
    <w:rsid w:val="00FD62EB"/>
    <w:rsid w:val="00FD661E"/>
    <w:rsid w:val="00FD675B"/>
    <w:rsid w:val="00FD67AA"/>
    <w:rsid w:val="00FD68B3"/>
    <w:rsid w:val="00FD69FD"/>
    <w:rsid w:val="00FD6B26"/>
    <w:rsid w:val="00FD6D81"/>
    <w:rsid w:val="00FD6E13"/>
    <w:rsid w:val="00FD6E82"/>
    <w:rsid w:val="00FD6F47"/>
    <w:rsid w:val="00FD7291"/>
    <w:rsid w:val="00FD750C"/>
    <w:rsid w:val="00FD75C4"/>
    <w:rsid w:val="00FD76BD"/>
    <w:rsid w:val="00FD7741"/>
    <w:rsid w:val="00FD78CE"/>
    <w:rsid w:val="00FD7A81"/>
    <w:rsid w:val="00FD7B29"/>
    <w:rsid w:val="00FD7BC5"/>
    <w:rsid w:val="00FD7D19"/>
    <w:rsid w:val="00FD7D40"/>
    <w:rsid w:val="00FD7DE0"/>
    <w:rsid w:val="00FD7E8F"/>
    <w:rsid w:val="00FE01E8"/>
    <w:rsid w:val="00FE02AD"/>
    <w:rsid w:val="00FE03AF"/>
    <w:rsid w:val="00FE03C8"/>
    <w:rsid w:val="00FE04AA"/>
    <w:rsid w:val="00FE073F"/>
    <w:rsid w:val="00FE08D1"/>
    <w:rsid w:val="00FE0998"/>
    <w:rsid w:val="00FE0AB3"/>
    <w:rsid w:val="00FE0C4D"/>
    <w:rsid w:val="00FE0E7C"/>
    <w:rsid w:val="00FE1424"/>
    <w:rsid w:val="00FE16F2"/>
    <w:rsid w:val="00FE1774"/>
    <w:rsid w:val="00FE1800"/>
    <w:rsid w:val="00FE1861"/>
    <w:rsid w:val="00FE1B0B"/>
    <w:rsid w:val="00FE1C12"/>
    <w:rsid w:val="00FE1CF1"/>
    <w:rsid w:val="00FE1E46"/>
    <w:rsid w:val="00FE1E8D"/>
    <w:rsid w:val="00FE1F36"/>
    <w:rsid w:val="00FE20F7"/>
    <w:rsid w:val="00FE2183"/>
    <w:rsid w:val="00FE21A5"/>
    <w:rsid w:val="00FE22E7"/>
    <w:rsid w:val="00FE2697"/>
    <w:rsid w:val="00FE2829"/>
    <w:rsid w:val="00FE2873"/>
    <w:rsid w:val="00FE2956"/>
    <w:rsid w:val="00FE2AFF"/>
    <w:rsid w:val="00FE2B2C"/>
    <w:rsid w:val="00FE2BED"/>
    <w:rsid w:val="00FE2CDD"/>
    <w:rsid w:val="00FE2E09"/>
    <w:rsid w:val="00FE2EBA"/>
    <w:rsid w:val="00FE33F8"/>
    <w:rsid w:val="00FE3450"/>
    <w:rsid w:val="00FE3679"/>
    <w:rsid w:val="00FE36B4"/>
    <w:rsid w:val="00FE36D3"/>
    <w:rsid w:val="00FE3916"/>
    <w:rsid w:val="00FE39DB"/>
    <w:rsid w:val="00FE39F1"/>
    <w:rsid w:val="00FE3AFC"/>
    <w:rsid w:val="00FE3C13"/>
    <w:rsid w:val="00FE3C5D"/>
    <w:rsid w:val="00FE3DC0"/>
    <w:rsid w:val="00FE3F73"/>
    <w:rsid w:val="00FE3FBD"/>
    <w:rsid w:val="00FE42B2"/>
    <w:rsid w:val="00FE46BD"/>
    <w:rsid w:val="00FE46C4"/>
    <w:rsid w:val="00FE47C6"/>
    <w:rsid w:val="00FE4853"/>
    <w:rsid w:val="00FE4CB3"/>
    <w:rsid w:val="00FE4E0B"/>
    <w:rsid w:val="00FE5095"/>
    <w:rsid w:val="00FE511F"/>
    <w:rsid w:val="00FE51A0"/>
    <w:rsid w:val="00FE5326"/>
    <w:rsid w:val="00FE5405"/>
    <w:rsid w:val="00FE54EA"/>
    <w:rsid w:val="00FE55B7"/>
    <w:rsid w:val="00FE59C1"/>
    <w:rsid w:val="00FE5A3C"/>
    <w:rsid w:val="00FE5AF8"/>
    <w:rsid w:val="00FE5CB6"/>
    <w:rsid w:val="00FE5D31"/>
    <w:rsid w:val="00FE5D93"/>
    <w:rsid w:val="00FE5DBF"/>
    <w:rsid w:val="00FE5EFA"/>
    <w:rsid w:val="00FE5F75"/>
    <w:rsid w:val="00FE6148"/>
    <w:rsid w:val="00FE615B"/>
    <w:rsid w:val="00FE61FB"/>
    <w:rsid w:val="00FE65A0"/>
    <w:rsid w:val="00FE6807"/>
    <w:rsid w:val="00FE6A9F"/>
    <w:rsid w:val="00FE6BBD"/>
    <w:rsid w:val="00FE6C83"/>
    <w:rsid w:val="00FE6D62"/>
    <w:rsid w:val="00FE6E5E"/>
    <w:rsid w:val="00FE6F23"/>
    <w:rsid w:val="00FE717E"/>
    <w:rsid w:val="00FE7435"/>
    <w:rsid w:val="00FE74F3"/>
    <w:rsid w:val="00FE752D"/>
    <w:rsid w:val="00FE76C2"/>
    <w:rsid w:val="00FE77D6"/>
    <w:rsid w:val="00FE787D"/>
    <w:rsid w:val="00FE78C2"/>
    <w:rsid w:val="00FE7C12"/>
    <w:rsid w:val="00FE7C4E"/>
    <w:rsid w:val="00FE7D47"/>
    <w:rsid w:val="00FE7D52"/>
    <w:rsid w:val="00FE7DBE"/>
    <w:rsid w:val="00FE7E17"/>
    <w:rsid w:val="00FE7EE3"/>
    <w:rsid w:val="00FF006F"/>
    <w:rsid w:val="00FF00CA"/>
    <w:rsid w:val="00FF0211"/>
    <w:rsid w:val="00FF0281"/>
    <w:rsid w:val="00FF0469"/>
    <w:rsid w:val="00FF0478"/>
    <w:rsid w:val="00FF04B0"/>
    <w:rsid w:val="00FF05BE"/>
    <w:rsid w:val="00FF09D4"/>
    <w:rsid w:val="00FF0C18"/>
    <w:rsid w:val="00FF0C26"/>
    <w:rsid w:val="00FF0C2F"/>
    <w:rsid w:val="00FF0CD4"/>
    <w:rsid w:val="00FF0CF5"/>
    <w:rsid w:val="00FF0D88"/>
    <w:rsid w:val="00FF0ECD"/>
    <w:rsid w:val="00FF0FD9"/>
    <w:rsid w:val="00FF1014"/>
    <w:rsid w:val="00FF11B7"/>
    <w:rsid w:val="00FF12CC"/>
    <w:rsid w:val="00FF135F"/>
    <w:rsid w:val="00FF142C"/>
    <w:rsid w:val="00FF14FD"/>
    <w:rsid w:val="00FF153B"/>
    <w:rsid w:val="00FF17DA"/>
    <w:rsid w:val="00FF18E2"/>
    <w:rsid w:val="00FF197C"/>
    <w:rsid w:val="00FF1A11"/>
    <w:rsid w:val="00FF1D1A"/>
    <w:rsid w:val="00FF1FB6"/>
    <w:rsid w:val="00FF20CC"/>
    <w:rsid w:val="00FF20F1"/>
    <w:rsid w:val="00FF2205"/>
    <w:rsid w:val="00FF2362"/>
    <w:rsid w:val="00FF23E3"/>
    <w:rsid w:val="00FF295B"/>
    <w:rsid w:val="00FF2A41"/>
    <w:rsid w:val="00FF2AD0"/>
    <w:rsid w:val="00FF2AEE"/>
    <w:rsid w:val="00FF2C05"/>
    <w:rsid w:val="00FF30C6"/>
    <w:rsid w:val="00FF3407"/>
    <w:rsid w:val="00FF34CA"/>
    <w:rsid w:val="00FF353C"/>
    <w:rsid w:val="00FF36EA"/>
    <w:rsid w:val="00FF377F"/>
    <w:rsid w:val="00FF3845"/>
    <w:rsid w:val="00FF3891"/>
    <w:rsid w:val="00FF394C"/>
    <w:rsid w:val="00FF3B82"/>
    <w:rsid w:val="00FF3C29"/>
    <w:rsid w:val="00FF3D40"/>
    <w:rsid w:val="00FF3D56"/>
    <w:rsid w:val="00FF3D7B"/>
    <w:rsid w:val="00FF3EC6"/>
    <w:rsid w:val="00FF4259"/>
    <w:rsid w:val="00FF42C6"/>
    <w:rsid w:val="00FF433E"/>
    <w:rsid w:val="00FF444F"/>
    <w:rsid w:val="00FF44BD"/>
    <w:rsid w:val="00FF46DF"/>
    <w:rsid w:val="00FF4742"/>
    <w:rsid w:val="00FF47D5"/>
    <w:rsid w:val="00FF48F7"/>
    <w:rsid w:val="00FF4A7E"/>
    <w:rsid w:val="00FF4B22"/>
    <w:rsid w:val="00FF4D7D"/>
    <w:rsid w:val="00FF4F91"/>
    <w:rsid w:val="00FF5092"/>
    <w:rsid w:val="00FF509A"/>
    <w:rsid w:val="00FF50FC"/>
    <w:rsid w:val="00FF51E2"/>
    <w:rsid w:val="00FF525A"/>
    <w:rsid w:val="00FF546B"/>
    <w:rsid w:val="00FF55CA"/>
    <w:rsid w:val="00FF596D"/>
    <w:rsid w:val="00FF5982"/>
    <w:rsid w:val="00FF5AF5"/>
    <w:rsid w:val="00FF5B00"/>
    <w:rsid w:val="00FF5BBF"/>
    <w:rsid w:val="00FF5F15"/>
    <w:rsid w:val="00FF5F74"/>
    <w:rsid w:val="00FF60F5"/>
    <w:rsid w:val="00FF611A"/>
    <w:rsid w:val="00FF626F"/>
    <w:rsid w:val="00FF628A"/>
    <w:rsid w:val="00FF63A8"/>
    <w:rsid w:val="00FF63FE"/>
    <w:rsid w:val="00FF653A"/>
    <w:rsid w:val="00FF6599"/>
    <w:rsid w:val="00FF659B"/>
    <w:rsid w:val="00FF6636"/>
    <w:rsid w:val="00FF668F"/>
    <w:rsid w:val="00FF6744"/>
    <w:rsid w:val="00FF6774"/>
    <w:rsid w:val="00FF68FE"/>
    <w:rsid w:val="00FF6994"/>
    <w:rsid w:val="00FF6B36"/>
    <w:rsid w:val="00FF6D7C"/>
    <w:rsid w:val="00FF6F32"/>
    <w:rsid w:val="00FF6F3E"/>
    <w:rsid w:val="00FF703B"/>
    <w:rsid w:val="00FF70E9"/>
    <w:rsid w:val="00FF7218"/>
    <w:rsid w:val="00FF7400"/>
    <w:rsid w:val="00FF7453"/>
    <w:rsid w:val="00FF76A0"/>
    <w:rsid w:val="00FF76F9"/>
    <w:rsid w:val="00FF7713"/>
    <w:rsid w:val="00FF79C5"/>
    <w:rsid w:val="00FF79F0"/>
    <w:rsid w:val="00FF7AB3"/>
    <w:rsid w:val="00FF7CF8"/>
    <w:rsid w:val="00FFECE4"/>
    <w:rsid w:val="010B8186"/>
    <w:rsid w:val="01326DC6"/>
    <w:rsid w:val="0158480B"/>
    <w:rsid w:val="01711FBE"/>
    <w:rsid w:val="017F0D5B"/>
    <w:rsid w:val="018A8420"/>
    <w:rsid w:val="01A3B144"/>
    <w:rsid w:val="01B5156C"/>
    <w:rsid w:val="01CAB6FE"/>
    <w:rsid w:val="01E3331E"/>
    <w:rsid w:val="0201C596"/>
    <w:rsid w:val="020EE6E2"/>
    <w:rsid w:val="02105982"/>
    <w:rsid w:val="0212B525"/>
    <w:rsid w:val="02331767"/>
    <w:rsid w:val="024AF1DD"/>
    <w:rsid w:val="02594D8F"/>
    <w:rsid w:val="028F7BB2"/>
    <w:rsid w:val="02D6BD64"/>
    <w:rsid w:val="02D7DF0F"/>
    <w:rsid w:val="02E6FF5A"/>
    <w:rsid w:val="02E854BC"/>
    <w:rsid w:val="03204DD0"/>
    <w:rsid w:val="03228C15"/>
    <w:rsid w:val="0362F5D7"/>
    <w:rsid w:val="037E0F9B"/>
    <w:rsid w:val="03BCD5DF"/>
    <w:rsid w:val="03C67C33"/>
    <w:rsid w:val="03CCA72E"/>
    <w:rsid w:val="03E49381"/>
    <w:rsid w:val="03F6B3A8"/>
    <w:rsid w:val="03FFC8CF"/>
    <w:rsid w:val="0402C929"/>
    <w:rsid w:val="04128013"/>
    <w:rsid w:val="04195748"/>
    <w:rsid w:val="04346ADB"/>
    <w:rsid w:val="046D685A"/>
    <w:rsid w:val="052DD2D7"/>
    <w:rsid w:val="05365A60"/>
    <w:rsid w:val="05555E5D"/>
    <w:rsid w:val="0555EB3F"/>
    <w:rsid w:val="055F8389"/>
    <w:rsid w:val="05AFA24E"/>
    <w:rsid w:val="05AFAD23"/>
    <w:rsid w:val="05C2A66D"/>
    <w:rsid w:val="05F8DA47"/>
    <w:rsid w:val="062C3F4B"/>
    <w:rsid w:val="06425991"/>
    <w:rsid w:val="06567F16"/>
    <w:rsid w:val="06CDE2A8"/>
    <w:rsid w:val="06E59B31"/>
    <w:rsid w:val="074FC351"/>
    <w:rsid w:val="077EE31B"/>
    <w:rsid w:val="0792F7EB"/>
    <w:rsid w:val="0795CE31"/>
    <w:rsid w:val="07AA127C"/>
    <w:rsid w:val="07B67FFF"/>
    <w:rsid w:val="07E55819"/>
    <w:rsid w:val="08085C77"/>
    <w:rsid w:val="081579A1"/>
    <w:rsid w:val="085F49A7"/>
    <w:rsid w:val="0866F853"/>
    <w:rsid w:val="0890C588"/>
    <w:rsid w:val="08930790"/>
    <w:rsid w:val="08A1C907"/>
    <w:rsid w:val="08B7040B"/>
    <w:rsid w:val="08C371EE"/>
    <w:rsid w:val="08D24850"/>
    <w:rsid w:val="08D5A2B8"/>
    <w:rsid w:val="08DD42FF"/>
    <w:rsid w:val="08E49BA1"/>
    <w:rsid w:val="08F7A14C"/>
    <w:rsid w:val="0925B79A"/>
    <w:rsid w:val="0947578C"/>
    <w:rsid w:val="0963BAEB"/>
    <w:rsid w:val="096F8D6D"/>
    <w:rsid w:val="097B0D6D"/>
    <w:rsid w:val="098A7FC6"/>
    <w:rsid w:val="09A1C036"/>
    <w:rsid w:val="09A44C95"/>
    <w:rsid w:val="09BA634D"/>
    <w:rsid w:val="09FF739A"/>
    <w:rsid w:val="0A12B109"/>
    <w:rsid w:val="0A151A51"/>
    <w:rsid w:val="0A4172C1"/>
    <w:rsid w:val="0A44E8BE"/>
    <w:rsid w:val="0A5D1513"/>
    <w:rsid w:val="0A5ED1A2"/>
    <w:rsid w:val="0A8ABB23"/>
    <w:rsid w:val="0A8EB69B"/>
    <w:rsid w:val="0AE8D6F6"/>
    <w:rsid w:val="0B25A099"/>
    <w:rsid w:val="0B27E2B8"/>
    <w:rsid w:val="0B8ECE83"/>
    <w:rsid w:val="0B931D63"/>
    <w:rsid w:val="0BA9F29D"/>
    <w:rsid w:val="0BAE901B"/>
    <w:rsid w:val="0BB5317C"/>
    <w:rsid w:val="0BCA130F"/>
    <w:rsid w:val="0BD6C0DA"/>
    <w:rsid w:val="0BF5DA84"/>
    <w:rsid w:val="0C59F6A9"/>
    <w:rsid w:val="0C7C24EE"/>
    <w:rsid w:val="0CB85604"/>
    <w:rsid w:val="0CD5C7E8"/>
    <w:rsid w:val="0D02B4A8"/>
    <w:rsid w:val="0D1E5487"/>
    <w:rsid w:val="0D30FE9B"/>
    <w:rsid w:val="0D5381DE"/>
    <w:rsid w:val="0D71CECC"/>
    <w:rsid w:val="0DA3866C"/>
    <w:rsid w:val="0DA4E60A"/>
    <w:rsid w:val="0DCF88F4"/>
    <w:rsid w:val="0DF0D63E"/>
    <w:rsid w:val="0DFACA5D"/>
    <w:rsid w:val="0E161ABF"/>
    <w:rsid w:val="0E26AD85"/>
    <w:rsid w:val="0E2C77F0"/>
    <w:rsid w:val="0E301C07"/>
    <w:rsid w:val="0E32A6C8"/>
    <w:rsid w:val="0E48DE47"/>
    <w:rsid w:val="0E8D65B5"/>
    <w:rsid w:val="0EB7ADC4"/>
    <w:rsid w:val="0EBE1165"/>
    <w:rsid w:val="0EBEC429"/>
    <w:rsid w:val="0EDCD9CE"/>
    <w:rsid w:val="0EFEFB12"/>
    <w:rsid w:val="0F01B3D1"/>
    <w:rsid w:val="0F1197D7"/>
    <w:rsid w:val="0F147AFA"/>
    <w:rsid w:val="0F28087D"/>
    <w:rsid w:val="0F470B88"/>
    <w:rsid w:val="0FAAD537"/>
    <w:rsid w:val="10048EAC"/>
    <w:rsid w:val="104135E4"/>
    <w:rsid w:val="107353CF"/>
    <w:rsid w:val="1073F75A"/>
    <w:rsid w:val="1079040B"/>
    <w:rsid w:val="107CE55E"/>
    <w:rsid w:val="107E3A7F"/>
    <w:rsid w:val="10845BD5"/>
    <w:rsid w:val="10CED416"/>
    <w:rsid w:val="10D0138D"/>
    <w:rsid w:val="10F643C1"/>
    <w:rsid w:val="1156F077"/>
    <w:rsid w:val="115D7D17"/>
    <w:rsid w:val="11718FD8"/>
    <w:rsid w:val="11748321"/>
    <w:rsid w:val="1195DC53"/>
    <w:rsid w:val="11CC6F74"/>
    <w:rsid w:val="11DB3EA1"/>
    <w:rsid w:val="1201A423"/>
    <w:rsid w:val="120F88D7"/>
    <w:rsid w:val="12375340"/>
    <w:rsid w:val="128832A1"/>
    <w:rsid w:val="128D3A61"/>
    <w:rsid w:val="12A3B74D"/>
    <w:rsid w:val="12E232C5"/>
    <w:rsid w:val="12F3CD06"/>
    <w:rsid w:val="12F3CE6E"/>
    <w:rsid w:val="12FDDB8B"/>
    <w:rsid w:val="130B0C36"/>
    <w:rsid w:val="135E594E"/>
    <w:rsid w:val="136FE9A7"/>
    <w:rsid w:val="1383FA6A"/>
    <w:rsid w:val="1390BC8B"/>
    <w:rsid w:val="139E3ACB"/>
    <w:rsid w:val="13A1A228"/>
    <w:rsid w:val="13AD29BF"/>
    <w:rsid w:val="14085147"/>
    <w:rsid w:val="1415700C"/>
    <w:rsid w:val="141E6B71"/>
    <w:rsid w:val="145759C4"/>
    <w:rsid w:val="146D919D"/>
    <w:rsid w:val="14A13B91"/>
    <w:rsid w:val="14BBA4D3"/>
    <w:rsid w:val="14BBA9FF"/>
    <w:rsid w:val="14D110F1"/>
    <w:rsid w:val="14DD4C8C"/>
    <w:rsid w:val="153AF75C"/>
    <w:rsid w:val="1558062E"/>
    <w:rsid w:val="157BBBD1"/>
    <w:rsid w:val="15B90933"/>
    <w:rsid w:val="15E48E6C"/>
    <w:rsid w:val="15FF4417"/>
    <w:rsid w:val="15FFDD69"/>
    <w:rsid w:val="16087E9C"/>
    <w:rsid w:val="163B0BA4"/>
    <w:rsid w:val="1640DE22"/>
    <w:rsid w:val="16875C65"/>
    <w:rsid w:val="1760D0E5"/>
    <w:rsid w:val="1769CBDB"/>
    <w:rsid w:val="17FFD730"/>
    <w:rsid w:val="180815D0"/>
    <w:rsid w:val="180ED2C4"/>
    <w:rsid w:val="1822CF03"/>
    <w:rsid w:val="186D7705"/>
    <w:rsid w:val="18916C21"/>
    <w:rsid w:val="1896973D"/>
    <w:rsid w:val="189EABE7"/>
    <w:rsid w:val="18A7DB77"/>
    <w:rsid w:val="18A90556"/>
    <w:rsid w:val="1906B60F"/>
    <w:rsid w:val="192C9819"/>
    <w:rsid w:val="193F68AE"/>
    <w:rsid w:val="19469500"/>
    <w:rsid w:val="19E168FB"/>
    <w:rsid w:val="19E19E7D"/>
    <w:rsid w:val="1A0A5CEF"/>
    <w:rsid w:val="1A522E39"/>
    <w:rsid w:val="1A5AA12D"/>
    <w:rsid w:val="1AA44414"/>
    <w:rsid w:val="1AC03D35"/>
    <w:rsid w:val="1AF76E60"/>
    <w:rsid w:val="1B09B2AA"/>
    <w:rsid w:val="1B198DFE"/>
    <w:rsid w:val="1B2E07E0"/>
    <w:rsid w:val="1B3494C0"/>
    <w:rsid w:val="1B4930FE"/>
    <w:rsid w:val="1B61AB68"/>
    <w:rsid w:val="1B6DB7A2"/>
    <w:rsid w:val="1BBE7ED2"/>
    <w:rsid w:val="1BBF17E3"/>
    <w:rsid w:val="1BE0B617"/>
    <w:rsid w:val="1BE72E91"/>
    <w:rsid w:val="1C12B169"/>
    <w:rsid w:val="1C449EF2"/>
    <w:rsid w:val="1C51398A"/>
    <w:rsid w:val="1C8E86F5"/>
    <w:rsid w:val="1C904641"/>
    <w:rsid w:val="1C9690E0"/>
    <w:rsid w:val="1CABBAFB"/>
    <w:rsid w:val="1CF1C9A4"/>
    <w:rsid w:val="1D01B12E"/>
    <w:rsid w:val="1D2D5E21"/>
    <w:rsid w:val="1DC56E34"/>
    <w:rsid w:val="1DD882A0"/>
    <w:rsid w:val="1DDFD933"/>
    <w:rsid w:val="1DE57E20"/>
    <w:rsid w:val="1DF24366"/>
    <w:rsid w:val="1DFB8274"/>
    <w:rsid w:val="1E1C0B59"/>
    <w:rsid w:val="1E5C5EBD"/>
    <w:rsid w:val="1E909A64"/>
    <w:rsid w:val="1E9B3067"/>
    <w:rsid w:val="1EC7C782"/>
    <w:rsid w:val="1ED0DCB9"/>
    <w:rsid w:val="1ED3EF9E"/>
    <w:rsid w:val="1ED4E382"/>
    <w:rsid w:val="1EDB557F"/>
    <w:rsid w:val="1EE72E15"/>
    <w:rsid w:val="1F18FDC2"/>
    <w:rsid w:val="1F2FF280"/>
    <w:rsid w:val="1F5FEB09"/>
    <w:rsid w:val="1F647AEB"/>
    <w:rsid w:val="1F73B49C"/>
    <w:rsid w:val="1FBCB15B"/>
    <w:rsid w:val="1FBE57ED"/>
    <w:rsid w:val="1FCB2768"/>
    <w:rsid w:val="1FD10795"/>
    <w:rsid w:val="2010D532"/>
    <w:rsid w:val="2018A022"/>
    <w:rsid w:val="20209FA9"/>
    <w:rsid w:val="205276A4"/>
    <w:rsid w:val="206BA98D"/>
    <w:rsid w:val="207BF3A1"/>
    <w:rsid w:val="2135C661"/>
    <w:rsid w:val="213BBD05"/>
    <w:rsid w:val="214E496A"/>
    <w:rsid w:val="21604046"/>
    <w:rsid w:val="218C8A08"/>
    <w:rsid w:val="218DB91E"/>
    <w:rsid w:val="21A43882"/>
    <w:rsid w:val="21B0E55E"/>
    <w:rsid w:val="21DA8CBD"/>
    <w:rsid w:val="21E0C455"/>
    <w:rsid w:val="21EDCEA2"/>
    <w:rsid w:val="23112924"/>
    <w:rsid w:val="23196F94"/>
    <w:rsid w:val="2335A88D"/>
    <w:rsid w:val="233E3A66"/>
    <w:rsid w:val="234C95C9"/>
    <w:rsid w:val="235D3793"/>
    <w:rsid w:val="23A125DC"/>
    <w:rsid w:val="23BA83D2"/>
    <w:rsid w:val="23BE8682"/>
    <w:rsid w:val="23E25715"/>
    <w:rsid w:val="23EF3DAF"/>
    <w:rsid w:val="23F6D582"/>
    <w:rsid w:val="23FC8C55"/>
    <w:rsid w:val="241B49FC"/>
    <w:rsid w:val="2436FA70"/>
    <w:rsid w:val="246952EC"/>
    <w:rsid w:val="249314DD"/>
    <w:rsid w:val="24BD43AC"/>
    <w:rsid w:val="24D66682"/>
    <w:rsid w:val="24E1DE79"/>
    <w:rsid w:val="24E32030"/>
    <w:rsid w:val="24E45C68"/>
    <w:rsid w:val="25014434"/>
    <w:rsid w:val="250986ED"/>
    <w:rsid w:val="252310A8"/>
    <w:rsid w:val="25310420"/>
    <w:rsid w:val="2578FC1E"/>
    <w:rsid w:val="25B5D1A7"/>
    <w:rsid w:val="25C68AB1"/>
    <w:rsid w:val="25E6092A"/>
    <w:rsid w:val="25F21331"/>
    <w:rsid w:val="262700D8"/>
    <w:rsid w:val="2627B3FC"/>
    <w:rsid w:val="2629CFD6"/>
    <w:rsid w:val="2633538D"/>
    <w:rsid w:val="268D10AD"/>
    <w:rsid w:val="26A380BF"/>
    <w:rsid w:val="26A8E0DF"/>
    <w:rsid w:val="26C748B5"/>
    <w:rsid w:val="26D7CCEE"/>
    <w:rsid w:val="26D9D9DF"/>
    <w:rsid w:val="26DD9330"/>
    <w:rsid w:val="26DFF567"/>
    <w:rsid w:val="26E017C5"/>
    <w:rsid w:val="26F59A94"/>
    <w:rsid w:val="26FC46F2"/>
    <w:rsid w:val="27182AA3"/>
    <w:rsid w:val="272358BF"/>
    <w:rsid w:val="2725481A"/>
    <w:rsid w:val="275042A0"/>
    <w:rsid w:val="2776C0A7"/>
    <w:rsid w:val="277D3715"/>
    <w:rsid w:val="27A3446C"/>
    <w:rsid w:val="27AC1AA3"/>
    <w:rsid w:val="27ACF8CD"/>
    <w:rsid w:val="27B1AB6D"/>
    <w:rsid w:val="27C3975C"/>
    <w:rsid w:val="27D1F74A"/>
    <w:rsid w:val="27F789BF"/>
    <w:rsid w:val="27FD73A0"/>
    <w:rsid w:val="28036FCD"/>
    <w:rsid w:val="2822D663"/>
    <w:rsid w:val="283032E7"/>
    <w:rsid w:val="289705A8"/>
    <w:rsid w:val="28AD7F0A"/>
    <w:rsid w:val="28BBCB04"/>
    <w:rsid w:val="28BF72AB"/>
    <w:rsid w:val="28D5AA79"/>
    <w:rsid w:val="28E81904"/>
    <w:rsid w:val="28E91782"/>
    <w:rsid w:val="28EF6844"/>
    <w:rsid w:val="290369EE"/>
    <w:rsid w:val="29184B12"/>
    <w:rsid w:val="29210C11"/>
    <w:rsid w:val="29246196"/>
    <w:rsid w:val="2975C758"/>
    <w:rsid w:val="29D8AC6C"/>
    <w:rsid w:val="29E5E4BF"/>
    <w:rsid w:val="2A0F48DC"/>
    <w:rsid w:val="2A2D04F2"/>
    <w:rsid w:val="2A492315"/>
    <w:rsid w:val="2ABBA233"/>
    <w:rsid w:val="2ABBEE8A"/>
    <w:rsid w:val="2AE06A81"/>
    <w:rsid w:val="2AF157A6"/>
    <w:rsid w:val="2B1261F2"/>
    <w:rsid w:val="2B2104C0"/>
    <w:rsid w:val="2B22B310"/>
    <w:rsid w:val="2B376DCF"/>
    <w:rsid w:val="2B4649B8"/>
    <w:rsid w:val="2B965B83"/>
    <w:rsid w:val="2C08C782"/>
    <w:rsid w:val="2C733389"/>
    <w:rsid w:val="2C7D8D21"/>
    <w:rsid w:val="2C8AD420"/>
    <w:rsid w:val="2C8D9C79"/>
    <w:rsid w:val="2CA50A81"/>
    <w:rsid w:val="2CAB9948"/>
    <w:rsid w:val="2D1B40F6"/>
    <w:rsid w:val="2D2010E1"/>
    <w:rsid w:val="2D6D807F"/>
    <w:rsid w:val="2DA7ED2E"/>
    <w:rsid w:val="2E295FD0"/>
    <w:rsid w:val="2E2DD0D3"/>
    <w:rsid w:val="2E3DE593"/>
    <w:rsid w:val="2E640745"/>
    <w:rsid w:val="2E6ADC30"/>
    <w:rsid w:val="2EA541CA"/>
    <w:rsid w:val="2EBA8B62"/>
    <w:rsid w:val="2EBEA3C4"/>
    <w:rsid w:val="2ED6077B"/>
    <w:rsid w:val="2EF204EA"/>
    <w:rsid w:val="2EFBA8B7"/>
    <w:rsid w:val="2EFDDCE5"/>
    <w:rsid w:val="2F0F04EF"/>
    <w:rsid w:val="2F3EC158"/>
    <w:rsid w:val="2F5E0411"/>
    <w:rsid w:val="2F653B2B"/>
    <w:rsid w:val="2F788147"/>
    <w:rsid w:val="2FA451E9"/>
    <w:rsid w:val="2FBBBD87"/>
    <w:rsid w:val="300E888C"/>
    <w:rsid w:val="301EF43D"/>
    <w:rsid w:val="30376A3D"/>
    <w:rsid w:val="30626C3E"/>
    <w:rsid w:val="30694220"/>
    <w:rsid w:val="307EF7DA"/>
    <w:rsid w:val="30B21820"/>
    <w:rsid w:val="30CF6627"/>
    <w:rsid w:val="30CFF4A3"/>
    <w:rsid w:val="30D2288B"/>
    <w:rsid w:val="30D9B5D8"/>
    <w:rsid w:val="30DD70C2"/>
    <w:rsid w:val="313FE296"/>
    <w:rsid w:val="314045F1"/>
    <w:rsid w:val="314725B7"/>
    <w:rsid w:val="31610D9C"/>
    <w:rsid w:val="31768EF9"/>
    <w:rsid w:val="317ADE9F"/>
    <w:rsid w:val="3192F9B6"/>
    <w:rsid w:val="31C574BF"/>
    <w:rsid w:val="31ED00DB"/>
    <w:rsid w:val="31F17E3B"/>
    <w:rsid w:val="31FCABE2"/>
    <w:rsid w:val="321AC6EB"/>
    <w:rsid w:val="322F4AEB"/>
    <w:rsid w:val="3256BE9F"/>
    <w:rsid w:val="326E82B9"/>
    <w:rsid w:val="326F3E5A"/>
    <w:rsid w:val="32726090"/>
    <w:rsid w:val="3290A72B"/>
    <w:rsid w:val="32E8F08D"/>
    <w:rsid w:val="32EF3ECA"/>
    <w:rsid w:val="32F9B84D"/>
    <w:rsid w:val="330A8CB2"/>
    <w:rsid w:val="33149784"/>
    <w:rsid w:val="33288983"/>
    <w:rsid w:val="3328A393"/>
    <w:rsid w:val="335984B5"/>
    <w:rsid w:val="338E4158"/>
    <w:rsid w:val="33ABFBD9"/>
    <w:rsid w:val="33E5E79B"/>
    <w:rsid w:val="34075B58"/>
    <w:rsid w:val="34125486"/>
    <w:rsid w:val="3428F3C2"/>
    <w:rsid w:val="342D3AF3"/>
    <w:rsid w:val="343EDF29"/>
    <w:rsid w:val="3446E023"/>
    <w:rsid w:val="344E48BC"/>
    <w:rsid w:val="3498F169"/>
    <w:rsid w:val="34DBD3EE"/>
    <w:rsid w:val="3525C1AE"/>
    <w:rsid w:val="352EFD69"/>
    <w:rsid w:val="3552C8D9"/>
    <w:rsid w:val="35587F46"/>
    <w:rsid w:val="3567FD77"/>
    <w:rsid w:val="35696320"/>
    <w:rsid w:val="356B7576"/>
    <w:rsid w:val="35731BA1"/>
    <w:rsid w:val="3582E028"/>
    <w:rsid w:val="35E1EB72"/>
    <w:rsid w:val="35F220AB"/>
    <w:rsid w:val="363F8AEF"/>
    <w:rsid w:val="364E0BC3"/>
    <w:rsid w:val="366E1F37"/>
    <w:rsid w:val="368A7977"/>
    <w:rsid w:val="368F9600"/>
    <w:rsid w:val="37043F38"/>
    <w:rsid w:val="37089CAD"/>
    <w:rsid w:val="37108109"/>
    <w:rsid w:val="371C835A"/>
    <w:rsid w:val="37573016"/>
    <w:rsid w:val="375FDEF6"/>
    <w:rsid w:val="377A2B2C"/>
    <w:rsid w:val="37981245"/>
    <w:rsid w:val="37E8676B"/>
    <w:rsid w:val="37E9C3D8"/>
    <w:rsid w:val="37F14F8D"/>
    <w:rsid w:val="380C938C"/>
    <w:rsid w:val="3826DB24"/>
    <w:rsid w:val="3838467C"/>
    <w:rsid w:val="38651A96"/>
    <w:rsid w:val="386C96E1"/>
    <w:rsid w:val="3872DF24"/>
    <w:rsid w:val="38A76FAA"/>
    <w:rsid w:val="38A90528"/>
    <w:rsid w:val="38C20A51"/>
    <w:rsid w:val="38CD5054"/>
    <w:rsid w:val="38D6506F"/>
    <w:rsid w:val="38E3BC26"/>
    <w:rsid w:val="38EAD75A"/>
    <w:rsid w:val="39762523"/>
    <w:rsid w:val="399D96B2"/>
    <w:rsid w:val="39AF0D38"/>
    <w:rsid w:val="39B43C0B"/>
    <w:rsid w:val="39CC1A65"/>
    <w:rsid w:val="3A10AD4D"/>
    <w:rsid w:val="3A3443FC"/>
    <w:rsid w:val="3A7D03AF"/>
    <w:rsid w:val="3A802990"/>
    <w:rsid w:val="3A9CA194"/>
    <w:rsid w:val="3AB92230"/>
    <w:rsid w:val="3AD94FE5"/>
    <w:rsid w:val="3B312369"/>
    <w:rsid w:val="3B4D20E2"/>
    <w:rsid w:val="3B6EAC88"/>
    <w:rsid w:val="3B76EA9C"/>
    <w:rsid w:val="3B8E7FA4"/>
    <w:rsid w:val="3BA1E396"/>
    <w:rsid w:val="3BC9DA62"/>
    <w:rsid w:val="3BD8937D"/>
    <w:rsid w:val="3BDB7D36"/>
    <w:rsid w:val="3BFBFD90"/>
    <w:rsid w:val="3C172494"/>
    <w:rsid w:val="3C183318"/>
    <w:rsid w:val="3C1D654F"/>
    <w:rsid w:val="3C55213C"/>
    <w:rsid w:val="3CBB629F"/>
    <w:rsid w:val="3CC89FF7"/>
    <w:rsid w:val="3CD6C171"/>
    <w:rsid w:val="3CF492BC"/>
    <w:rsid w:val="3D6857CB"/>
    <w:rsid w:val="3D6A199A"/>
    <w:rsid w:val="3D85B42B"/>
    <w:rsid w:val="3D97E7DD"/>
    <w:rsid w:val="3D9CBDAB"/>
    <w:rsid w:val="3DFE569F"/>
    <w:rsid w:val="3E0BA1CA"/>
    <w:rsid w:val="3E0E263C"/>
    <w:rsid w:val="3E31E394"/>
    <w:rsid w:val="3E5A5B21"/>
    <w:rsid w:val="3EA7B592"/>
    <w:rsid w:val="3EC8F947"/>
    <w:rsid w:val="3ECBD9F3"/>
    <w:rsid w:val="3EE61899"/>
    <w:rsid w:val="3EFB8899"/>
    <w:rsid w:val="3F09189C"/>
    <w:rsid w:val="3F109696"/>
    <w:rsid w:val="3F4394CF"/>
    <w:rsid w:val="3F44C9A0"/>
    <w:rsid w:val="3F4FF5B7"/>
    <w:rsid w:val="3F5B8920"/>
    <w:rsid w:val="3F6E4962"/>
    <w:rsid w:val="3F8C9C2D"/>
    <w:rsid w:val="3FB79369"/>
    <w:rsid w:val="3FDE2A78"/>
    <w:rsid w:val="4003763B"/>
    <w:rsid w:val="40557BF7"/>
    <w:rsid w:val="405AC285"/>
    <w:rsid w:val="40735D33"/>
    <w:rsid w:val="4075AA2C"/>
    <w:rsid w:val="407FB084"/>
    <w:rsid w:val="408176B3"/>
    <w:rsid w:val="408F3322"/>
    <w:rsid w:val="40AEEB4D"/>
    <w:rsid w:val="40EE76C2"/>
    <w:rsid w:val="40FA14BD"/>
    <w:rsid w:val="410C611E"/>
    <w:rsid w:val="41173401"/>
    <w:rsid w:val="412A4648"/>
    <w:rsid w:val="414E600A"/>
    <w:rsid w:val="4180CC9C"/>
    <w:rsid w:val="41B89576"/>
    <w:rsid w:val="41D42C7D"/>
    <w:rsid w:val="41DC4B0C"/>
    <w:rsid w:val="41E28177"/>
    <w:rsid w:val="41ED174E"/>
    <w:rsid w:val="421DD9F1"/>
    <w:rsid w:val="4258314E"/>
    <w:rsid w:val="42B6BF4F"/>
    <w:rsid w:val="42F76284"/>
    <w:rsid w:val="433BFC02"/>
    <w:rsid w:val="43B1F50A"/>
    <w:rsid w:val="43C5ECA4"/>
    <w:rsid w:val="4407B16F"/>
    <w:rsid w:val="4414DB16"/>
    <w:rsid w:val="4419591E"/>
    <w:rsid w:val="4423DC51"/>
    <w:rsid w:val="444337A6"/>
    <w:rsid w:val="445A9C63"/>
    <w:rsid w:val="44A0B9C3"/>
    <w:rsid w:val="44B28F12"/>
    <w:rsid w:val="44C6BD7F"/>
    <w:rsid w:val="450F06F0"/>
    <w:rsid w:val="452CE855"/>
    <w:rsid w:val="454C267C"/>
    <w:rsid w:val="4555CD49"/>
    <w:rsid w:val="458D0322"/>
    <w:rsid w:val="45ADCA2A"/>
    <w:rsid w:val="45AE4156"/>
    <w:rsid w:val="45C21F84"/>
    <w:rsid w:val="46409279"/>
    <w:rsid w:val="465E97F5"/>
    <w:rsid w:val="466A93AB"/>
    <w:rsid w:val="467CC072"/>
    <w:rsid w:val="4688E80C"/>
    <w:rsid w:val="468F0CE3"/>
    <w:rsid w:val="46A76014"/>
    <w:rsid w:val="46C5B6B6"/>
    <w:rsid w:val="471BBED5"/>
    <w:rsid w:val="4725D07A"/>
    <w:rsid w:val="47282EA9"/>
    <w:rsid w:val="4735F222"/>
    <w:rsid w:val="476614A9"/>
    <w:rsid w:val="47A35BDB"/>
    <w:rsid w:val="47B09088"/>
    <w:rsid w:val="47B24EDC"/>
    <w:rsid w:val="47C843F5"/>
    <w:rsid w:val="47ECDE7B"/>
    <w:rsid w:val="47EE6070"/>
    <w:rsid w:val="47FFA7C6"/>
    <w:rsid w:val="48025C19"/>
    <w:rsid w:val="48135949"/>
    <w:rsid w:val="48198617"/>
    <w:rsid w:val="486D3DF0"/>
    <w:rsid w:val="488F7D72"/>
    <w:rsid w:val="4898E93B"/>
    <w:rsid w:val="48BF6D27"/>
    <w:rsid w:val="48C9A158"/>
    <w:rsid w:val="48DFD252"/>
    <w:rsid w:val="48F8F3C9"/>
    <w:rsid w:val="4903B6D3"/>
    <w:rsid w:val="490AC8B3"/>
    <w:rsid w:val="495254F4"/>
    <w:rsid w:val="49648E58"/>
    <w:rsid w:val="49AC2B5B"/>
    <w:rsid w:val="49B94E08"/>
    <w:rsid w:val="49C56813"/>
    <w:rsid w:val="49E3B0C6"/>
    <w:rsid w:val="49EEAC4A"/>
    <w:rsid w:val="4A2541F8"/>
    <w:rsid w:val="4A3D4560"/>
    <w:rsid w:val="4A61372E"/>
    <w:rsid w:val="4A777661"/>
    <w:rsid w:val="4AB73E64"/>
    <w:rsid w:val="4ACBF9FF"/>
    <w:rsid w:val="4AD10368"/>
    <w:rsid w:val="4AEA6B36"/>
    <w:rsid w:val="4B39952C"/>
    <w:rsid w:val="4B3F18AC"/>
    <w:rsid w:val="4B58BB2D"/>
    <w:rsid w:val="4B77D378"/>
    <w:rsid w:val="4B8ED78B"/>
    <w:rsid w:val="4BCF0ABF"/>
    <w:rsid w:val="4BD5DDC3"/>
    <w:rsid w:val="4BFB06B9"/>
    <w:rsid w:val="4C151142"/>
    <w:rsid w:val="4C198E9D"/>
    <w:rsid w:val="4C2A70E6"/>
    <w:rsid w:val="4C75BD54"/>
    <w:rsid w:val="4CB14FE0"/>
    <w:rsid w:val="4CBA942B"/>
    <w:rsid w:val="4CF0F23A"/>
    <w:rsid w:val="4CF2F7BF"/>
    <w:rsid w:val="4D530171"/>
    <w:rsid w:val="4D66ECF5"/>
    <w:rsid w:val="4D6A43A8"/>
    <w:rsid w:val="4D877CBD"/>
    <w:rsid w:val="4DCC808C"/>
    <w:rsid w:val="4DFC6B7F"/>
    <w:rsid w:val="4E0156C0"/>
    <w:rsid w:val="4E265570"/>
    <w:rsid w:val="4E328098"/>
    <w:rsid w:val="4E4DE380"/>
    <w:rsid w:val="4E525979"/>
    <w:rsid w:val="4E5A6188"/>
    <w:rsid w:val="4E6D738D"/>
    <w:rsid w:val="4EA293FA"/>
    <w:rsid w:val="4EA7E9B1"/>
    <w:rsid w:val="4ECE1FDA"/>
    <w:rsid w:val="4F5E2686"/>
    <w:rsid w:val="4F89D8BA"/>
    <w:rsid w:val="4FC048C8"/>
    <w:rsid w:val="4FE6D93C"/>
    <w:rsid w:val="4FFBC6FE"/>
    <w:rsid w:val="500EAB0F"/>
    <w:rsid w:val="5010F83A"/>
    <w:rsid w:val="501682A4"/>
    <w:rsid w:val="501D5272"/>
    <w:rsid w:val="50648FE8"/>
    <w:rsid w:val="50824AE4"/>
    <w:rsid w:val="5093ED3C"/>
    <w:rsid w:val="50A91191"/>
    <w:rsid w:val="51016D2E"/>
    <w:rsid w:val="511B23BD"/>
    <w:rsid w:val="5121830F"/>
    <w:rsid w:val="5167B22D"/>
    <w:rsid w:val="51975949"/>
    <w:rsid w:val="51C6CDAE"/>
    <w:rsid w:val="51D82B77"/>
    <w:rsid w:val="51DFF297"/>
    <w:rsid w:val="51FB6EB3"/>
    <w:rsid w:val="520C3EA3"/>
    <w:rsid w:val="520E32A8"/>
    <w:rsid w:val="52561569"/>
    <w:rsid w:val="526EDFDD"/>
    <w:rsid w:val="52877590"/>
    <w:rsid w:val="528905A9"/>
    <w:rsid w:val="52D09D67"/>
    <w:rsid w:val="5314AF28"/>
    <w:rsid w:val="533883C4"/>
    <w:rsid w:val="53480DAE"/>
    <w:rsid w:val="534BDDEC"/>
    <w:rsid w:val="53A8D2AA"/>
    <w:rsid w:val="53C25101"/>
    <w:rsid w:val="53E4A84D"/>
    <w:rsid w:val="542791E3"/>
    <w:rsid w:val="54279E11"/>
    <w:rsid w:val="542D8BDE"/>
    <w:rsid w:val="542FF4DC"/>
    <w:rsid w:val="544038B1"/>
    <w:rsid w:val="54653C35"/>
    <w:rsid w:val="5477AB1A"/>
    <w:rsid w:val="54853044"/>
    <w:rsid w:val="549B69F0"/>
    <w:rsid w:val="54BFC1D3"/>
    <w:rsid w:val="54C37856"/>
    <w:rsid w:val="54CDD6D0"/>
    <w:rsid w:val="54F02E95"/>
    <w:rsid w:val="55511A58"/>
    <w:rsid w:val="558D64B0"/>
    <w:rsid w:val="55B927E2"/>
    <w:rsid w:val="55DD9302"/>
    <w:rsid w:val="560D031C"/>
    <w:rsid w:val="56339A58"/>
    <w:rsid w:val="56466626"/>
    <w:rsid w:val="564F8B7C"/>
    <w:rsid w:val="5656AB87"/>
    <w:rsid w:val="5696E1F4"/>
    <w:rsid w:val="56A3B34B"/>
    <w:rsid w:val="56B55B65"/>
    <w:rsid w:val="56E71DC4"/>
    <w:rsid w:val="570797BD"/>
    <w:rsid w:val="574D2080"/>
    <w:rsid w:val="5769A332"/>
    <w:rsid w:val="57919F87"/>
    <w:rsid w:val="57939473"/>
    <w:rsid w:val="57E787AA"/>
    <w:rsid w:val="57F98858"/>
    <w:rsid w:val="58356F2C"/>
    <w:rsid w:val="5838A39F"/>
    <w:rsid w:val="58604E3B"/>
    <w:rsid w:val="5861DC07"/>
    <w:rsid w:val="5888DD93"/>
    <w:rsid w:val="589BAE49"/>
    <w:rsid w:val="58B8C3B4"/>
    <w:rsid w:val="58EEA81E"/>
    <w:rsid w:val="591C634F"/>
    <w:rsid w:val="594171FB"/>
    <w:rsid w:val="594CD44A"/>
    <w:rsid w:val="59A04832"/>
    <w:rsid w:val="59A0B942"/>
    <w:rsid w:val="59BF14A4"/>
    <w:rsid w:val="59BFBF0C"/>
    <w:rsid w:val="59CECA27"/>
    <w:rsid w:val="59E42A19"/>
    <w:rsid w:val="59E9C91F"/>
    <w:rsid w:val="5A200441"/>
    <w:rsid w:val="5A274F24"/>
    <w:rsid w:val="5A32AC63"/>
    <w:rsid w:val="5A5D6F7E"/>
    <w:rsid w:val="5A72699F"/>
    <w:rsid w:val="5A94178E"/>
    <w:rsid w:val="5A9B5F0C"/>
    <w:rsid w:val="5AAFFDFD"/>
    <w:rsid w:val="5AFEEB63"/>
    <w:rsid w:val="5B02D696"/>
    <w:rsid w:val="5B135404"/>
    <w:rsid w:val="5B506DA8"/>
    <w:rsid w:val="5B5D1F8F"/>
    <w:rsid w:val="5B910609"/>
    <w:rsid w:val="5BA8C224"/>
    <w:rsid w:val="5BA931E6"/>
    <w:rsid w:val="5BC27EFA"/>
    <w:rsid w:val="5BDDA376"/>
    <w:rsid w:val="5BDEC174"/>
    <w:rsid w:val="5C12A021"/>
    <w:rsid w:val="5CA32C12"/>
    <w:rsid w:val="5D1D041F"/>
    <w:rsid w:val="5D2209BB"/>
    <w:rsid w:val="5D384B85"/>
    <w:rsid w:val="5D9BCC6B"/>
    <w:rsid w:val="5DC3427C"/>
    <w:rsid w:val="5DF3DD58"/>
    <w:rsid w:val="5DF657F2"/>
    <w:rsid w:val="5E17EE7A"/>
    <w:rsid w:val="5E1C8C01"/>
    <w:rsid w:val="5E23DAF1"/>
    <w:rsid w:val="5E3F9255"/>
    <w:rsid w:val="5E6C09D0"/>
    <w:rsid w:val="5E6D3A58"/>
    <w:rsid w:val="5EC32AAA"/>
    <w:rsid w:val="5ED7F882"/>
    <w:rsid w:val="5EEFDC61"/>
    <w:rsid w:val="5EF2B01E"/>
    <w:rsid w:val="5F012939"/>
    <w:rsid w:val="5F66900E"/>
    <w:rsid w:val="5F69E104"/>
    <w:rsid w:val="5F8C22D7"/>
    <w:rsid w:val="5FA1E58B"/>
    <w:rsid w:val="5FF238EA"/>
    <w:rsid w:val="6031DE2D"/>
    <w:rsid w:val="603954AA"/>
    <w:rsid w:val="605C132B"/>
    <w:rsid w:val="605EE545"/>
    <w:rsid w:val="6080EA08"/>
    <w:rsid w:val="60D4D63E"/>
    <w:rsid w:val="60EF5B48"/>
    <w:rsid w:val="610C140D"/>
    <w:rsid w:val="610D645E"/>
    <w:rsid w:val="612845EA"/>
    <w:rsid w:val="615791E6"/>
    <w:rsid w:val="615AFEB7"/>
    <w:rsid w:val="61866E07"/>
    <w:rsid w:val="61AA04FF"/>
    <w:rsid w:val="61AF7859"/>
    <w:rsid w:val="61C84F41"/>
    <w:rsid w:val="61F60F59"/>
    <w:rsid w:val="6227F566"/>
    <w:rsid w:val="626BE921"/>
    <w:rsid w:val="62809A00"/>
    <w:rsid w:val="62836FBE"/>
    <w:rsid w:val="6298118D"/>
    <w:rsid w:val="62B03179"/>
    <w:rsid w:val="62F77A95"/>
    <w:rsid w:val="63121D42"/>
    <w:rsid w:val="63148E0B"/>
    <w:rsid w:val="632733F4"/>
    <w:rsid w:val="63933325"/>
    <w:rsid w:val="639F4FC0"/>
    <w:rsid w:val="63A8867D"/>
    <w:rsid w:val="63D0B0AC"/>
    <w:rsid w:val="63D92CED"/>
    <w:rsid w:val="63EB7915"/>
    <w:rsid w:val="64096D84"/>
    <w:rsid w:val="646A0D9E"/>
    <w:rsid w:val="64759733"/>
    <w:rsid w:val="64B3AE50"/>
    <w:rsid w:val="64E664B1"/>
    <w:rsid w:val="64F5AB06"/>
    <w:rsid w:val="6543A08B"/>
    <w:rsid w:val="6556C6BE"/>
    <w:rsid w:val="655BE01D"/>
    <w:rsid w:val="6560E030"/>
    <w:rsid w:val="656A4BEE"/>
    <w:rsid w:val="656EA81E"/>
    <w:rsid w:val="657581C1"/>
    <w:rsid w:val="657A3E80"/>
    <w:rsid w:val="657F87A9"/>
    <w:rsid w:val="65852FBD"/>
    <w:rsid w:val="65AF6281"/>
    <w:rsid w:val="65CF6403"/>
    <w:rsid w:val="65E0D5DC"/>
    <w:rsid w:val="660C8135"/>
    <w:rsid w:val="662DECBE"/>
    <w:rsid w:val="66397421"/>
    <w:rsid w:val="665AF360"/>
    <w:rsid w:val="66ACCDB0"/>
    <w:rsid w:val="66B38E8F"/>
    <w:rsid w:val="66DC38FE"/>
    <w:rsid w:val="66E1AC0D"/>
    <w:rsid w:val="67035538"/>
    <w:rsid w:val="6718F5D7"/>
    <w:rsid w:val="67479A08"/>
    <w:rsid w:val="6761776A"/>
    <w:rsid w:val="67769F2E"/>
    <w:rsid w:val="679A6677"/>
    <w:rsid w:val="679B340A"/>
    <w:rsid w:val="67B3C8D5"/>
    <w:rsid w:val="67C3321A"/>
    <w:rsid w:val="67C4D01D"/>
    <w:rsid w:val="67DD9679"/>
    <w:rsid w:val="68025CB1"/>
    <w:rsid w:val="681A7533"/>
    <w:rsid w:val="68546E61"/>
    <w:rsid w:val="68B8AF4A"/>
    <w:rsid w:val="68C9F332"/>
    <w:rsid w:val="68E0233D"/>
    <w:rsid w:val="690CBB37"/>
    <w:rsid w:val="691CE4E9"/>
    <w:rsid w:val="692103BB"/>
    <w:rsid w:val="6960B0D7"/>
    <w:rsid w:val="697213EC"/>
    <w:rsid w:val="6992ECBB"/>
    <w:rsid w:val="699F1957"/>
    <w:rsid w:val="69AB6D6B"/>
    <w:rsid w:val="69B44A9F"/>
    <w:rsid w:val="69C696F5"/>
    <w:rsid w:val="69DD7E6F"/>
    <w:rsid w:val="6A0A466F"/>
    <w:rsid w:val="6A1BF0FA"/>
    <w:rsid w:val="6A3BCA7B"/>
    <w:rsid w:val="6A821A18"/>
    <w:rsid w:val="6A9BF329"/>
    <w:rsid w:val="6AAAC65E"/>
    <w:rsid w:val="6AD1FF14"/>
    <w:rsid w:val="6AE51B42"/>
    <w:rsid w:val="6AE872C9"/>
    <w:rsid w:val="6AF3F387"/>
    <w:rsid w:val="6AF578E8"/>
    <w:rsid w:val="6B0CCA83"/>
    <w:rsid w:val="6B39D673"/>
    <w:rsid w:val="6B72B353"/>
    <w:rsid w:val="6B95D818"/>
    <w:rsid w:val="6BE8838A"/>
    <w:rsid w:val="6BE8FBB0"/>
    <w:rsid w:val="6BFE5CB7"/>
    <w:rsid w:val="6C06D9D0"/>
    <w:rsid w:val="6C0897D6"/>
    <w:rsid w:val="6C24F9CC"/>
    <w:rsid w:val="6C5919E9"/>
    <w:rsid w:val="6CD52C9F"/>
    <w:rsid w:val="6CD5531A"/>
    <w:rsid w:val="6CE62229"/>
    <w:rsid w:val="6CF9D844"/>
    <w:rsid w:val="6D08EC76"/>
    <w:rsid w:val="6D171EBD"/>
    <w:rsid w:val="6D2A31AF"/>
    <w:rsid w:val="6D6204C6"/>
    <w:rsid w:val="6D6E1D6E"/>
    <w:rsid w:val="6D81C073"/>
    <w:rsid w:val="6D823494"/>
    <w:rsid w:val="6D9C91C4"/>
    <w:rsid w:val="6D9CCBD7"/>
    <w:rsid w:val="6DB58673"/>
    <w:rsid w:val="6DB6923A"/>
    <w:rsid w:val="6E5506DC"/>
    <w:rsid w:val="6E74587B"/>
    <w:rsid w:val="6E79D4F8"/>
    <w:rsid w:val="6EA0FC79"/>
    <w:rsid w:val="6ECA3D9C"/>
    <w:rsid w:val="6ED1C884"/>
    <w:rsid w:val="6ED412CD"/>
    <w:rsid w:val="6ED89B6E"/>
    <w:rsid w:val="6F01166C"/>
    <w:rsid w:val="6F050347"/>
    <w:rsid w:val="6F0C8C41"/>
    <w:rsid w:val="6F21DEA7"/>
    <w:rsid w:val="6F234A19"/>
    <w:rsid w:val="6F37B7CD"/>
    <w:rsid w:val="6F5844D1"/>
    <w:rsid w:val="6F7B7EB5"/>
    <w:rsid w:val="6F8748C2"/>
    <w:rsid w:val="6F889B43"/>
    <w:rsid w:val="6FA8B0C4"/>
    <w:rsid w:val="6FAEBC02"/>
    <w:rsid w:val="6FB1F2D7"/>
    <w:rsid w:val="6FB6BF06"/>
    <w:rsid w:val="6FDAB8EA"/>
    <w:rsid w:val="6FF35FCD"/>
    <w:rsid w:val="7012EE89"/>
    <w:rsid w:val="705B0F9D"/>
    <w:rsid w:val="7062C9A3"/>
    <w:rsid w:val="70641CC9"/>
    <w:rsid w:val="70DCC158"/>
    <w:rsid w:val="70DEB8C8"/>
    <w:rsid w:val="70F1AD5A"/>
    <w:rsid w:val="71080C7D"/>
    <w:rsid w:val="71147FCD"/>
    <w:rsid w:val="715161BB"/>
    <w:rsid w:val="71ECBFA8"/>
    <w:rsid w:val="7207A218"/>
    <w:rsid w:val="72603499"/>
    <w:rsid w:val="735C2C3B"/>
    <w:rsid w:val="73838926"/>
    <w:rsid w:val="73962BDD"/>
    <w:rsid w:val="73CAD137"/>
    <w:rsid w:val="73CD276F"/>
    <w:rsid w:val="73F84E25"/>
    <w:rsid w:val="73FE06CC"/>
    <w:rsid w:val="74224677"/>
    <w:rsid w:val="74467993"/>
    <w:rsid w:val="745ED48C"/>
    <w:rsid w:val="746711B3"/>
    <w:rsid w:val="74BE6FF7"/>
    <w:rsid w:val="74E43A0E"/>
    <w:rsid w:val="7514DA4F"/>
    <w:rsid w:val="754BC7C8"/>
    <w:rsid w:val="7553EC04"/>
    <w:rsid w:val="756AC957"/>
    <w:rsid w:val="7592A10D"/>
    <w:rsid w:val="759E1762"/>
    <w:rsid w:val="75B1A981"/>
    <w:rsid w:val="75C6ADAB"/>
    <w:rsid w:val="75E59635"/>
    <w:rsid w:val="76254A1E"/>
    <w:rsid w:val="7625B1A4"/>
    <w:rsid w:val="762CE202"/>
    <w:rsid w:val="7634EE7C"/>
    <w:rsid w:val="764F5486"/>
    <w:rsid w:val="76560AB1"/>
    <w:rsid w:val="76648029"/>
    <w:rsid w:val="767388B4"/>
    <w:rsid w:val="76B11424"/>
    <w:rsid w:val="76C78895"/>
    <w:rsid w:val="76EE6B34"/>
    <w:rsid w:val="772063DA"/>
    <w:rsid w:val="774542D1"/>
    <w:rsid w:val="7749021A"/>
    <w:rsid w:val="7795A038"/>
    <w:rsid w:val="77CDA595"/>
    <w:rsid w:val="77E75656"/>
    <w:rsid w:val="78213771"/>
    <w:rsid w:val="783A5783"/>
    <w:rsid w:val="7840F49D"/>
    <w:rsid w:val="7866442A"/>
    <w:rsid w:val="7877A9DD"/>
    <w:rsid w:val="78976B17"/>
    <w:rsid w:val="78B10402"/>
    <w:rsid w:val="78B5254A"/>
    <w:rsid w:val="78BECBB0"/>
    <w:rsid w:val="790D0493"/>
    <w:rsid w:val="792F3DF2"/>
    <w:rsid w:val="79A080D8"/>
    <w:rsid w:val="79C5079C"/>
    <w:rsid w:val="79D5736A"/>
    <w:rsid w:val="79DD6485"/>
    <w:rsid w:val="79E34DCD"/>
    <w:rsid w:val="79EF8944"/>
    <w:rsid w:val="7A53142F"/>
    <w:rsid w:val="7A5704C2"/>
    <w:rsid w:val="7A63DA84"/>
    <w:rsid w:val="7A650E6A"/>
    <w:rsid w:val="7A6660F0"/>
    <w:rsid w:val="7AA36DC4"/>
    <w:rsid w:val="7AA5A650"/>
    <w:rsid w:val="7AA8D4F4"/>
    <w:rsid w:val="7AD43FAC"/>
    <w:rsid w:val="7AE98671"/>
    <w:rsid w:val="7AFB0EC5"/>
    <w:rsid w:val="7B12B283"/>
    <w:rsid w:val="7B1BCDBF"/>
    <w:rsid w:val="7B329AED"/>
    <w:rsid w:val="7B604B58"/>
    <w:rsid w:val="7B71F845"/>
    <w:rsid w:val="7B81E737"/>
    <w:rsid w:val="7B84ACC1"/>
    <w:rsid w:val="7BC96224"/>
    <w:rsid w:val="7BCDD7CA"/>
    <w:rsid w:val="7BE8A4C4"/>
    <w:rsid w:val="7BEFC9BD"/>
    <w:rsid w:val="7C17A9CE"/>
    <w:rsid w:val="7C3545B0"/>
    <w:rsid w:val="7C40F582"/>
    <w:rsid w:val="7C830E08"/>
    <w:rsid w:val="7CA57966"/>
    <w:rsid w:val="7CC06DDB"/>
    <w:rsid w:val="7CDFAFEB"/>
    <w:rsid w:val="7D17387B"/>
    <w:rsid w:val="7D26F960"/>
    <w:rsid w:val="7D4F4CF7"/>
    <w:rsid w:val="7DB5B8A1"/>
    <w:rsid w:val="7DC92C37"/>
    <w:rsid w:val="7DF95232"/>
    <w:rsid w:val="7E2AF1B3"/>
    <w:rsid w:val="7E401BB8"/>
    <w:rsid w:val="7E52D35C"/>
    <w:rsid w:val="7E7A6B5E"/>
    <w:rsid w:val="7E7EA068"/>
    <w:rsid w:val="7E828631"/>
    <w:rsid w:val="7E8DE0BC"/>
    <w:rsid w:val="7E94B1AC"/>
    <w:rsid w:val="7F1326B0"/>
    <w:rsid w:val="7F1DF6E8"/>
    <w:rsid w:val="7F4B126F"/>
    <w:rsid w:val="7F551FEB"/>
    <w:rsid w:val="7F5687F0"/>
    <w:rsid w:val="7F634662"/>
    <w:rsid w:val="7F6E76C7"/>
    <w:rsid w:val="7F80B98F"/>
    <w:rsid w:val="7F82FA15"/>
    <w:rsid w:val="7F859046"/>
    <w:rsid w:val="7F8FBEB8"/>
    <w:rsid w:val="7FB65FB6"/>
    <w:rsid w:val="7FFB10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91AF9"/>
  <w15:chartTrackingRefBased/>
  <w15:docId w15:val="{2343B4F9-5316-4406-916B-BADA7630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color w:val="0000FF"/>
      <w:sz w:val="28"/>
    </w:rPr>
  </w:style>
  <w:style w:type="paragraph" w:styleId="Heading2">
    <w:name w:val="heading 2"/>
    <w:basedOn w:val="Normal"/>
    <w:next w:val="Normal"/>
    <w:qFormat/>
    <w:pPr>
      <w:keepNext/>
      <w:numPr>
        <w:ilvl w:val="12"/>
      </w:numPr>
      <w:jc w:val="center"/>
      <w:outlineLvl w:val="1"/>
    </w:pPr>
    <w:rPr>
      <w:rFonts w:ascii="Arial" w:hAnsi="Arial" w:cs="Arial"/>
      <w:b/>
      <w:bCs/>
      <w:sz w:val="20"/>
    </w:rPr>
  </w:style>
  <w:style w:type="paragraph" w:styleId="Heading3">
    <w:name w:val="heading 3"/>
    <w:basedOn w:val="Normal"/>
    <w:next w:val="Normal"/>
    <w:qFormat/>
    <w:pPr>
      <w:keepNext/>
      <w:overflowPunct w:val="0"/>
      <w:autoSpaceDE w:val="0"/>
      <w:autoSpaceDN w:val="0"/>
      <w:adjustRightInd w:val="0"/>
      <w:textAlignment w:val="baseline"/>
      <w:outlineLvl w:val="2"/>
    </w:pPr>
    <w:rPr>
      <w:b/>
      <w:szCs w:val="20"/>
      <w:u w:val="single"/>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18"/>
      <w:szCs w:val="20"/>
    </w:rPr>
  </w:style>
  <w:style w:type="paragraph" w:styleId="Heading5">
    <w:name w:val="heading 5"/>
    <w:basedOn w:val="Normal"/>
    <w:next w:val="Normal"/>
    <w:qFormat/>
    <w:pPr>
      <w:keepNext/>
      <w:ind w:left="60"/>
      <w:jc w:val="both"/>
      <w:outlineLvl w:val="4"/>
    </w:pPr>
    <w:rPr>
      <w:rFonts w:ascii="Arial" w:hAnsi="Arial" w:cs="Arial"/>
      <w:b/>
      <w:bCs/>
      <w:color w:val="0000FF"/>
      <w:sz w:val="28"/>
    </w:rPr>
  </w:style>
  <w:style w:type="paragraph" w:styleId="Heading6">
    <w:name w:val="heading 6"/>
    <w:basedOn w:val="Normal"/>
    <w:next w:val="Normal"/>
    <w:qFormat/>
    <w:pPr>
      <w:keepNext/>
      <w:ind w:left="60"/>
      <w:jc w:val="both"/>
      <w:outlineLvl w:val="5"/>
    </w:pPr>
    <w:rPr>
      <w:rFonts w:ascii="Arial" w:hAnsi="Arial" w:cs="Arial"/>
      <w:b/>
      <w:bCs/>
    </w:rPr>
  </w:style>
  <w:style w:type="paragraph" w:styleId="Heading7">
    <w:name w:val="heading 7"/>
    <w:basedOn w:val="Normal"/>
    <w:next w:val="Normal"/>
    <w:qFormat/>
    <w:pPr>
      <w:keepNext/>
      <w:jc w:val="both"/>
      <w:outlineLvl w:val="6"/>
    </w:pPr>
    <w:rPr>
      <w:rFonts w:ascii="Arial" w:hAnsi="Arial" w:cs="Arial"/>
      <w:b/>
      <w:bCs/>
    </w:rPr>
  </w:style>
  <w:style w:type="paragraph" w:styleId="Heading8">
    <w:name w:val="heading 8"/>
    <w:basedOn w:val="Normal"/>
    <w:next w:val="Normal"/>
    <w:link w:val="Heading8Char"/>
    <w:qFormat/>
    <w:pPr>
      <w:keepNext/>
      <w:outlineLvl w:val="7"/>
    </w:pPr>
    <w:rPr>
      <w:rFonts w:ascii="Arial" w:hAnsi="Arial" w:cs="Arial"/>
      <w:b/>
      <w:bCs/>
    </w:rPr>
  </w:style>
  <w:style w:type="paragraph" w:styleId="Heading9">
    <w:name w:val="heading 9"/>
    <w:basedOn w:val="Normal"/>
    <w:next w:val="Normal"/>
    <w:qFormat/>
    <w:pPr>
      <w:keepNext/>
      <w:tabs>
        <w:tab w:val="left" w:pos="317"/>
      </w:tabs>
      <w:overflowPunct w:val="0"/>
      <w:autoSpaceDE w:val="0"/>
      <w:autoSpaceDN w:val="0"/>
      <w:adjustRightInd w:val="0"/>
      <w:ind w:left="34"/>
      <w:jc w:val="both"/>
      <w:textAlignment w:val="baseline"/>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0"/>
      <w:jc w:val="both"/>
    </w:pPr>
    <w:rPr>
      <w:rFonts w:ascii="Arial" w:hAnsi="Arial" w:cs="Arial"/>
    </w:rPr>
  </w:style>
  <w:style w:type="character" w:styleId="Hyperlink">
    <w:name w:val="Hyperlink"/>
    <w:uiPriority w:val="99"/>
    <w:rPr>
      <w:color w:val="0000FF"/>
      <w:u w:val="single"/>
    </w:rPr>
  </w:style>
  <w:style w:type="paragraph" w:styleId="BodyText">
    <w:name w:val="Body Text"/>
    <w:basedOn w:val="Normal"/>
    <w:pPr>
      <w:jc w:val="center"/>
    </w:pPr>
    <w:rPr>
      <w:rFonts w:ascii="Arial" w:hAnsi="Arial" w:cs="Arial"/>
      <w:b/>
      <w:bCs/>
    </w:rPr>
  </w:style>
  <w:style w:type="paragraph" w:customStyle="1" w:styleId="xl24">
    <w:name w:val="xl24"/>
    <w:basedOn w:val="Normal"/>
    <w:pPr>
      <w:overflowPunct w:val="0"/>
      <w:autoSpaceDE w:val="0"/>
      <w:autoSpaceDN w:val="0"/>
      <w:adjustRightInd w:val="0"/>
      <w:spacing w:before="100" w:after="100"/>
      <w:textAlignment w:val="baseline"/>
    </w:pPr>
    <w:rPr>
      <w:szCs w:val="20"/>
    </w:rPr>
  </w:style>
  <w:style w:type="paragraph" w:styleId="BodyText3">
    <w:name w:val="Body Text 3"/>
    <w:basedOn w:val="Normal"/>
    <w:pPr>
      <w:overflowPunct w:val="0"/>
      <w:autoSpaceDE w:val="0"/>
      <w:autoSpaceDN w:val="0"/>
      <w:adjustRightInd w:val="0"/>
      <w:jc w:val="both"/>
      <w:textAlignment w:val="baseline"/>
    </w:pPr>
    <w:rPr>
      <w:b/>
      <w:szCs w:val="20"/>
    </w:rPr>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Arial" w:hAnsi="Arial"/>
      <w:szCs w:val="20"/>
      <w:lang w:val="x-none"/>
    </w:rPr>
  </w:style>
  <w:style w:type="paragraph" w:styleId="BodyText2">
    <w:name w:val="Body Text 2"/>
    <w:basedOn w:val="Normal"/>
    <w:pPr>
      <w:numPr>
        <w:ilvl w:val="12"/>
      </w:numPr>
      <w:jc w:val="center"/>
    </w:pPr>
    <w:rPr>
      <w:rFonts w:ascii="Arial" w:hAnsi="Arial" w:cs="Arial"/>
      <w:b/>
      <w:bCs/>
      <w:sz w:val="20"/>
    </w:rPr>
  </w:style>
  <w:style w:type="paragraph" w:styleId="BlockText">
    <w:name w:val="Block Text"/>
    <w:basedOn w:val="Normal"/>
    <w:pPr>
      <w:ind w:left="720" w:right="26" w:hanging="720"/>
      <w:jc w:val="both"/>
    </w:pPr>
    <w:rPr>
      <w:rFonts w:ascii="Arial" w:hAnsi="Arial" w:cs="Arial"/>
      <w:bCs/>
    </w:rPr>
  </w:style>
  <w:style w:type="paragraph" w:customStyle="1" w:styleId="NormalWeb1">
    <w:name w:val="Normal (Web)1"/>
    <w:basedOn w:val="Normal"/>
    <w:pPr>
      <w:spacing w:before="100" w:beforeAutospacing="1" w:after="100" w:afterAutospacing="1"/>
    </w:pPr>
    <w:rPr>
      <w:rFonts w:ascii="Arial" w:eastAsia="Arial Unicode MS" w:hAnsi="Arial" w:cs="Arial"/>
    </w:rPr>
  </w:style>
  <w:style w:type="character" w:customStyle="1" w:styleId="bodytextitalic1">
    <w:name w:val="bodytextitalic1"/>
    <w:rPr>
      <w:i/>
      <w:iCs/>
    </w:rPr>
  </w:style>
  <w:style w:type="paragraph" w:styleId="BodyTextIndent2">
    <w:name w:val="Body Text Indent 2"/>
    <w:basedOn w:val="Normal"/>
    <w:pPr>
      <w:ind w:left="720"/>
      <w:jc w:val="both"/>
    </w:pPr>
    <w:rPr>
      <w:rFonts w:ascii="Arial" w:hAnsi="Arial" w:cs="Arial"/>
    </w:rPr>
  </w:style>
  <w:style w:type="paragraph" w:customStyle="1" w:styleId="Default">
    <w:name w:val="Default"/>
    <w:pPr>
      <w:autoSpaceDE w:val="0"/>
      <w:autoSpaceDN w:val="0"/>
      <w:adjustRightInd w:val="0"/>
    </w:pPr>
    <w:rPr>
      <w:rFonts w:ascii="Tahoma" w:hAnsi="Tahoma" w:cs="Tahoma"/>
      <w:color w:val="000000"/>
      <w:sz w:val="24"/>
      <w:szCs w:val="24"/>
      <w:lang w:val="en-US" w:eastAsia="en-US"/>
    </w:rPr>
  </w:style>
  <w:style w:type="character" w:styleId="FollowedHyperlink">
    <w:name w:val="FollowedHyperlink"/>
    <w:rPr>
      <w:color w:val="800080"/>
      <w:u w:val="single"/>
    </w:rPr>
  </w:style>
  <w:style w:type="paragraph" w:styleId="Footer">
    <w:name w:val="footer"/>
    <w:basedOn w:val="Normal"/>
    <w:link w:val="FooterChar"/>
    <w:pPr>
      <w:tabs>
        <w:tab w:val="center" w:pos="4153"/>
        <w:tab w:val="right" w:pos="8306"/>
      </w:tabs>
    </w:pPr>
  </w:style>
  <w:style w:type="paragraph" w:customStyle="1" w:styleId="xl25">
    <w:name w:val="xl25"/>
    <w:basedOn w:val="Normal"/>
    <w:pPr>
      <w:shd w:val="clear" w:color="auto" w:fill="FFFFFF"/>
      <w:spacing w:before="100" w:beforeAutospacing="1" w:after="100" w:afterAutospacing="1"/>
    </w:pPr>
    <w:rPr>
      <w:rFonts w:ascii="Arial" w:eastAsia="Arial Unicode MS" w:hAnsi="Arial" w:cs="Arial"/>
    </w:rPr>
  </w:style>
  <w:style w:type="paragraph" w:customStyle="1" w:styleId="xl26">
    <w:name w:val="xl26"/>
    <w:basedOn w:val="Normal"/>
    <w:pPr>
      <w:shd w:val="clear" w:color="auto" w:fill="FFFFFF"/>
      <w:spacing w:before="100" w:beforeAutospacing="1" w:after="100" w:afterAutospacing="1"/>
    </w:pPr>
    <w:rPr>
      <w:rFonts w:ascii="Arial" w:eastAsia="Arial Unicode MS" w:hAnsi="Arial" w:cs="Arial"/>
      <w:b/>
      <w:bCs/>
    </w:rPr>
  </w:style>
  <w:style w:type="paragraph" w:customStyle="1" w:styleId="xl27">
    <w:name w:val="xl27"/>
    <w:basedOn w:val="Normal"/>
    <w:pPr>
      <w:shd w:val="clear" w:color="auto" w:fill="FFFFFF"/>
      <w:spacing w:before="100" w:beforeAutospacing="1" w:after="100" w:afterAutospacing="1"/>
      <w:jc w:val="center"/>
    </w:pPr>
    <w:rPr>
      <w:rFonts w:ascii="Arial" w:eastAsia="Arial Unicode MS" w:hAnsi="Arial" w:cs="Arial"/>
      <w:b/>
      <w:bCs/>
    </w:rPr>
  </w:style>
  <w:style w:type="paragraph" w:customStyle="1" w:styleId="xl28">
    <w:name w:val="xl28"/>
    <w:basedOn w:val="Normal"/>
    <w:pPr>
      <w:shd w:val="clear" w:color="auto" w:fill="FFFFFF"/>
      <w:spacing w:before="100" w:beforeAutospacing="1" w:after="100" w:afterAutospacing="1"/>
      <w:jc w:val="center"/>
    </w:pPr>
    <w:rPr>
      <w:rFonts w:ascii="Arial" w:eastAsia="Arial Unicode MS" w:hAnsi="Arial" w:cs="Arial"/>
      <w:b/>
      <w:bCs/>
    </w:rPr>
  </w:style>
  <w:style w:type="paragraph" w:customStyle="1" w:styleId="xl29">
    <w:name w:val="xl29"/>
    <w:basedOn w:val="Normal"/>
    <w:pPr>
      <w:shd w:val="clear" w:color="auto" w:fill="FFFFFF"/>
      <w:spacing w:before="100" w:beforeAutospacing="1" w:after="100" w:afterAutospacing="1"/>
    </w:pPr>
    <w:rPr>
      <w:rFonts w:ascii="Arial" w:eastAsia="Arial Unicode MS" w:hAnsi="Arial" w:cs="Arial"/>
      <w:b/>
      <w:bCs/>
    </w:rPr>
  </w:style>
  <w:style w:type="paragraph" w:customStyle="1" w:styleId="xl30">
    <w:name w:val="xl30"/>
    <w:basedOn w:val="Normal"/>
    <w:pPr>
      <w:pBdr>
        <w:bottom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1">
    <w:name w:val="xl31"/>
    <w:basedOn w:val="Normal"/>
    <w:pPr>
      <w:pBdr>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32">
    <w:name w:val="xl32"/>
    <w:basedOn w:val="Normal"/>
    <w:pPr>
      <w:pBdr>
        <w:bottom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3">
    <w:name w:val="xl33"/>
    <w:basedOn w:val="Normal"/>
    <w:pPr>
      <w:pBdr>
        <w:top w:val="single" w:sz="4" w:space="0" w:color="auto"/>
        <w:bottom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4">
    <w:name w:val="xl34"/>
    <w:basedOn w:val="Normal"/>
    <w:pPr>
      <w:spacing w:before="100" w:beforeAutospacing="1" w:after="100" w:afterAutospacing="1"/>
      <w:jc w:val="center"/>
    </w:pPr>
    <w:rPr>
      <w:rFonts w:ascii="Arial" w:eastAsia="Arial Unicode MS" w:hAnsi="Arial" w:cs="Arial"/>
      <w:b/>
      <w:bCs/>
    </w:rPr>
  </w:style>
  <w:style w:type="paragraph" w:customStyle="1" w:styleId="xl35">
    <w:name w:val="xl35"/>
    <w:basedOn w:val="Normal"/>
    <w:pPr>
      <w:pBdr>
        <w:bottom w:val="single" w:sz="4" w:space="0" w:color="auto"/>
      </w:pBdr>
      <w:shd w:val="clear" w:color="auto" w:fill="FFFFFF"/>
      <w:spacing w:before="100" w:beforeAutospacing="1" w:after="100" w:afterAutospacing="1"/>
      <w:jc w:val="right"/>
    </w:pPr>
    <w:rPr>
      <w:rFonts w:ascii="Arial" w:eastAsia="Arial Unicode MS" w:hAnsi="Arial" w:cs="Arial"/>
    </w:rPr>
  </w:style>
  <w:style w:type="paragraph" w:customStyle="1" w:styleId="xl36">
    <w:name w:val="xl36"/>
    <w:basedOn w:val="Normal"/>
    <w:pPr>
      <w:shd w:val="clear" w:color="auto" w:fill="FFFFFF"/>
      <w:spacing w:before="100" w:beforeAutospacing="1" w:after="100" w:afterAutospacing="1"/>
      <w:jc w:val="right"/>
    </w:pPr>
    <w:rPr>
      <w:rFonts w:ascii="Arial" w:eastAsia="Arial Unicode MS" w:hAnsi="Arial" w:cs="Arial"/>
      <w:b/>
      <w:bCs/>
    </w:rPr>
  </w:style>
  <w:style w:type="paragraph" w:customStyle="1" w:styleId="xl37">
    <w:name w:val="xl37"/>
    <w:basedOn w:val="Normal"/>
    <w:pPr>
      <w:pBdr>
        <w:top w:val="single" w:sz="4" w:space="0" w:color="auto"/>
        <w:bottom w:val="double" w:sz="6" w:space="0" w:color="auto"/>
      </w:pBdr>
      <w:shd w:val="clear" w:color="auto" w:fill="FFFFFF"/>
      <w:spacing w:before="100" w:beforeAutospacing="1" w:after="100" w:afterAutospacing="1"/>
      <w:jc w:val="right"/>
    </w:pPr>
    <w:rPr>
      <w:rFonts w:ascii="Arial" w:eastAsia="Arial Unicode MS" w:hAnsi="Arial" w:cs="Arial"/>
      <w:b/>
      <w:bCs/>
    </w:rPr>
  </w:style>
  <w:style w:type="paragraph" w:customStyle="1" w:styleId="xl38">
    <w:name w:val="xl38"/>
    <w:basedOn w:val="Normal"/>
    <w:pPr>
      <w:shd w:val="clear" w:color="auto" w:fill="FFFFFF"/>
      <w:spacing w:before="100" w:beforeAutospacing="1" w:after="100" w:afterAutospacing="1"/>
    </w:pPr>
    <w:rPr>
      <w:rFonts w:ascii="Arial" w:eastAsia="Arial Unicode MS" w:hAnsi="Arial" w:cs="Arial"/>
    </w:rPr>
  </w:style>
  <w:style w:type="paragraph" w:customStyle="1" w:styleId="xl39">
    <w:name w:val="xl39"/>
    <w:basedOn w:val="Normal"/>
    <w:pPr>
      <w:shd w:val="clear" w:color="auto" w:fill="FFFFFF"/>
      <w:spacing w:before="100" w:beforeAutospacing="1" w:after="100" w:afterAutospacing="1"/>
      <w:jc w:val="center"/>
    </w:pPr>
    <w:rPr>
      <w:rFonts w:ascii="Arial" w:eastAsia="Arial Unicode MS" w:hAnsi="Arial" w:cs="Arial"/>
      <w:b/>
      <w:bCs/>
    </w:rPr>
  </w:style>
  <w:style w:type="paragraph" w:customStyle="1" w:styleId="xl40">
    <w:name w:val="xl40"/>
    <w:basedOn w:val="Normal"/>
    <w:pPr>
      <w:shd w:val="clear" w:color="auto" w:fill="FFFFFF"/>
      <w:spacing w:before="100" w:beforeAutospacing="1" w:after="100" w:afterAutospacing="1"/>
      <w:jc w:val="center"/>
    </w:pPr>
    <w:rPr>
      <w:rFonts w:ascii="Arial" w:eastAsia="Arial Unicode MS" w:hAnsi="Arial" w:cs="Arial"/>
      <w:b/>
      <w:bCs/>
      <w:u w:val="single"/>
    </w:rPr>
  </w:style>
  <w:style w:type="paragraph" w:customStyle="1" w:styleId="xl41">
    <w:name w:val="xl41"/>
    <w:basedOn w:val="Normal"/>
    <w:pPr>
      <w:shd w:val="clear" w:color="auto" w:fill="FFFFFF"/>
      <w:spacing w:before="100" w:beforeAutospacing="1" w:after="100" w:afterAutospacing="1"/>
      <w:jc w:val="right"/>
    </w:pPr>
    <w:rPr>
      <w:rFonts w:ascii="Arial" w:eastAsia="Arial Unicode MS" w:hAnsi="Arial" w:cs="Arial"/>
    </w:rPr>
  </w:style>
  <w:style w:type="paragraph" w:styleId="Caption">
    <w:name w:val="caption"/>
    <w:basedOn w:val="Normal"/>
    <w:next w:val="Normal"/>
    <w:qFormat/>
    <w:rPr>
      <w:rFonts w:ascii="Arial" w:hAnsi="Arial" w:cs="Arial"/>
      <w:b/>
      <w:bCs/>
    </w:rPr>
  </w:style>
  <w:style w:type="paragraph" w:styleId="BodyTextIndent3">
    <w:name w:val="Body Text Indent 3"/>
    <w:basedOn w:val="Normal"/>
    <w:pPr>
      <w:ind w:firstLine="11"/>
      <w:jc w:val="both"/>
    </w:pPr>
    <w:rPr>
      <w:rFonts w:ascii="Arial" w:hAnsi="Arial" w:cs="Arial"/>
    </w:rPr>
  </w:style>
  <w:style w:type="paragraph" w:styleId="Title">
    <w:name w:val="Title"/>
    <w:basedOn w:val="Normal"/>
    <w:qFormat/>
    <w:pPr>
      <w:overflowPunct w:val="0"/>
      <w:autoSpaceDE w:val="0"/>
      <w:autoSpaceDN w:val="0"/>
      <w:adjustRightInd w:val="0"/>
      <w:jc w:val="center"/>
      <w:textAlignment w:val="baseline"/>
    </w:pPr>
    <w:rPr>
      <w:b/>
      <w:szCs w:val="20"/>
      <w:u w:val="single"/>
    </w:r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lang w:val="en-US"/>
    </w:rPr>
  </w:style>
  <w:style w:type="paragraph" w:customStyle="1" w:styleId="content">
    <w:name w:val="content"/>
    <w:basedOn w:val="Normal"/>
    <w:pPr>
      <w:spacing w:before="100" w:beforeAutospacing="1" w:after="100" w:afterAutospacing="1"/>
    </w:pPr>
    <w:rPr>
      <w:color w:val="000000"/>
      <w:sz w:val="19"/>
      <w:szCs w:val="19"/>
      <w:lang w:val="en-US"/>
    </w:rPr>
  </w:style>
  <w:style w:type="paragraph" w:customStyle="1" w:styleId="1number1">
    <w:name w:val="1 number 1"/>
    <w:basedOn w:val="Normal"/>
    <w:pPr>
      <w:widowControl w:val="0"/>
      <w:numPr>
        <w:numId w:val="11"/>
      </w:numPr>
      <w:suppressAutoHyphens/>
      <w:autoSpaceDE w:val="0"/>
      <w:autoSpaceDN w:val="0"/>
      <w:adjustRightInd w:val="0"/>
      <w:spacing w:after="300" w:line="300" w:lineRule="atLeast"/>
      <w:textAlignment w:val="center"/>
    </w:pPr>
    <w:rPr>
      <w:rFonts w:ascii="Frutiger LT Std 45 Light" w:hAnsi="Frutiger LT Std 45 Light" w:cs="FrutigerLTStd-LightItalic"/>
      <w:iCs/>
      <w:color w:val="000000"/>
      <w:spacing w:val="-1"/>
    </w:rPr>
  </w:style>
  <w:style w:type="paragraph" w:customStyle="1" w:styleId="Style1number1Italic">
    <w:name w:val="Style 1 number 1 + Italic"/>
    <w:basedOn w:val="1number1"/>
  </w:style>
  <w:style w:type="character" w:customStyle="1" w:styleId="1number1Char">
    <w:name w:val="1 number 1 Char"/>
    <w:rPr>
      <w:rFonts w:ascii="Frutiger LT Std 45 Light" w:hAnsi="Frutiger LT Std 45 Light" w:cs="FrutigerLTStd-LightItalic"/>
      <w:iCs/>
      <w:color w:val="000000"/>
      <w:spacing w:val="-1"/>
      <w:sz w:val="24"/>
      <w:szCs w:val="24"/>
      <w:lang w:val="en-GB" w:eastAsia="en-US" w:bidi="ar-SA"/>
    </w:rPr>
  </w:style>
  <w:style w:type="character" w:customStyle="1" w:styleId="Style1number1ItalicChar">
    <w:name w:val="Style 1 number 1 + Italic Char"/>
    <w:rPr>
      <w:rFonts w:ascii="Frutiger LT Std 45 Light" w:hAnsi="Frutiger LT Std 45 Light" w:cs="FrutigerLTStd-LightItalic"/>
      <w:iCs/>
      <w:color w:val="000000"/>
      <w:spacing w:val="-1"/>
      <w:sz w:val="24"/>
      <w:szCs w:val="24"/>
      <w:lang w:val="en-GB" w:eastAsia="en-US" w:bidi="ar-SA"/>
    </w:rPr>
  </w:style>
  <w:style w:type="paragraph" w:customStyle="1" w:styleId="BodyText1">
    <w:name w:val="Body Text1"/>
    <w:basedOn w:val="Normal"/>
    <w:pPr>
      <w:widowControl w:val="0"/>
      <w:suppressAutoHyphens/>
      <w:autoSpaceDE w:val="0"/>
      <w:autoSpaceDN w:val="0"/>
      <w:adjustRightInd w:val="0"/>
      <w:spacing w:after="280" w:line="320" w:lineRule="atLeast"/>
      <w:ind w:left="567" w:hanging="567"/>
      <w:textAlignment w:val="center"/>
    </w:pPr>
    <w:rPr>
      <w:rFonts w:ascii="FrutigerLTStd-Light" w:hAnsi="FrutigerLTStd-Light" w:cs="FrutigerLTStd-Light"/>
      <w:color w:val="000000"/>
    </w:rPr>
  </w:style>
  <w:style w:type="paragraph" w:customStyle="1" w:styleId="Bullettextlastline">
    <w:name w:val="Bullet text last line"/>
    <w:basedOn w:val="Normal"/>
    <w:pPr>
      <w:widowControl w:val="0"/>
      <w:numPr>
        <w:numId w:val="12"/>
      </w:numPr>
      <w:suppressAutoHyphens/>
      <w:autoSpaceDE w:val="0"/>
      <w:autoSpaceDN w:val="0"/>
      <w:adjustRightInd w:val="0"/>
      <w:spacing w:after="280" w:line="320" w:lineRule="atLeast"/>
      <w:textAlignment w:val="center"/>
    </w:pPr>
    <w:rPr>
      <w:rFonts w:ascii="FrutigerLTStd-Light" w:hAnsi="FrutigerLTStd-Light" w:cs="FrutigerLTStd-Light"/>
      <w:color w:val="000000"/>
    </w:rPr>
  </w:style>
  <w:style w:type="character" w:customStyle="1" w:styleId="Boldtext">
    <w:name w:val="Bold text"/>
    <w:rPr>
      <w:rFonts w:ascii="FrutigerLTStd-Bold" w:hAnsi="FrutigerLTStd-Bold" w:cs="FrutigerLTStd-Bold"/>
      <w:b/>
      <w:bCs/>
    </w:rPr>
  </w:style>
  <w:style w:type="character" w:customStyle="1" w:styleId="legislationtext1">
    <w:name w:val="legislationtext1"/>
    <w:rPr>
      <w:rFonts w:ascii="Arial" w:hAnsi="Arial" w:cs="Arial" w:hint="default"/>
      <w:b w:val="0"/>
      <w:bCs w:val="0"/>
      <w:vanish w:val="0"/>
      <w:webHidden w:val="0"/>
      <w:specVanish w:val="0"/>
    </w:rPr>
  </w:style>
  <w:style w:type="character" w:styleId="Strong">
    <w:name w:val="Strong"/>
    <w:uiPriority w:val="22"/>
    <w:qFormat/>
    <w:rPr>
      <w:b/>
      <w:bCs/>
    </w:rPr>
  </w:style>
  <w:style w:type="paragraph" w:customStyle="1" w:styleId="bodytext10">
    <w:name w:val="body_text1"/>
    <w:basedOn w:val="Normal"/>
    <w:pPr>
      <w:spacing w:before="100" w:beforeAutospacing="1" w:after="100" w:afterAutospacing="1"/>
    </w:pPr>
    <w:rPr>
      <w:rFonts w:ascii="Arial" w:hAnsi="Arial" w:cs="Arial"/>
      <w:lang w:val="en-US"/>
    </w:rPr>
  </w:style>
  <w:style w:type="paragraph" w:customStyle="1" w:styleId="text">
    <w:name w:val="text"/>
    <w:basedOn w:val="Normal"/>
    <w:pPr>
      <w:spacing w:before="100" w:beforeAutospacing="1" w:after="100" w:afterAutospacing="1"/>
    </w:pPr>
    <w:rPr>
      <w:rFonts w:ascii="Arial" w:hAnsi="Arial" w:cs="Arial"/>
      <w:sz w:val="18"/>
      <w:szCs w:val="18"/>
      <w:lang w:val="en-US"/>
    </w:rPr>
  </w:style>
  <w:style w:type="character" w:styleId="FootnoteReference">
    <w:name w:val="footnote reference"/>
    <w:semiHidden/>
    <w:rPr>
      <w:vertAlign w:val="superscript"/>
    </w:rPr>
  </w:style>
  <w:style w:type="paragraph" w:styleId="FootnoteText">
    <w:name w:val="footnote text"/>
    <w:basedOn w:val="Normal"/>
    <w:semiHidden/>
    <w:rPr>
      <w:rFonts w:ascii="Arial" w:hAnsi="Arial" w:cs="Arial"/>
      <w:sz w:val="20"/>
      <w:szCs w:val="20"/>
    </w:rPr>
  </w:style>
  <w:style w:type="paragraph" w:styleId="BalloonText">
    <w:name w:val="Balloon Text"/>
    <w:basedOn w:val="Normal"/>
    <w:semiHidden/>
    <w:rPr>
      <w:rFonts w:ascii="Tahoma" w:hAnsi="Tahoma" w:cs="Tahoma"/>
      <w:sz w:val="16"/>
      <w:szCs w:val="16"/>
    </w:rPr>
  </w:style>
  <w:style w:type="paragraph" w:styleId="ListBullet5">
    <w:name w:val="List Bullet 5"/>
    <w:basedOn w:val="Normal"/>
    <w:autoRedefine/>
    <w:pPr>
      <w:numPr>
        <w:numId w:val="14"/>
      </w:numPr>
    </w:pPr>
    <w:rPr>
      <w:rFonts w:ascii="Swis721 BT" w:hAnsi="Swis721 BT"/>
      <w:sz w:val="20"/>
    </w:rPr>
  </w:style>
  <w:style w:type="paragraph" w:customStyle="1" w:styleId="tablebullet">
    <w:name w:val="tablebullet"/>
    <w:basedOn w:val="Normal"/>
    <w:pPr>
      <w:numPr>
        <w:numId w:val="15"/>
      </w:numPr>
      <w:spacing w:before="100" w:beforeAutospacing="1" w:after="60"/>
    </w:pPr>
    <w:rPr>
      <w:rFonts w:ascii="Arial" w:hAnsi="Arial"/>
      <w:sz w:val="20"/>
      <w:lang w:val="en-US"/>
    </w:rPr>
  </w:style>
  <w:style w:type="paragraph" w:styleId="Subtitle">
    <w:name w:val="Subtitle"/>
    <w:basedOn w:val="Normal"/>
    <w:qFormat/>
    <w:pPr>
      <w:jc w:val="center"/>
    </w:pPr>
    <w:rPr>
      <w:b/>
      <w:sz w:val="20"/>
      <w:szCs w:val="20"/>
      <w:u w:val="single"/>
      <w:lang w:eastAsia="en-GB"/>
    </w:rPr>
  </w:style>
  <w:style w:type="paragraph" w:customStyle="1" w:styleId="xl66">
    <w:name w:val="xl66"/>
    <w:basedOn w:val="Normal"/>
    <w:pPr>
      <w:spacing w:before="100" w:beforeAutospacing="1" w:after="100" w:afterAutospacing="1"/>
    </w:pPr>
    <w:rPr>
      <w:rFonts w:ascii="Arial" w:eastAsia="Arial Unicode MS" w:hAnsi="Arial" w:cs="Arial"/>
      <w:b/>
      <w:bCs/>
      <w:sz w:val="16"/>
      <w:szCs w:val="16"/>
    </w:rPr>
  </w:style>
  <w:style w:type="paragraph" w:customStyle="1" w:styleId="xl67">
    <w:name w:val="xl67"/>
    <w:basedOn w:val="Normal"/>
    <w:pPr>
      <w:spacing w:before="100" w:beforeAutospacing="1" w:after="100" w:afterAutospacing="1"/>
    </w:pPr>
    <w:rPr>
      <w:rFonts w:ascii="Arial" w:eastAsia="Arial Unicode MS" w:hAnsi="Arial" w:cs="Arial"/>
      <w:sz w:val="16"/>
      <w:szCs w:val="16"/>
    </w:rPr>
  </w:style>
  <w:style w:type="paragraph" w:customStyle="1" w:styleId="xl68">
    <w:name w:val="xl68"/>
    <w:basedOn w:val="Normal"/>
    <w:pPr>
      <w:spacing w:before="100" w:beforeAutospacing="1" w:after="100" w:afterAutospacing="1"/>
    </w:pPr>
    <w:rPr>
      <w:rFonts w:ascii="Arial" w:eastAsia="Arial Unicode MS" w:hAnsi="Arial" w:cs="Arial"/>
      <w:sz w:val="16"/>
      <w:szCs w:val="16"/>
    </w:rPr>
  </w:style>
  <w:style w:type="paragraph" w:customStyle="1" w:styleId="xl69">
    <w:name w:val="xl69"/>
    <w:basedOn w:val="Normal"/>
    <w:pPr>
      <w:spacing w:before="100" w:beforeAutospacing="1" w:after="100" w:afterAutospacing="1"/>
    </w:pPr>
    <w:rPr>
      <w:rFonts w:ascii="Arial" w:eastAsia="Arial Unicode MS" w:hAnsi="Arial" w:cs="Arial"/>
      <w:b/>
      <w:bCs/>
      <w:sz w:val="16"/>
      <w:szCs w:val="16"/>
    </w:rPr>
  </w:style>
  <w:style w:type="paragraph" w:customStyle="1" w:styleId="xl70">
    <w:name w:val="xl70"/>
    <w:basedOn w:val="Normal"/>
    <w:pPr>
      <w:spacing w:before="100" w:beforeAutospacing="1" w:after="100" w:afterAutospacing="1"/>
    </w:pPr>
    <w:rPr>
      <w:rFonts w:ascii="Arial" w:eastAsia="Arial Unicode MS" w:hAnsi="Arial" w:cs="Arial"/>
      <w:b/>
      <w:bCs/>
      <w:sz w:val="16"/>
      <w:szCs w:val="16"/>
    </w:rPr>
  </w:style>
  <w:style w:type="paragraph" w:customStyle="1" w:styleId="xl71">
    <w:name w:val="xl71"/>
    <w:basedOn w:val="Normal"/>
    <w:pPr>
      <w:pBdr>
        <w:top w:val="single" w:sz="8" w:space="0" w:color="auto"/>
        <w:left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72">
    <w:name w:val="xl72"/>
    <w:basedOn w:val="Normal"/>
    <w:pPr>
      <w:pBdr>
        <w:top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73">
    <w:name w:val="xl73"/>
    <w:basedOn w:val="Normal"/>
    <w:pPr>
      <w:pBdr>
        <w:top w:val="single" w:sz="8" w:space="0" w:color="auto"/>
      </w:pBdr>
      <w:shd w:val="clear" w:color="auto" w:fill="FFFFFF"/>
      <w:spacing w:before="100" w:beforeAutospacing="1" w:after="100" w:afterAutospacing="1"/>
    </w:pPr>
    <w:rPr>
      <w:rFonts w:ascii="Arial" w:eastAsia="Arial Unicode MS" w:hAnsi="Arial" w:cs="Arial"/>
      <w:b/>
      <w:bCs/>
      <w:sz w:val="16"/>
      <w:szCs w:val="16"/>
    </w:rPr>
  </w:style>
  <w:style w:type="paragraph" w:customStyle="1" w:styleId="xl74">
    <w:name w:val="xl74"/>
    <w:basedOn w:val="Normal"/>
    <w:pPr>
      <w:pBdr>
        <w:top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75">
    <w:name w:val="xl75"/>
    <w:basedOn w:val="Normal"/>
    <w:pPr>
      <w:pBdr>
        <w:top w:val="single" w:sz="8" w:space="0" w:color="auto"/>
      </w:pBdr>
      <w:shd w:val="clear" w:color="auto" w:fill="FFFFFF"/>
      <w:spacing w:before="100" w:beforeAutospacing="1" w:after="100" w:afterAutospacing="1"/>
    </w:pPr>
    <w:rPr>
      <w:rFonts w:ascii="Arial" w:eastAsia="Arial Unicode MS" w:hAnsi="Arial" w:cs="Arial"/>
      <w:b/>
      <w:bCs/>
      <w:sz w:val="16"/>
      <w:szCs w:val="16"/>
    </w:rPr>
  </w:style>
  <w:style w:type="paragraph" w:customStyle="1" w:styleId="xl76">
    <w:name w:val="xl76"/>
    <w:basedOn w:val="Normal"/>
    <w:pPr>
      <w:pBdr>
        <w:top w:val="single" w:sz="8" w:space="0" w:color="auto"/>
      </w:pBdr>
      <w:shd w:val="clear" w:color="auto" w:fill="FFFFFF"/>
      <w:spacing w:before="100" w:beforeAutospacing="1" w:after="100" w:afterAutospacing="1"/>
    </w:pPr>
    <w:rPr>
      <w:rFonts w:ascii="Arial" w:eastAsia="Arial Unicode MS" w:hAnsi="Arial" w:cs="Arial"/>
      <w:b/>
      <w:bCs/>
      <w:sz w:val="16"/>
      <w:szCs w:val="16"/>
    </w:rPr>
  </w:style>
  <w:style w:type="paragraph" w:customStyle="1" w:styleId="xl77">
    <w:name w:val="xl77"/>
    <w:basedOn w:val="Normal"/>
    <w:pPr>
      <w:pBdr>
        <w:top w:val="single" w:sz="8" w:space="0" w:color="auto"/>
        <w:right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78">
    <w:name w:val="xl78"/>
    <w:basedOn w:val="Normal"/>
    <w:pPr>
      <w:pBdr>
        <w:lef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79">
    <w:name w:val="xl79"/>
    <w:basedOn w:val="Normal"/>
    <w:pP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80">
    <w:name w:val="xl80"/>
    <w:basedOn w:val="Normal"/>
    <w:pPr>
      <w:pBdr>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81">
    <w:name w:val="xl81"/>
    <w:basedOn w:val="Normal"/>
    <w:pPr>
      <w:pBdr>
        <w:left w:val="single" w:sz="8" w:space="0" w:color="auto"/>
        <w:bottom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82">
    <w:name w:val="xl82"/>
    <w:basedOn w:val="Normal"/>
    <w:pPr>
      <w:pBdr>
        <w:bottom w:val="single" w:sz="4"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83">
    <w:name w:val="xl83"/>
    <w:basedOn w:val="Normal"/>
    <w:pPr>
      <w:pBdr>
        <w:bottom w:val="single" w:sz="4" w:space="0" w:color="auto"/>
        <w:right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84">
    <w:name w:val="xl84"/>
    <w:basedOn w:val="Normal"/>
    <w:pPr>
      <w:pBdr>
        <w:left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85">
    <w:name w:val="xl85"/>
    <w:basedOn w:val="Normal"/>
    <w:pPr>
      <w:shd w:val="clear" w:color="auto" w:fill="FFFFFF"/>
      <w:spacing w:before="100" w:beforeAutospacing="1" w:after="100" w:afterAutospacing="1"/>
    </w:pPr>
    <w:rPr>
      <w:rFonts w:ascii="Arial" w:eastAsia="Arial Unicode MS" w:hAnsi="Arial" w:cs="Arial"/>
      <w:sz w:val="16"/>
      <w:szCs w:val="16"/>
    </w:rPr>
  </w:style>
  <w:style w:type="paragraph" w:customStyle="1" w:styleId="xl86">
    <w:name w:val="xl86"/>
    <w:basedOn w:val="Normal"/>
    <w:pPr>
      <w:shd w:val="clear" w:color="auto" w:fill="FFFFFF"/>
      <w:spacing w:before="100" w:beforeAutospacing="1" w:after="100" w:afterAutospacing="1"/>
    </w:pPr>
    <w:rPr>
      <w:rFonts w:ascii="Arial" w:eastAsia="Arial Unicode MS" w:hAnsi="Arial" w:cs="Arial"/>
      <w:b/>
      <w:bCs/>
      <w:sz w:val="16"/>
      <w:szCs w:val="16"/>
    </w:rPr>
  </w:style>
  <w:style w:type="paragraph" w:customStyle="1" w:styleId="xl87">
    <w:name w:val="xl87"/>
    <w:basedOn w:val="Normal"/>
    <w:pPr>
      <w:shd w:val="clear" w:color="auto" w:fill="FFFFFF"/>
      <w:spacing w:before="100" w:beforeAutospacing="1" w:after="100" w:afterAutospacing="1"/>
    </w:pPr>
    <w:rPr>
      <w:rFonts w:ascii="Arial" w:eastAsia="Arial Unicode MS" w:hAnsi="Arial" w:cs="Arial"/>
      <w:sz w:val="16"/>
      <w:szCs w:val="16"/>
    </w:rPr>
  </w:style>
  <w:style w:type="paragraph" w:customStyle="1" w:styleId="xl88">
    <w:name w:val="xl88"/>
    <w:basedOn w:val="Normal"/>
    <w:pPr>
      <w:shd w:val="clear" w:color="auto" w:fill="FFFFFF"/>
      <w:spacing w:before="100" w:beforeAutospacing="1" w:after="100" w:afterAutospacing="1"/>
    </w:pPr>
    <w:rPr>
      <w:rFonts w:ascii="Arial" w:eastAsia="Arial Unicode MS" w:hAnsi="Arial" w:cs="Arial"/>
      <w:b/>
      <w:bCs/>
      <w:sz w:val="16"/>
      <w:szCs w:val="16"/>
    </w:rPr>
  </w:style>
  <w:style w:type="paragraph" w:customStyle="1" w:styleId="xl89">
    <w:name w:val="xl89"/>
    <w:basedOn w:val="Normal"/>
    <w:pPr>
      <w:pBdr>
        <w:right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90">
    <w:name w:val="xl90"/>
    <w:basedOn w:val="Normal"/>
    <w:pPr>
      <w:pBdr>
        <w:left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91">
    <w:name w:val="xl91"/>
    <w:basedOn w:val="Normal"/>
    <w:pP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92">
    <w:name w:val="xl92"/>
    <w:basedOn w:val="Normal"/>
    <w:pPr>
      <w:shd w:val="clear" w:color="auto" w:fill="FFFFFF"/>
      <w:spacing w:before="100" w:beforeAutospacing="1" w:after="100" w:afterAutospacing="1"/>
    </w:pPr>
    <w:rPr>
      <w:rFonts w:ascii="Arial" w:eastAsia="Arial Unicode MS" w:hAnsi="Arial" w:cs="Arial"/>
      <w:b/>
      <w:bCs/>
      <w:sz w:val="16"/>
      <w:szCs w:val="16"/>
    </w:rPr>
  </w:style>
  <w:style w:type="paragraph" w:customStyle="1" w:styleId="xl93">
    <w:name w:val="xl93"/>
    <w:basedOn w:val="Normal"/>
    <w:pPr>
      <w:pBdr>
        <w:right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94">
    <w:name w:val="xl94"/>
    <w:basedOn w:val="Normal"/>
    <w:pP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95">
    <w:name w:val="xl95"/>
    <w:basedOn w:val="Normal"/>
    <w:pPr>
      <w:pBdr>
        <w:left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96">
    <w:name w:val="xl96"/>
    <w:basedOn w:val="Normal"/>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97">
    <w:name w:val="xl97"/>
    <w:basedOn w:val="Normal"/>
    <w:pPr>
      <w:pBdr>
        <w:top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98">
    <w:name w:val="xl98"/>
    <w:basedOn w:val="Normal"/>
    <w:pPr>
      <w:pBdr>
        <w:top w:val="single" w:sz="4" w:space="0" w:color="auto"/>
      </w:pBdr>
      <w:shd w:val="clear" w:color="auto" w:fill="FFFFFF"/>
      <w:spacing w:before="100" w:beforeAutospacing="1" w:after="100" w:afterAutospacing="1"/>
    </w:pPr>
    <w:rPr>
      <w:rFonts w:ascii="Arial" w:eastAsia="Arial Unicode MS" w:hAnsi="Arial" w:cs="Arial"/>
      <w:b/>
      <w:bCs/>
      <w:sz w:val="16"/>
      <w:szCs w:val="16"/>
    </w:rPr>
  </w:style>
  <w:style w:type="paragraph" w:customStyle="1" w:styleId="xl99">
    <w:name w:val="xl99"/>
    <w:basedOn w:val="Normal"/>
    <w:pPr>
      <w:pBdr>
        <w:top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100">
    <w:name w:val="xl100"/>
    <w:basedOn w:val="Normal"/>
    <w:pPr>
      <w:pBdr>
        <w:top w:val="single" w:sz="4" w:space="0" w:color="auto"/>
      </w:pBdr>
      <w:shd w:val="clear" w:color="auto" w:fill="FFFFFF"/>
      <w:spacing w:before="100" w:beforeAutospacing="1" w:after="100" w:afterAutospacing="1"/>
    </w:pPr>
    <w:rPr>
      <w:rFonts w:ascii="Arial" w:eastAsia="Arial Unicode MS" w:hAnsi="Arial" w:cs="Arial"/>
      <w:b/>
      <w:bCs/>
      <w:sz w:val="16"/>
      <w:szCs w:val="16"/>
    </w:rPr>
  </w:style>
  <w:style w:type="paragraph" w:customStyle="1" w:styleId="xl101">
    <w:name w:val="xl101"/>
    <w:basedOn w:val="Normal"/>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sz w:val="16"/>
      <w:szCs w:val="16"/>
    </w:rPr>
  </w:style>
  <w:style w:type="paragraph" w:customStyle="1" w:styleId="xl102">
    <w:name w:val="xl102"/>
    <w:basedOn w:val="Normal"/>
    <w:pPr>
      <w:pBdr>
        <w:right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103">
    <w:name w:val="xl103"/>
    <w:basedOn w:val="Normal"/>
    <w:pPr>
      <w:pBdr>
        <w:left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104">
    <w:name w:val="xl104"/>
    <w:basedOn w:val="Normal"/>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105">
    <w:name w:val="xl105"/>
    <w:basedOn w:val="Normal"/>
    <w:pPr>
      <w:shd w:val="clear" w:color="auto" w:fill="FFFFFF"/>
      <w:spacing w:before="100" w:beforeAutospacing="1" w:after="100" w:afterAutospacing="1"/>
    </w:pPr>
    <w:rPr>
      <w:rFonts w:ascii="Arial" w:eastAsia="Arial Unicode MS" w:hAnsi="Arial" w:cs="Arial"/>
      <w:sz w:val="16"/>
      <w:szCs w:val="16"/>
    </w:rPr>
  </w:style>
  <w:style w:type="paragraph" w:customStyle="1" w:styleId="xl106">
    <w:name w:val="xl106"/>
    <w:basedOn w:val="Normal"/>
    <w:pPr>
      <w:shd w:val="clear" w:color="auto" w:fill="FFFFFF"/>
      <w:spacing w:before="100" w:beforeAutospacing="1" w:after="100" w:afterAutospacing="1"/>
    </w:pPr>
    <w:rPr>
      <w:rFonts w:ascii="Arial" w:eastAsia="Arial Unicode MS" w:hAnsi="Arial" w:cs="Arial"/>
      <w:b/>
      <w:bCs/>
      <w:sz w:val="16"/>
      <w:szCs w:val="16"/>
    </w:rPr>
  </w:style>
  <w:style w:type="paragraph" w:customStyle="1" w:styleId="xl107">
    <w:name w:val="xl107"/>
    <w:basedOn w:val="Normal"/>
    <w:pPr>
      <w:pBdr>
        <w:right w:val="single" w:sz="4" w:space="0" w:color="auto"/>
      </w:pBdr>
      <w:shd w:val="clear" w:color="auto" w:fill="FFFFFF"/>
      <w:spacing w:before="100" w:beforeAutospacing="1" w:after="100" w:afterAutospacing="1"/>
    </w:pPr>
    <w:rPr>
      <w:rFonts w:ascii="Arial" w:eastAsia="Arial Unicode MS" w:hAnsi="Arial" w:cs="Arial"/>
      <w:b/>
      <w:bCs/>
      <w:sz w:val="16"/>
      <w:szCs w:val="16"/>
    </w:rPr>
  </w:style>
  <w:style w:type="paragraph" w:customStyle="1" w:styleId="xl108">
    <w:name w:val="xl108"/>
    <w:basedOn w:val="Normal"/>
    <w:pPr>
      <w:pBdr>
        <w:right w:val="single" w:sz="4" w:space="0" w:color="auto"/>
      </w:pBdr>
      <w:shd w:val="clear" w:color="auto" w:fill="FFFFFF"/>
      <w:spacing w:before="100" w:beforeAutospacing="1" w:after="100" w:afterAutospacing="1"/>
    </w:pPr>
    <w:rPr>
      <w:rFonts w:ascii="Arial" w:eastAsia="Arial Unicode MS" w:hAnsi="Arial" w:cs="Arial"/>
      <w:b/>
      <w:bCs/>
      <w:sz w:val="16"/>
      <w:szCs w:val="16"/>
    </w:rPr>
  </w:style>
  <w:style w:type="paragraph" w:customStyle="1" w:styleId="xl109">
    <w:name w:val="xl109"/>
    <w:basedOn w:val="Normal"/>
    <w:pPr>
      <w:pBdr>
        <w:left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110">
    <w:name w:val="xl110"/>
    <w:basedOn w:val="Normal"/>
    <w:pPr>
      <w:pBdr>
        <w:top w:val="single" w:sz="4" w:space="0" w:color="auto"/>
        <w:left w:val="single" w:sz="4" w:space="0" w:color="auto"/>
        <w:bottom w:val="double" w:sz="6"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111">
    <w:name w:val="xl111"/>
    <w:basedOn w:val="Normal"/>
    <w:pPr>
      <w:pBdr>
        <w:top w:val="single" w:sz="4" w:space="0" w:color="auto"/>
        <w:bottom w:val="double" w:sz="6" w:space="0" w:color="auto"/>
      </w:pBdr>
      <w:shd w:val="clear" w:color="auto" w:fill="FFFFFF"/>
      <w:spacing w:before="100" w:beforeAutospacing="1" w:after="100" w:afterAutospacing="1"/>
    </w:pPr>
    <w:rPr>
      <w:rFonts w:ascii="Arial" w:eastAsia="Arial Unicode MS" w:hAnsi="Arial" w:cs="Arial"/>
      <w:b/>
      <w:bCs/>
      <w:sz w:val="16"/>
      <w:szCs w:val="16"/>
    </w:rPr>
  </w:style>
  <w:style w:type="paragraph" w:customStyle="1" w:styleId="xl112">
    <w:name w:val="xl112"/>
    <w:basedOn w:val="Normal"/>
    <w:pPr>
      <w:pBdr>
        <w:top w:val="single" w:sz="4" w:space="0" w:color="auto"/>
        <w:bottom w:val="double" w:sz="6" w:space="0" w:color="auto"/>
        <w:right w:val="single" w:sz="4" w:space="0" w:color="auto"/>
      </w:pBdr>
      <w:shd w:val="clear" w:color="auto" w:fill="FFFFFF"/>
      <w:spacing w:before="100" w:beforeAutospacing="1" w:after="100" w:afterAutospacing="1"/>
    </w:pPr>
    <w:rPr>
      <w:rFonts w:ascii="Arial" w:eastAsia="Arial Unicode MS" w:hAnsi="Arial" w:cs="Arial"/>
      <w:b/>
      <w:bCs/>
      <w:sz w:val="16"/>
      <w:szCs w:val="16"/>
    </w:rPr>
  </w:style>
  <w:style w:type="paragraph" w:customStyle="1" w:styleId="xl113">
    <w:name w:val="xl113"/>
    <w:basedOn w:val="Normal"/>
    <w:pPr>
      <w:shd w:val="clear" w:color="auto" w:fill="FFFFFF"/>
      <w:spacing w:before="100" w:beforeAutospacing="1" w:after="100" w:afterAutospacing="1"/>
    </w:pPr>
    <w:rPr>
      <w:rFonts w:ascii="Arial" w:eastAsia="Arial Unicode MS" w:hAnsi="Arial" w:cs="Arial"/>
      <w:b/>
      <w:bCs/>
      <w:color w:val="FF0000"/>
      <w:sz w:val="16"/>
      <w:szCs w:val="16"/>
    </w:rPr>
  </w:style>
  <w:style w:type="paragraph" w:customStyle="1" w:styleId="font5">
    <w:name w:val="font5"/>
    <w:basedOn w:val="Normal"/>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Normal"/>
    <w:pPr>
      <w:spacing w:before="100" w:beforeAutospacing="1" w:after="100" w:afterAutospacing="1"/>
    </w:pPr>
    <w:rPr>
      <w:rFonts w:ascii="Tahoma" w:eastAsia="Arial Unicode MS" w:hAnsi="Tahoma" w:cs="Tahoma"/>
      <w:color w:val="000000"/>
      <w:sz w:val="16"/>
      <w:szCs w:val="16"/>
    </w:rPr>
  </w:style>
  <w:style w:type="table" w:styleId="TableGrid">
    <w:name w:val="Table Grid"/>
    <w:basedOn w:val="TableNormal"/>
    <w:rsid w:val="00E97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C86811"/>
    <w:pPr>
      <w:spacing w:after="160" w:line="240" w:lineRule="exact"/>
    </w:pPr>
    <w:rPr>
      <w:rFonts w:ascii="Verdana" w:hAnsi="Verdana" w:cs="Verdana"/>
      <w:sz w:val="20"/>
      <w:szCs w:val="20"/>
      <w:lang w:val="en-US"/>
    </w:rPr>
  </w:style>
  <w:style w:type="paragraph" w:styleId="DocumentMap">
    <w:name w:val="Document Map"/>
    <w:basedOn w:val="Normal"/>
    <w:semiHidden/>
    <w:rsid w:val="00413022"/>
    <w:pPr>
      <w:shd w:val="clear" w:color="auto" w:fill="000080"/>
    </w:pPr>
    <w:rPr>
      <w:rFonts w:ascii="Tahoma" w:hAnsi="Tahoma" w:cs="Tahoma"/>
      <w:sz w:val="20"/>
      <w:szCs w:val="20"/>
    </w:rPr>
  </w:style>
  <w:style w:type="paragraph" w:customStyle="1" w:styleId="abody">
    <w:name w:val="a body"/>
    <w:basedOn w:val="Normal"/>
    <w:link w:val="abodyChar"/>
    <w:qFormat/>
    <w:rsid w:val="00494883"/>
    <w:pPr>
      <w:spacing w:before="120" w:after="240" w:line="300" w:lineRule="exact"/>
      <w:ind w:left="1134" w:hanging="1134"/>
      <w:jc w:val="both"/>
    </w:pPr>
    <w:rPr>
      <w:rFonts w:ascii="Arial" w:hAnsi="Arial"/>
      <w:color w:val="323232"/>
      <w:sz w:val="22"/>
      <w:szCs w:val="28"/>
      <w:lang w:val="x-none"/>
    </w:rPr>
  </w:style>
  <w:style w:type="character" w:customStyle="1" w:styleId="abodyChar">
    <w:name w:val="a body Char"/>
    <w:link w:val="abody"/>
    <w:rsid w:val="00494883"/>
    <w:rPr>
      <w:rFonts w:ascii="Arial" w:hAnsi="Arial"/>
      <w:color w:val="323232"/>
      <w:sz w:val="22"/>
      <w:szCs w:val="28"/>
      <w:lang w:val="x-none" w:eastAsia="en-US" w:bidi="ar-SA"/>
    </w:rPr>
  </w:style>
  <w:style w:type="paragraph" w:styleId="ListParagraph">
    <w:name w:val="List Paragraph"/>
    <w:aliases w:val="Bullet 1,Numbered Para 1,Dot pt,No Spacing1,List Paragraph Char Char Char,Indicator Text,List Paragraph1,F5 List Paragraph,Colorful List - Accent 11,Bullet Points,MAIN CONTENT,List Paragraph12,Bullet Style,List Paragraph2,Normal numbered"/>
    <w:basedOn w:val="Normal"/>
    <w:link w:val="ListParagraphChar"/>
    <w:uiPriority w:val="34"/>
    <w:qFormat/>
    <w:rsid w:val="00AE2999"/>
    <w:pPr>
      <w:spacing w:after="200" w:line="276" w:lineRule="auto"/>
      <w:ind w:left="720"/>
      <w:contextualSpacing/>
    </w:pPr>
    <w:rPr>
      <w:rFonts w:ascii="Calibri" w:hAnsi="Calibri"/>
      <w:sz w:val="22"/>
      <w:szCs w:val="22"/>
    </w:rPr>
  </w:style>
  <w:style w:type="character" w:styleId="CommentReference">
    <w:name w:val="annotation reference"/>
    <w:uiPriority w:val="99"/>
    <w:semiHidden/>
    <w:rsid w:val="00F61585"/>
    <w:rPr>
      <w:sz w:val="16"/>
      <w:szCs w:val="16"/>
    </w:rPr>
  </w:style>
  <w:style w:type="paragraph" w:styleId="CommentText">
    <w:name w:val="annotation text"/>
    <w:basedOn w:val="Normal"/>
    <w:link w:val="CommentTextChar"/>
    <w:uiPriority w:val="99"/>
    <w:rsid w:val="00F61585"/>
    <w:rPr>
      <w:sz w:val="20"/>
      <w:szCs w:val="20"/>
    </w:rPr>
  </w:style>
  <w:style w:type="paragraph" w:styleId="CommentSubject">
    <w:name w:val="annotation subject"/>
    <w:basedOn w:val="CommentText"/>
    <w:next w:val="CommentText"/>
    <w:semiHidden/>
    <w:rsid w:val="00F61585"/>
    <w:rPr>
      <w:b/>
      <w:bCs/>
    </w:rPr>
  </w:style>
  <w:style w:type="character" w:customStyle="1" w:styleId="A8">
    <w:name w:val="A8"/>
    <w:rsid w:val="00882F88"/>
    <w:rPr>
      <w:rFonts w:ascii="NYTZS V+ Humanist 777 BT" w:hAnsi="NYTZS V+ Humanist 777 BT" w:cs="NYTZS V+ Humanist 777 BT"/>
      <w:color w:val="000000"/>
      <w:sz w:val="10"/>
      <w:szCs w:val="10"/>
    </w:rPr>
  </w:style>
  <w:style w:type="character" w:customStyle="1" w:styleId="HeaderChar">
    <w:name w:val="Header Char"/>
    <w:link w:val="Header"/>
    <w:uiPriority w:val="99"/>
    <w:rsid w:val="00E73CDE"/>
    <w:rPr>
      <w:rFonts w:ascii="Arial" w:hAnsi="Arial"/>
      <w:sz w:val="24"/>
      <w:lang w:eastAsia="en-US"/>
    </w:rPr>
  </w:style>
  <w:style w:type="paragraph" w:customStyle="1" w:styleId="Level2">
    <w:name w:val="Level 2"/>
    <w:basedOn w:val="Heading2"/>
    <w:rsid w:val="00C3054D"/>
    <w:pPr>
      <w:keepLines/>
      <w:numPr>
        <w:ilvl w:val="1"/>
        <w:numId w:val="23"/>
      </w:numPr>
      <w:spacing w:before="200" w:after="200" w:line="300" w:lineRule="exact"/>
      <w:jc w:val="left"/>
    </w:pPr>
    <w:rPr>
      <w:rFonts w:cs="Times New Roman"/>
      <w:b w:val="0"/>
      <w:bCs w:val="0"/>
      <w:color w:val="323232"/>
      <w:sz w:val="22"/>
      <w:szCs w:val="28"/>
    </w:rPr>
  </w:style>
  <w:style w:type="paragraph" w:customStyle="1" w:styleId="Level1">
    <w:name w:val="Level 1"/>
    <w:basedOn w:val="Heading1"/>
    <w:next w:val="Level2"/>
    <w:rsid w:val="00C3054D"/>
    <w:pPr>
      <w:numPr>
        <w:numId w:val="23"/>
      </w:numPr>
      <w:suppressAutoHyphens/>
      <w:spacing w:before="400" w:line="300" w:lineRule="exact"/>
      <w:jc w:val="both"/>
    </w:pPr>
    <w:rPr>
      <w:rFonts w:cs="Times New Roman"/>
      <w:b w:val="0"/>
      <w:bCs w:val="0"/>
      <w:color w:val="0074E1"/>
      <w:kern w:val="32"/>
      <w:sz w:val="30"/>
      <w:szCs w:val="32"/>
      <w:lang w:val="x-none"/>
    </w:rPr>
  </w:style>
  <w:style w:type="paragraph" w:customStyle="1" w:styleId="Style1">
    <w:name w:val="Style1"/>
    <w:basedOn w:val="Level2"/>
    <w:link w:val="Style1Char"/>
    <w:qFormat/>
    <w:rsid w:val="00C3054D"/>
    <w:pPr>
      <w:tabs>
        <w:tab w:val="clear" w:pos="1200"/>
      </w:tabs>
      <w:ind w:left="1134" w:hanging="1134"/>
      <w:jc w:val="both"/>
    </w:pPr>
  </w:style>
  <w:style w:type="character" w:customStyle="1" w:styleId="Style1Char">
    <w:name w:val="Style1 Char"/>
    <w:link w:val="Style1"/>
    <w:rsid w:val="00C3054D"/>
    <w:rPr>
      <w:rFonts w:ascii="Arial" w:hAnsi="Arial"/>
      <w:color w:val="323232"/>
      <w:sz w:val="22"/>
      <w:szCs w:val="28"/>
      <w:lang w:eastAsia="en-US"/>
    </w:rPr>
  </w:style>
  <w:style w:type="paragraph" w:customStyle="1" w:styleId="Style4">
    <w:name w:val="Style4"/>
    <w:basedOn w:val="abody"/>
    <w:link w:val="Style4Char"/>
    <w:qFormat/>
    <w:rsid w:val="00A360BC"/>
    <w:pPr>
      <w:numPr>
        <w:numId w:val="24"/>
      </w:numPr>
      <w:ind w:left="1559" w:hanging="425"/>
    </w:pPr>
  </w:style>
  <w:style w:type="character" w:customStyle="1" w:styleId="Style4Char">
    <w:name w:val="Style4 Char"/>
    <w:link w:val="Style4"/>
    <w:rsid w:val="00A360BC"/>
    <w:rPr>
      <w:rFonts w:ascii="Arial" w:hAnsi="Arial"/>
      <w:color w:val="323232"/>
      <w:sz w:val="22"/>
      <w:szCs w:val="28"/>
      <w:lang w:val="x-none" w:eastAsia="en-US"/>
    </w:rPr>
  </w:style>
  <w:style w:type="character" w:customStyle="1" w:styleId="Heading1Char">
    <w:name w:val="Heading 1 Char"/>
    <w:link w:val="Heading1"/>
    <w:rsid w:val="00C53A91"/>
    <w:rPr>
      <w:rFonts w:ascii="Arial" w:hAnsi="Arial" w:cs="Arial"/>
      <w:b/>
      <w:bCs/>
      <w:color w:val="0000FF"/>
      <w:sz w:val="28"/>
      <w:szCs w:val="24"/>
      <w:lang w:eastAsia="en-US"/>
    </w:rPr>
  </w:style>
  <w:style w:type="paragraph" w:customStyle="1" w:styleId="story-bodyintroduction1">
    <w:name w:val="story-body__introduction1"/>
    <w:basedOn w:val="Normal"/>
    <w:rsid w:val="009403E6"/>
    <w:pPr>
      <w:spacing w:before="360" w:after="100" w:afterAutospacing="1"/>
    </w:pPr>
    <w:rPr>
      <w:b/>
      <w:bCs/>
      <w:color w:val="404040"/>
      <w:lang w:eastAsia="en-GB"/>
    </w:rPr>
  </w:style>
  <w:style w:type="paragraph" w:styleId="PlainText">
    <w:name w:val="Plain Text"/>
    <w:basedOn w:val="Normal"/>
    <w:link w:val="PlainTextChar"/>
    <w:uiPriority w:val="99"/>
    <w:unhideWhenUsed/>
    <w:rsid w:val="00E44832"/>
    <w:rPr>
      <w:rFonts w:ascii="Arial" w:eastAsia="Calibri" w:hAnsi="Arial" w:cs="Arial"/>
      <w:color w:val="404040"/>
      <w:sz w:val="22"/>
      <w:szCs w:val="22"/>
    </w:rPr>
  </w:style>
  <w:style w:type="character" w:customStyle="1" w:styleId="PlainTextChar">
    <w:name w:val="Plain Text Char"/>
    <w:link w:val="PlainText"/>
    <w:uiPriority w:val="99"/>
    <w:rsid w:val="00E44832"/>
    <w:rPr>
      <w:rFonts w:ascii="Arial" w:eastAsia="Calibri" w:hAnsi="Arial" w:cs="Arial"/>
      <w:color w:val="404040"/>
      <w:sz w:val="22"/>
      <w:szCs w:val="22"/>
      <w:lang w:eastAsia="en-US"/>
    </w:rPr>
  </w:style>
  <w:style w:type="paragraph" w:styleId="TOC1">
    <w:name w:val="toc 1"/>
    <w:basedOn w:val="Normal"/>
    <w:next w:val="Normal"/>
    <w:autoRedefine/>
    <w:rsid w:val="00F841E5"/>
    <w:pPr>
      <w:numPr>
        <w:numId w:val="6"/>
      </w:numPr>
    </w:pPr>
    <w:rPr>
      <w:rFonts w:ascii="Arial" w:hAnsi="Arial" w:cs="Arial"/>
      <w:bCs/>
      <w:sz w:val="22"/>
      <w:szCs w:val="22"/>
      <w:lang w:val="en-US"/>
    </w:rPr>
  </w:style>
  <w:style w:type="numbering" w:customStyle="1" w:styleId="ImportedStyle1">
    <w:name w:val="Imported Style 1"/>
    <w:rsid w:val="006B42F9"/>
    <w:pPr>
      <w:numPr>
        <w:numId w:val="31"/>
      </w:numPr>
    </w:pPr>
  </w:style>
  <w:style w:type="character" w:customStyle="1" w:styleId="ListParagraphChar">
    <w:name w:val="List Paragraph Char"/>
    <w:aliases w:val="Bullet 1 Char,Numbered Para 1 Char,Dot pt Char,No Spacing1 Char,List Paragraph Char Char Char Char,Indicator Text Char,List Paragraph1 Char,F5 List Paragraph Char,Colorful List - Accent 11 Char,Bullet Points Char,MAIN CONTENT Char"/>
    <w:link w:val="ListParagraph"/>
    <w:uiPriority w:val="34"/>
    <w:qFormat/>
    <w:locked/>
    <w:rsid w:val="00520408"/>
    <w:rPr>
      <w:rFonts w:ascii="Calibri" w:hAnsi="Calibri"/>
      <w:sz w:val="22"/>
      <w:szCs w:val="22"/>
      <w:lang w:eastAsia="en-US"/>
    </w:rPr>
  </w:style>
  <w:style w:type="character" w:customStyle="1" w:styleId="Style2Char">
    <w:name w:val="Style2 Char"/>
    <w:link w:val="Style2"/>
    <w:locked/>
    <w:rsid w:val="00CF299B"/>
    <w:rPr>
      <w:rFonts w:ascii="Arial Bold" w:hAnsi="Arial"/>
      <w:b/>
      <w:i/>
      <w:color w:val="00B0F0"/>
      <w:sz w:val="22"/>
      <w:szCs w:val="26"/>
      <w:lang w:val="x-none"/>
    </w:rPr>
  </w:style>
  <w:style w:type="paragraph" w:customStyle="1" w:styleId="Style2">
    <w:name w:val="Style2"/>
    <w:basedOn w:val="Heading3"/>
    <w:link w:val="Style2Char"/>
    <w:qFormat/>
    <w:rsid w:val="00CF299B"/>
    <w:pPr>
      <w:overflowPunct/>
      <w:autoSpaceDE/>
      <w:autoSpaceDN/>
      <w:adjustRightInd/>
      <w:spacing w:before="200" w:line="300" w:lineRule="exact"/>
      <w:ind w:left="66" w:firstLine="1134"/>
      <w:textAlignment w:val="auto"/>
    </w:pPr>
    <w:rPr>
      <w:rFonts w:ascii="Arial Bold" w:hAnsi="Arial"/>
      <w:i/>
      <w:color w:val="00B0F0"/>
      <w:sz w:val="22"/>
      <w:szCs w:val="26"/>
      <w:u w:val="none"/>
      <w:lang w:val="x-none" w:eastAsia="en-GB"/>
    </w:rPr>
  </w:style>
  <w:style w:type="paragraph" w:customStyle="1" w:styleId="dcr-s23rjr">
    <w:name w:val="dcr-s23rjr"/>
    <w:basedOn w:val="Normal"/>
    <w:rsid w:val="00E233DF"/>
    <w:pPr>
      <w:spacing w:before="100" w:beforeAutospacing="1" w:after="100" w:afterAutospacing="1"/>
    </w:pPr>
    <w:rPr>
      <w:lang w:eastAsia="en-GB"/>
    </w:rPr>
  </w:style>
  <w:style w:type="paragraph" w:customStyle="1" w:styleId="ssrcss-1q0x1qg-paragraph">
    <w:name w:val="ssrcss-1q0x1qg-paragraph"/>
    <w:basedOn w:val="Normal"/>
    <w:rsid w:val="001B30AE"/>
    <w:pPr>
      <w:spacing w:before="100" w:beforeAutospacing="1" w:after="100" w:afterAutospacing="1"/>
    </w:pPr>
    <w:rPr>
      <w:lang w:eastAsia="en-GB"/>
    </w:rPr>
  </w:style>
  <w:style w:type="character" w:customStyle="1" w:styleId="normaltextrun">
    <w:name w:val="normaltextrun"/>
    <w:basedOn w:val="DefaultParagraphFont"/>
    <w:rsid w:val="00145D80"/>
  </w:style>
  <w:style w:type="paragraph" w:customStyle="1" w:styleId="paragraph">
    <w:name w:val="paragraph"/>
    <w:basedOn w:val="Normal"/>
    <w:rsid w:val="00550418"/>
    <w:pPr>
      <w:spacing w:before="100" w:beforeAutospacing="1" w:after="100" w:afterAutospacing="1"/>
    </w:pPr>
    <w:rPr>
      <w:rFonts w:ascii="Calibri" w:eastAsia="Calibri" w:hAnsi="Calibri" w:cs="Calibri"/>
      <w:sz w:val="22"/>
      <w:szCs w:val="22"/>
      <w:lang w:eastAsia="en-GB"/>
    </w:rPr>
  </w:style>
  <w:style w:type="character" w:customStyle="1" w:styleId="eop">
    <w:name w:val="eop"/>
    <w:basedOn w:val="DefaultParagraphFont"/>
    <w:rsid w:val="00550418"/>
  </w:style>
  <w:style w:type="paragraph" w:customStyle="1" w:styleId="dcr-1vtk2mf">
    <w:name w:val="dcr-1vtk2mf"/>
    <w:basedOn w:val="Normal"/>
    <w:rsid w:val="002C3F01"/>
    <w:pPr>
      <w:spacing w:before="100" w:beforeAutospacing="1" w:after="100" w:afterAutospacing="1"/>
    </w:pPr>
    <w:rPr>
      <w:lang w:eastAsia="en-GB"/>
    </w:rPr>
  </w:style>
  <w:style w:type="paragraph" w:styleId="Revision">
    <w:name w:val="Revision"/>
    <w:hidden/>
    <w:uiPriority w:val="99"/>
    <w:semiHidden/>
    <w:rsid w:val="00525B10"/>
    <w:rPr>
      <w:sz w:val="24"/>
      <w:szCs w:val="24"/>
      <w:lang w:eastAsia="en-US"/>
    </w:rPr>
  </w:style>
  <w:style w:type="paragraph" w:customStyle="1" w:styleId="BodyA">
    <w:name w:val="Body A"/>
    <w:rsid w:val="00553830"/>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character" w:customStyle="1" w:styleId="spelle">
    <w:name w:val="spelle"/>
    <w:basedOn w:val="DefaultParagraphFont"/>
    <w:rsid w:val="006C0253"/>
  </w:style>
  <w:style w:type="character" w:customStyle="1" w:styleId="Heading8Char">
    <w:name w:val="Heading 8 Char"/>
    <w:basedOn w:val="DefaultParagraphFont"/>
    <w:link w:val="Heading8"/>
    <w:rsid w:val="000557EA"/>
    <w:rPr>
      <w:rFonts w:ascii="Arial" w:hAnsi="Arial" w:cs="Arial"/>
      <w:b/>
      <w:bCs/>
      <w:sz w:val="24"/>
      <w:szCs w:val="24"/>
      <w:lang w:eastAsia="en-US"/>
    </w:rPr>
  </w:style>
  <w:style w:type="character" w:styleId="Mention">
    <w:name w:val="Mention"/>
    <w:basedOn w:val="DefaultParagraphFont"/>
    <w:uiPriority w:val="99"/>
    <w:unhideWhenUsed/>
    <w:rsid w:val="00DF173A"/>
    <w:rPr>
      <w:color w:val="2B579A"/>
      <w:shd w:val="clear" w:color="auto" w:fill="E1DFDD"/>
    </w:rPr>
  </w:style>
  <w:style w:type="paragraph" w:customStyle="1" w:styleId="wp-caption-text">
    <w:name w:val="wp-caption-text"/>
    <w:basedOn w:val="Normal"/>
    <w:rsid w:val="006E024D"/>
    <w:pPr>
      <w:spacing w:before="100" w:beforeAutospacing="1" w:after="100" w:afterAutospacing="1"/>
    </w:pPr>
    <w:rPr>
      <w:lang w:eastAsia="en-GB"/>
    </w:rPr>
  </w:style>
  <w:style w:type="character" w:customStyle="1" w:styleId="CommentTextChar">
    <w:name w:val="Comment Text Char"/>
    <w:basedOn w:val="DefaultParagraphFont"/>
    <w:link w:val="CommentText"/>
    <w:uiPriority w:val="99"/>
    <w:rsid w:val="00722E8F"/>
    <w:rPr>
      <w:lang w:eastAsia="en-US"/>
    </w:rPr>
  </w:style>
  <w:style w:type="character" w:customStyle="1" w:styleId="FooterChar">
    <w:name w:val="Footer Char"/>
    <w:basedOn w:val="DefaultParagraphFont"/>
    <w:link w:val="Footer"/>
    <w:rsid w:val="00EF5994"/>
    <w:rPr>
      <w:sz w:val="24"/>
      <w:szCs w:val="24"/>
      <w:lang w:eastAsia="en-US"/>
    </w:rPr>
  </w:style>
  <w:style w:type="character" w:styleId="UnresolvedMention">
    <w:name w:val="Unresolved Mention"/>
    <w:basedOn w:val="DefaultParagraphFont"/>
    <w:uiPriority w:val="99"/>
    <w:semiHidden/>
    <w:unhideWhenUsed/>
    <w:rsid w:val="00EF5994"/>
    <w:rPr>
      <w:color w:val="605E5C"/>
      <w:shd w:val="clear" w:color="auto" w:fill="E1DFDD"/>
    </w:rPr>
  </w:style>
  <w:style w:type="paragraph" w:customStyle="1" w:styleId="Style3">
    <w:name w:val="Style3"/>
    <w:basedOn w:val="ListParagraph"/>
    <w:link w:val="Style3Char"/>
    <w:qFormat/>
    <w:rsid w:val="00CF25BB"/>
    <w:pPr>
      <w:spacing w:before="120" w:after="120" w:line="300" w:lineRule="exact"/>
      <w:ind w:left="1418" w:hanging="567"/>
      <w:contextualSpacing w:val="0"/>
      <w:jc w:val="both"/>
    </w:pPr>
    <w:rPr>
      <w:rFonts w:ascii="Arial" w:eastAsia="Arial" w:hAnsi="Arial" w:cs="Arial"/>
      <w:color w:val="323232"/>
    </w:rPr>
  </w:style>
  <w:style w:type="character" w:customStyle="1" w:styleId="Style3Char">
    <w:name w:val="Style3 Char"/>
    <w:basedOn w:val="ListParagraphChar"/>
    <w:link w:val="Style3"/>
    <w:rsid w:val="00CF25BB"/>
    <w:rPr>
      <w:rFonts w:ascii="Arial" w:eastAsia="Arial" w:hAnsi="Arial" w:cs="Arial"/>
      <w:color w:val="323232"/>
      <w:sz w:val="22"/>
      <w:szCs w:val="22"/>
      <w:lang w:eastAsia="en-US"/>
    </w:rPr>
  </w:style>
  <w:style w:type="paragraph" w:customStyle="1" w:styleId="Style14">
    <w:name w:val="Style14"/>
    <w:basedOn w:val="Style1"/>
    <w:link w:val="Style14Char"/>
    <w:qFormat/>
    <w:rsid w:val="00CF25BB"/>
    <w:pPr>
      <w:keepNext w:val="0"/>
      <w:keepLines w:val="0"/>
      <w:widowControl w:val="0"/>
      <w:numPr>
        <w:numId w:val="4"/>
      </w:numPr>
    </w:pPr>
  </w:style>
  <w:style w:type="character" w:customStyle="1" w:styleId="Style14Char">
    <w:name w:val="Style14 Char"/>
    <w:basedOn w:val="Style1Char"/>
    <w:link w:val="Style14"/>
    <w:rsid w:val="00CF25BB"/>
    <w:rPr>
      <w:rFonts w:ascii="Arial" w:hAnsi="Arial"/>
      <w:color w:val="323232"/>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4628">
      <w:bodyDiv w:val="1"/>
      <w:marLeft w:val="0"/>
      <w:marRight w:val="0"/>
      <w:marTop w:val="0"/>
      <w:marBottom w:val="0"/>
      <w:divBdr>
        <w:top w:val="none" w:sz="0" w:space="0" w:color="auto"/>
        <w:left w:val="none" w:sz="0" w:space="0" w:color="auto"/>
        <w:bottom w:val="none" w:sz="0" w:space="0" w:color="auto"/>
        <w:right w:val="none" w:sz="0" w:space="0" w:color="auto"/>
      </w:divBdr>
    </w:div>
    <w:div w:id="164634414">
      <w:bodyDiv w:val="1"/>
      <w:marLeft w:val="0"/>
      <w:marRight w:val="0"/>
      <w:marTop w:val="0"/>
      <w:marBottom w:val="0"/>
      <w:divBdr>
        <w:top w:val="none" w:sz="0" w:space="0" w:color="auto"/>
        <w:left w:val="none" w:sz="0" w:space="0" w:color="auto"/>
        <w:bottom w:val="none" w:sz="0" w:space="0" w:color="auto"/>
        <w:right w:val="none" w:sz="0" w:space="0" w:color="auto"/>
      </w:divBdr>
    </w:div>
    <w:div w:id="168909021">
      <w:bodyDiv w:val="1"/>
      <w:marLeft w:val="0"/>
      <w:marRight w:val="0"/>
      <w:marTop w:val="0"/>
      <w:marBottom w:val="0"/>
      <w:divBdr>
        <w:top w:val="none" w:sz="0" w:space="0" w:color="auto"/>
        <w:left w:val="none" w:sz="0" w:space="0" w:color="auto"/>
        <w:bottom w:val="none" w:sz="0" w:space="0" w:color="auto"/>
        <w:right w:val="none" w:sz="0" w:space="0" w:color="auto"/>
      </w:divBdr>
    </w:div>
    <w:div w:id="174540884">
      <w:bodyDiv w:val="1"/>
      <w:marLeft w:val="0"/>
      <w:marRight w:val="0"/>
      <w:marTop w:val="0"/>
      <w:marBottom w:val="0"/>
      <w:divBdr>
        <w:top w:val="none" w:sz="0" w:space="0" w:color="auto"/>
        <w:left w:val="none" w:sz="0" w:space="0" w:color="auto"/>
        <w:bottom w:val="none" w:sz="0" w:space="0" w:color="auto"/>
        <w:right w:val="none" w:sz="0" w:space="0" w:color="auto"/>
      </w:divBdr>
    </w:div>
    <w:div w:id="185677670">
      <w:bodyDiv w:val="1"/>
      <w:marLeft w:val="0"/>
      <w:marRight w:val="0"/>
      <w:marTop w:val="0"/>
      <w:marBottom w:val="0"/>
      <w:divBdr>
        <w:top w:val="none" w:sz="0" w:space="0" w:color="auto"/>
        <w:left w:val="none" w:sz="0" w:space="0" w:color="auto"/>
        <w:bottom w:val="none" w:sz="0" w:space="0" w:color="auto"/>
        <w:right w:val="none" w:sz="0" w:space="0" w:color="auto"/>
      </w:divBdr>
    </w:div>
    <w:div w:id="190071407">
      <w:bodyDiv w:val="1"/>
      <w:marLeft w:val="0"/>
      <w:marRight w:val="0"/>
      <w:marTop w:val="0"/>
      <w:marBottom w:val="0"/>
      <w:divBdr>
        <w:top w:val="none" w:sz="0" w:space="0" w:color="auto"/>
        <w:left w:val="none" w:sz="0" w:space="0" w:color="auto"/>
        <w:bottom w:val="none" w:sz="0" w:space="0" w:color="auto"/>
        <w:right w:val="none" w:sz="0" w:space="0" w:color="auto"/>
      </w:divBdr>
    </w:div>
    <w:div w:id="207492211">
      <w:bodyDiv w:val="1"/>
      <w:marLeft w:val="0"/>
      <w:marRight w:val="0"/>
      <w:marTop w:val="0"/>
      <w:marBottom w:val="0"/>
      <w:divBdr>
        <w:top w:val="none" w:sz="0" w:space="0" w:color="auto"/>
        <w:left w:val="none" w:sz="0" w:space="0" w:color="auto"/>
        <w:bottom w:val="none" w:sz="0" w:space="0" w:color="auto"/>
        <w:right w:val="none" w:sz="0" w:space="0" w:color="auto"/>
      </w:divBdr>
    </w:div>
    <w:div w:id="246962662">
      <w:bodyDiv w:val="1"/>
      <w:marLeft w:val="0"/>
      <w:marRight w:val="0"/>
      <w:marTop w:val="0"/>
      <w:marBottom w:val="0"/>
      <w:divBdr>
        <w:top w:val="none" w:sz="0" w:space="0" w:color="auto"/>
        <w:left w:val="none" w:sz="0" w:space="0" w:color="auto"/>
        <w:bottom w:val="none" w:sz="0" w:space="0" w:color="auto"/>
        <w:right w:val="none" w:sz="0" w:space="0" w:color="auto"/>
      </w:divBdr>
    </w:div>
    <w:div w:id="286206114">
      <w:bodyDiv w:val="1"/>
      <w:marLeft w:val="0"/>
      <w:marRight w:val="0"/>
      <w:marTop w:val="0"/>
      <w:marBottom w:val="0"/>
      <w:divBdr>
        <w:top w:val="none" w:sz="0" w:space="0" w:color="auto"/>
        <w:left w:val="none" w:sz="0" w:space="0" w:color="auto"/>
        <w:bottom w:val="none" w:sz="0" w:space="0" w:color="auto"/>
        <w:right w:val="none" w:sz="0" w:space="0" w:color="auto"/>
      </w:divBdr>
    </w:div>
    <w:div w:id="287778455">
      <w:bodyDiv w:val="1"/>
      <w:marLeft w:val="0"/>
      <w:marRight w:val="0"/>
      <w:marTop w:val="0"/>
      <w:marBottom w:val="0"/>
      <w:divBdr>
        <w:top w:val="none" w:sz="0" w:space="0" w:color="auto"/>
        <w:left w:val="none" w:sz="0" w:space="0" w:color="auto"/>
        <w:bottom w:val="none" w:sz="0" w:space="0" w:color="auto"/>
        <w:right w:val="none" w:sz="0" w:space="0" w:color="auto"/>
      </w:divBdr>
    </w:div>
    <w:div w:id="288903416">
      <w:bodyDiv w:val="1"/>
      <w:marLeft w:val="0"/>
      <w:marRight w:val="0"/>
      <w:marTop w:val="0"/>
      <w:marBottom w:val="0"/>
      <w:divBdr>
        <w:top w:val="none" w:sz="0" w:space="0" w:color="auto"/>
        <w:left w:val="none" w:sz="0" w:space="0" w:color="auto"/>
        <w:bottom w:val="none" w:sz="0" w:space="0" w:color="auto"/>
        <w:right w:val="none" w:sz="0" w:space="0" w:color="auto"/>
      </w:divBdr>
    </w:div>
    <w:div w:id="2927588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419">
          <w:marLeft w:val="0"/>
          <w:marRight w:val="0"/>
          <w:marTop w:val="0"/>
          <w:marBottom w:val="0"/>
          <w:divBdr>
            <w:top w:val="none" w:sz="0" w:space="0" w:color="auto"/>
            <w:left w:val="none" w:sz="0" w:space="0" w:color="auto"/>
            <w:bottom w:val="none" w:sz="0" w:space="0" w:color="auto"/>
            <w:right w:val="none" w:sz="0" w:space="0" w:color="auto"/>
          </w:divBdr>
          <w:divsChild>
            <w:div w:id="1437097830">
              <w:marLeft w:val="0"/>
              <w:marRight w:val="0"/>
              <w:marTop w:val="0"/>
              <w:marBottom w:val="0"/>
              <w:divBdr>
                <w:top w:val="none" w:sz="0" w:space="0" w:color="auto"/>
                <w:left w:val="none" w:sz="0" w:space="0" w:color="auto"/>
                <w:bottom w:val="none" w:sz="0" w:space="0" w:color="auto"/>
                <w:right w:val="none" w:sz="0" w:space="0" w:color="auto"/>
              </w:divBdr>
              <w:divsChild>
                <w:div w:id="891696681">
                  <w:marLeft w:val="0"/>
                  <w:marRight w:val="0"/>
                  <w:marTop w:val="0"/>
                  <w:marBottom w:val="0"/>
                  <w:divBdr>
                    <w:top w:val="none" w:sz="0" w:space="0" w:color="auto"/>
                    <w:left w:val="none" w:sz="0" w:space="0" w:color="auto"/>
                    <w:bottom w:val="none" w:sz="0" w:space="0" w:color="auto"/>
                    <w:right w:val="none" w:sz="0" w:space="0" w:color="auto"/>
                  </w:divBdr>
                  <w:divsChild>
                    <w:div w:id="1242104950">
                      <w:marLeft w:val="0"/>
                      <w:marRight w:val="0"/>
                      <w:marTop w:val="0"/>
                      <w:marBottom w:val="0"/>
                      <w:divBdr>
                        <w:top w:val="none" w:sz="0" w:space="0" w:color="auto"/>
                        <w:left w:val="none" w:sz="0" w:space="0" w:color="auto"/>
                        <w:bottom w:val="none" w:sz="0" w:space="0" w:color="auto"/>
                        <w:right w:val="none" w:sz="0" w:space="0" w:color="auto"/>
                      </w:divBdr>
                      <w:divsChild>
                        <w:div w:id="1178078968">
                          <w:marLeft w:val="0"/>
                          <w:marRight w:val="0"/>
                          <w:marTop w:val="0"/>
                          <w:marBottom w:val="0"/>
                          <w:divBdr>
                            <w:top w:val="none" w:sz="0" w:space="0" w:color="auto"/>
                            <w:left w:val="none" w:sz="0" w:space="0" w:color="auto"/>
                            <w:bottom w:val="none" w:sz="0" w:space="0" w:color="auto"/>
                            <w:right w:val="none" w:sz="0" w:space="0" w:color="auto"/>
                          </w:divBdr>
                          <w:divsChild>
                            <w:div w:id="105731537">
                              <w:marLeft w:val="0"/>
                              <w:marRight w:val="0"/>
                              <w:marTop w:val="0"/>
                              <w:marBottom w:val="0"/>
                              <w:divBdr>
                                <w:top w:val="none" w:sz="0" w:space="0" w:color="auto"/>
                                <w:left w:val="none" w:sz="0" w:space="0" w:color="auto"/>
                                <w:bottom w:val="none" w:sz="0" w:space="0" w:color="auto"/>
                                <w:right w:val="none" w:sz="0" w:space="0" w:color="auto"/>
                              </w:divBdr>
                              <w:divsChild>
                                <w:div w:id="15177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43291">
      <w:bodyDiv w:val="1"/>
      <w:marLeft w:val="0"/>
      <w:marRight w:val="0"/>
      <w:marTop w:val="0"/>
      <w:marBottom w:val="0"/>
      <w:divBdr>
        <w:top w:val="none" w:sz="0" w:space="0" w:color="auto"/>
        <w:left w:val="none" w:sz="0" w:space="0" w:color="auto"/>
        <w:bottom w:val="none" w:sz="0" w:space="0" w:color="auto"/>
        <w:right w:val="none" w:sz="0" w:space="0" w:color="auto"/>
      </w:divBdr>
    </w:div>
    <w:div w:id="323239985">
      <w:bodyDiv w:val="1"/>
      <w:marLeft w:val="0"/>
      <w:marRight w:val="0"/>
      <w:marTop w:val="0"/>
      <w:marBottom w:val="0"/>
      <w:divBdr>
        <w:top w:val="none" w:sz="0" w:space="0" w:color="auto"/>
        <w:left w:val="none" w:sz="0" w:space="0" w:color="auto"/>
        <w:bottom w:val="none" w:sz="0" w:space="0" w:color="auto"/>
        <w:right w:val="none" w:sz="0" w:space="0" w:color="auto"/>
      </w:divBdr>
    </w:div>
    <w:div w:id="340164572">
      <w:bodyDiv w:val="1"/>
      <w:marLeft w:val="0"/>
      <w:marRight w:val="0"/>
      <w:marTop w:val="0"/>
      <w:marBottom w:val="0"/>
      <w:divBdr>
        <w:top w:val="none" w:sz="0" w:space="0" w:color="auto"/>
        <w:left w:val="none" w:sz="0" w:space="0" w:color="auto"/>
        <w:bottom w:val="none" w:sz="0" w:space="0" w:color="auto"/>
        <w:right w:val="none" w:sz="0" w:space="0" w:color="auto"/>
      </w:divBdr>
      <w:divsChild>
        <w:div w:id="1074622976">
          <w:marLeft w:val="0"/>
          <w:marRight w:val="0"/>
          <w:marTop w:val="100"/>
          <w:marBottom w:val="100"/>
          <w:divBdr>
            <w:top w:val="none" w:sz="0" w:space="0" w:color="auto"/>
            <w:left w:val="none" w:sz="0" w:space="0" w:color="auto"/>
            <w:bottom w:val="none" w:sz="0" w:space="0" w:color="auto"/>
            <w:right w:val="none" w:sz="0" w:space="0" w:color="auto"/>
          </w:divBdr>
          <w:divsChild>
            <w:div w:id="28458934">
              <w:marLeft w:val="0"/>
              <w:marRight w:val="0"/>
              <w:marTop w:val="0"/>
              <w:marBottom w:val="420"/>
              <w:divBdr>
                <w:top w:val="none" w:sz="0" w:space="0" w:color="auto"/>
                <w:left w:val="none" w:sz="0" w:space="0" w:color="auto"/>
                <w:bottom w:val="none" w:sz="0" w:space="0" w:color="auto"/>
                <w:right w:val="none" w:sz="0" w:space="0" w:color="auto"/>
              </w:divBdr>
              <w:divsChild>
                <w:div w:id="436800316">
                  <w:marLeft w:val="0"/>
                  <w:marRight w:val="0"/>
                  <w:marTop w:val="0"/>
                  <w:marBottom w:val="0"/>
                  <w:divBdr>
                    <w:top w:val="none" w:sz="0" w:space="0" w:color="auto"/>
                    <w:left w:val="none" w:sz="0" w:space="0" w:color="auto"/>
                    <w:bottom w:val="none" w:sz="0" w:space="0" w:color="auto"/>
                    <w:right w:val="none" w:sz="0" w:space="0" w:color="auto"/>
                  </w:divBdr>
                  <w:divsChild>
                    <w:div w:id="984776643">
                      <w:marLeft w:val="0"/>
                      <w:marRight w:val="0"/>
                      <w:marTop w:val="0"/>
                      <w:marBottom w:val="0"/>
                      <w:divBdr>
                        <w:top w:val="none" w:sz="0" w:space="0" w:color="auto"/>
                        <w:left w:val="none" w:sz="0" w:space="0" w:color="auto"/>
                        <w:bottom w:val="none" w:sz="0" w:space="0" w:color="auto"/>
                        <w:right w:val="none" w:sz="0" w:space="0" w:color="auto"/>
                      </w:divBdr>
                      <w:divsChild>
                        <w:div w:id="544681048">
                          <w:marLeft w:val="0"/>
                          <w:marRight w:val="0"/>
                          <w:marTop w:val="0"/>
                          <w:marBottom w:val="0"/>
                          <w:divBdr>
                            <w:top w:val="none" w:sz="0" w:space="0" w:color="auto"/>
                            <w:left w:val="none" w:sz="0" w:space="0" w:color="auto"/>
                            <w:bottom w:val="none" w:sz="0" w:space="0" w:color="auto"/>
                            <w:right w:val="none" w:sz="0" w:space="0" w:color="auto"/>
                          </w:divBdr>
                          <w:divsChild>
                            <w:div w:id="455804395">
                              <w:marLeft w:val="0"/>
                              <w:marRight w:val="0"/>
                              <w:marTop w:val="0"/>
                              <w:marBottom w:val="0"/>
                              <w:divBdr>
                                <w:top w:val="none" w:sz="0" w:space="0" w:color="auto"/>
                                <w:left w:val="none" w:sz="0" w:space="0" w:color="auto"/>
                                <w:bottom w:val="none" w:sz="0" w:space="0" w:color="auto"/>
                                <w:right w:val="none" w:sz="0" w:space="0" w:color="auto"/>
                              </w:divBdr>
                              <w:divsChild>
                                <w:div w:id="20835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577383">
      <w:bodyDiv w:val="1"/>
      <w:marLeft w:val="0"/>
      <w:marRight w:val="0"/>
      <w:marTop w:val="0"/>
      <w:marBottom w:val="0"/>
      <w:divBdr>
        <w:top w:val="none" w:sz="0" w:space="0" w:color="auto"/>
        <w:left w:val="none" w:sz="0" w:space="0" w:color="auto"/>
        <w:bottom w:val="none" w:sz="0" w:space="0" w:color="auto"/>
        <w:right w:val="none" w:sz="0" w:space="0" w:color="auto"/>
      </w:divBdr>
    </w:div>
    <w:div w:id="400449219">
      <w:bodyDiv w:val="1"/>
      <w:marLeft w:val="0"/>
      <w:marRight w:val="0"/>
      <w:marTop w:val="0"/>
      <w:marBottom w:val="0"/>
      <w:divBdr>
        <w:top w:val="none" w:sz="0" w:space="0" w:color="auto"/>
        <w:left w:val="none" w:sz="0" w:space="0" w:color="auto"/>
        <w:bottom w:val="none" w:sz="0" w:space="0" w:color="auto"/>
        <w:right w:val="none" w:sz="0" w:space="0" w:color="auto"/>
      </w:divBdr>
      <w:divsChild>
        <w:div w:id="464855947">
          <w:marLeft w:val="0"/>
          <w:marRight w:val="0"/>
          <w:marTop w:val="100"/>
          <w:marBottom w:val="100"/>
          <w:divBdr>
            <w:top w:val="none" w:sz="0" w:space="0" w:color="auto"/>
            <w:left w:val="none" w:sz="0" w:space="0" w:color="auto"/>
            <w:bottom w:val="none" w:sz="0" w:space="0" w:color="auto"/>
            <w:right w:val="none" w:sz="0" w:space="0" w:color="auto"/>
          </w:divBdr>
          <w:divsChild>
            <w:div w:id="1042170705">
              <w:marLeft w:val="0"/>
              <w:marRight w:val="0"/>
              <w:marTop w:val="0"/>
              <w:marBottom w:val="420"/>
              <w:divBdr>
                <w:top w:val="none" w:sz="0" w:space="0" w:color="auto"/>
                <w:left w:val="none" w:sz="0" w:space="0" w:color="auto"/>
                <w:bottom w:val="none" w:sz="0" w:space="0" w:color="auto"/>
                <w:right w:val="none" w:sz="0" w:space="0" w:color="auto"/>
              </w:divBdr>
              <w:divsChild>
                <w:div w:id="1542472433">
                  <w:marLeft w:val="0"/>
                  <w:marRight w:val="0"/>
                  <w:marTop w:val="0"/>
                  <w:marBottom w:val="0"/>
                  <w:divBdr>
                    <w:top w:val="none" w:sz="0" w:space="0" w:color="auto"/>
                    <w:left w:val="none" w:sz="0" w:space="0" w:color="auto"/>
                    <w:bottom w:val="none" w:sz="0" w:space="0" w:color="auto"/>
                    <w:right w:val="none" w:sz="0" w:space="0" w:color="auto"/>
                  </w:divBdr>
                  <w:divsChild>
                    <w:div w:id="648479570">
                      <w:marLeft w:val="0"/>
                      <w:marRight w:val="0"/>
                      <w:marTop w:val="0"/>
                      <w:marBottom w:val="0"/>
                      <w:divBdr>
                        <w:top w:val="none" w:sz="0" w:space="0" w:color="auto"/>
                        <w:left w:val="none" w:sz="0" w:space="0" w:color="auto"/>
                        <w:bottom w:val="none" w:sz="0" w:space="0" w:color="auto"/>
                        <w:right w:val="none" w:sz="0" w:space="0" w:color="auto"/>
                      </w:divBdr>
                      <w:divsChild>
                        <w:div w:id="994796682">
                          <w:marLeft w:val="0"/>
                          <w:marRight w:val="0"/>
                          <w:marTop w:val="0"/>
                          <w:marBottom w:val="0"/>
                          <w:divBdr>
                            <w:top w:val="none" w:sz="0" w:space="0" w:color="auto"/>
                            <w:left w:val="none" w:sz="0" w:space="0" w:color="auto"/>
                            <w:bottom w:val="none" w:sz="0" w:space="0" w:color="auto"/>
                            <w:right w:val="none" w:sz="0" w:space="0" w:color="auto"/>
                          </w:divBdr>
                          <w:divsChild>
                            <w:div w:id="2094159723">
                              <w:marLeft w:val="0"/>
                              <w:marRight w:val="0"/>
                              <w:marTop w:val="0"/>
                              <w:marBottom w:val="0"/>
                              <w:divBdr>
                                <w:top w:val="none" w:sz="0" w:space="0" w:color="auto"/>
                                <w:left w:val="none" w:sz="0" w:space="0" w:color="auto"/>
                                <w:bottom w:val="none" w:sz="0" w:space="0" w:color="auto"/>
                                <w:right w:val="none" w:sz="0" w:space="0" w:color="auto"/>
                              </w:divBdr>
                              <w:divsChild>
                                <w:div w:id="8889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974103">
      <w:bodyDiv w:val="1"/>
      <w:marLeft w:val="0"/>
      <w:marRight w:val="0"/>
      <w:marTop w:val="0"/>
      <w:marBottom w:val="0"/>
      <w:divBdr>
        <w:top w:val="none" w:sz="0" w:space="0" w:color="auto"/>
        <w:left w:val="none" w:sz="0" w:space="0" w:color="auto"/>
        <w:bottom w:val="none" w:sz="0" w:space="0" w:color="auto"/>
        <w:right w:val="none" w:sz="0" w:space="0" w:color="auto"/>
      </w:divBdr>
      <w:divsChild>
        <w:div w:id="618877655">
          <w:marLeft w:val="0"/>
          <w:marRight w:val="0"/>
          <w:marTop w:val="100"/>
          <w:marBottom w:val="100"/>
          <w:divBdr>
            <w:top w:val="none" w:sz="0" w:space="0" w:color="auto"/>
            <w:left w:val="none" w:sz="0" w:space="0" w:color="auto"/>
            <w:bottom w:val="none" w:sz="0" w:space="0" w:color="auto"/>
            <w:right w:val="none" w:sz="0" w:space="0" w:color="auto"/>
          </w:divBdr>
          <w:divsChild>
            <w:div w:id="714888355">
              <w:marLeft w:val="0"/>
              <w:marRight w:val="0"/>
              <w:marTop w:val="0"/>
              <w:marBottom w:val="420"/>
              <w:divBdr>
                <w:top w:val="none" w:sz="0" w:space="0" w:color="auto"/>
                <w:left w:val="none" w:sz="0" w:space="0" w:color="auto"/>
                <w:bottom w:val="none" w:sz="0" w:space="0" w:color="auto"/>
                <w:right w:val="none" w:sz="0" w:space="0" w:color="auto"/>
              </w:divBdr>
              <w:divsChild>
                <w:div w:id="1626040622">
                  <w:marLeft w:val="0"/>
                  <w:marRight w:val="0"/>
                  <w:marTop w:val="0"/>
                  <w:marBottom w:val="0"/>
                  <w:divBdr>
                    <w:top w:val="none" w:sz="0" w:space="0" w:color="auto"/>
                    <w:left w:val="none" w:sz="0" w:space="0" w:color="auto"/>
                    <w:bottom w:val="none" w:sz="0" w:space="0" w:color="auto"/>
                    <w:right w:val="none" w:sz="0" w:space="0" w:color="auto"/>
                  </w:divBdr>
                  <w:divsChild>
                    <w:div w:id="960451629">
                      <w:marLeft w:val="0"/>
                      <w:marRight w:val="0"/>
                      <w:marTop w:val="0"/>
                      <w:marBottom w:val="0"/>
                      <w:divBdr>
                        <w:top w:val="none" w:sz="0" w:space="0" w:color="auto"/>
                        <w:left w:val="none" w:sz="0" w:space="0" w:color="auto"/>
                        <w:bottom w:val="none" w:sz="0" w:space="0" w:color="auto"/>
                        <w:right w:val="none" w:sz="0" w:space="0" w:color="auto"/>
                      </w:divBdr>
                      <w:divsChild>
                        <w:div w:id="211770643">
                          <w:marLeft w:val="0"/>
                          <w:marRight w:val="0"/>
                          <w:marTop w:val="0"/>
                          <w:marBottom w:val="0"/>
                          <w:divBdr>
                            <w:top w:val="none" w:sz="0" w:space="0" w:color="auto"/>
                            <w:left w:val="none" w:sz="0" w:space="0" w:color="auto"/>
                            <w:bottom w:val="none" w:sz="0" w:space="0" w:color="auto"/>
                            <w:right w:val="none" w:sz="0" w:space="0" w:color="auto"/>
                          </w:divBdr>
                          <w:divsChild>
                            <w:div w:id="184950483">
                              <w:marLeft w:val="0"/>
                              <w:marRight w:val="0"/>
                              <w:marTop w:val="0"/>
                              <w:marBottom w:val="0"/>
                              <w:divBdr>
                                <w:top w:val="none" w:sz="0" w:space="0" w:color="auto"/>
                                <w:left w:val="none" w:sz="0" w:space="0" w:color="auto"/>
                                <w:bottom w:val="none" w:sz="0" w:space="0" w:color="auto"/>
                                <w:right w:val="none" w:sz="0" w:space="0" w:color="auto"/>
                              </w:divBdr>
                              <w:divsChild>
                                <w:div w:id="1383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533634">
      <w:bodyDiv w:val="1"/>
      <w:marLeft w:val="0"/>
      <w:marRight w:val="0"/>
      <w:marTop w:val="0"/>
      <w:marBottom w:val="0"/>
      <w:divBdr>
        <w:top w:val="none" w:sz="0" w:space="0" w:color="auto"/>
        <w:left w:val="none" w:sz="0" w:space="0" w:color="auto"/>
        <w:bottom w:val="none" w:sz="0" w:space="0" w:color="auto"/>
        <w:right w:val="none" w:sz="0" w:space="0" w:color="auto"/>
      </w:divBdr>
    </w:div>
    <w:div w:id="430247613">
      <w:bodyDiv w:val="1"/>
      <w:marLeft w:val="0"/>
      <w:marRight w:val="0"/>
      <w:marTop w:val="0"/>
      <w:marBottom w:val="0"/>
      <w:divBdr>
        <w:top w:val="none" w:sz="0" w:space="0" w:color="auto"/>
        <w:left w:val="none" w:sz="0" w:space="0" w:color="auto"/>
        <w:bottom w:val="none" w:sz="0" w:space="0" w:color="auto"/>
        <w:right w:val="none" w:sz="0" w:space="0" w:color="auto"/>
      </w:divBdr>
    </w:div>
    <w:div w:id="433870091">
      <w:bodyDiv w:val="1"/>
      <w:marLeft w:val="0"/>
      <w:marRight w:val="0"/>
      <w:marTop w:val="0"/>
      <w:marBottom w:val="0"/>
      <w:divBdr>
        <w:top w:val="none" w:sz="0" w:space="0" w:color="auto"/>
        <w:left w:val="none" w:sz="0" w:space="0" w:color="auto"/>
        <w:bottom w:val="none" w:sz="0" w:space="0" w:color="auto"/>
        <w:right w:val="none" w:sz="0" w:space="0" w:color="auto"/>
      </w:divBdr>
    </w:div>
    <w:div w:id="459036367">
      <w:bodyDiv w:val="1"/>
      <w:marLeft w:val="0"/>
      <w:marRight w:val="0"/>
      <w:marTop w:val="0"/>
      <w:marBottom w:val="0"/>
      <w:divBdr>
        <w:top w:val="none" w:sz="0" w:space="0" w:color="auto"/>
        <w:left w:val="none" w:sz="0" w:space="0" w:color="auto"/>
        <w:bottom w:val="none" w:sz="0" w:space="0" w:color="auto"/>
        <w:right w:val="none" w:sz="0" w:space="0" w:color="auto"/>
      </w:divBdr>
    </w:div>
    <w:div w:id="469634723">
      <w:bodyDiv w:val="1"/>
      <w:marLeft w:val="0"/>
      <w:marRight w:val="0"/>
      <w:marTop w:val="0"/>
      <w:marBottom w:val="0"/>
      <w:divBdr>
        <w:top w:val="none" w:sz="0" w:space="0" w:color="auto"/>
        <w:left w:val="none" w:sz="0" w:space="0" w:color="auto"/>
        <w:bottom w:val="none" w:sz="0" w:space="0" w:color="auto"/>
        <w:right w:val="none" w:sz="0" w:space="0" w:color="auto"/>
      </w:divBdr>
    </w:div>
    <w:div w:id="481123322">
      <w:bodyDiv w:val="1"/>
      <w:marLeft w:val="0"/>
      <w:marRight w:val="0"/>
      <w:marTop w:val="0"/>
      <w:marBottom w:val="0"/>
      <w:divBdr>
        <w:top w:val="none" w:sz="0" w:space="0" w:color="auto"/>
        <w:left w:val="none" w:sz="0" w:space="0" w:color="auto"/>
        <w:bottom w:val="none" w:sz="0" w:space="0" w:color="auto"/>
        <w:right w:val="none" w:sz="0" w:space="0" w:color="auto"/>
      </w:divBdr>
    </w:div>
    <w:div w:id="503907720">
      <w:bodyDiv w:val="1"/>
      <w:marLeft w:val="0"/>
      <w:marRight w:val="0"/>
      <w:marTop w:val="0"/>
      <w:marBottom w:val="0"/>
      <w:divBdr>
        <w:top w:val="none" w:sz="0" w:space="0" w:color="auto"/>
        <w:left w:val="none" w:sz="0" w:space="0" w:color="auto"/>
        <w:bottom w:val="none" w:sz="0" w:space="0" w:color="auto"/>
        <w:right w:val="none" w:sz="0" w:space="0" w:color="auto"/>
      </w:divBdr>
    </w:div>
    <w:div w:id="545796738">
      <w:bodyDiv w:val="1"/>
      <w:marLeft w:val="0"/>
      <w:marRight w:val="0"/>
      <w:marTop w:val="0"/>
      <w:marBottom w:val="0"/>
      <w:divBdr>
        <w:top w:val="none" w:sz="0" w:space="0" w:color="auto"/>
        <w:left w:val="none" w:sz="0" w:space="0" w:color="auto"/>
        <w:bottom w:val="none" w:sz="0" w:space="0" w:color="auto"/>
        <w:right w:val="none" w:sz="0" w:space="0" w:color="auto"/>
      </w:divBdr>
    </w:div>
    <w:div w:id="546644507">
      <w:bodyDiv w:val="1"/>
      <w:marLeft w:val="0"/>
      <w:marRight w:val="0"/>
      <w:marTop w:val="0"/>
      <w:marBottom w:val="0"/>
      <w:divBdr>
        <w:top w:val="none" w:sz="0" w:space="0" w:color="auto"/>
        <w:left w:val="none" w:sz="0" w:space="0" w:color="auto"/>
        <w:bottom w:val="none" w:sz="0" w:space="0" w:color="auto"/>
        <w:right w:val="none" w:sz="0" w:space="0" w:color="auto"/>
      </w:divBdr>
    </w:div>
    <w:div w:id="553733021">
      <w:bodyDiv w:val="1"/>
      <w:marLeft w:val="0"/>
      <w:marRight w:val="0"/>
      <w:marTop w:val="0"/>
      <w:marBottom w:val="0"/>
      <w:divBdr>
        <w:top w:val="none" w:sz="0" w:space="0" w:color="auto"/>
        <w:left w:val="none" w:sz="0" w:space="0" w:color="auto"/>
        <w:bottom w:val="none" w:sz="0" w:space="0" w:color="auto"/>
        <w:right w:val="none" w:sz="0" w:space="0" w:color="auto"/>
      </w:divBdr>
    </w:div>
    <w:div w:id="568460152">
      <w:bodyDiv w:val="1"/>
      <w:marLeft w:val="0"/>
      <w:marRight w:val="0"/>
      <w:marTop w:val="0"/>
      <w:marBottom w:val="0"/>
      <w:divBdr>
        <w:top w:val="none" w:sz="0" w:space="0" w:color="auto"/>
        <w:left w:val="none" w:sz="0" w:space="0" w:color="auto"/>
        <w:bottom w:val="none" w:sz="0" w:space="0" w:color="auto"/>
        <w:right w:val="none" w:sz="0" w:space="0" w:color="auto"/>
      </w:divBdr>
    </w:div>
    <w:div w:id="576985777">
      <w:bodyDiv w:val="1"/>
      <w:marLeft w:val="0"/>
      <w:marRight w:val="0"/>
      <w:marTop w:val="0"/>
      <w:marBottom w:val="0"/>
      <w:divBdr>
        <w:top w:val="none" w:sz="0" w:space="0" w:color="auto"/>
        <w:left w:val="none" w:sz="0" w:space="0" w:color="auto"/>
        <w:bottom w:val="none" w:sz="0" w:space="0" w:color="auto"/>
        <w:right w:val="none" w:sz="0" w:space="0" w:color="auto"/>
      </w:divBdr>
    </w:div>
    <w:div w:id="639532935">
      <w:bodyDiv w:val="1"/>
      <w:marLeft w:val="0"/>
      <w:marRight w:val="0"/>
      <w:marTop w:val="0"/>
      <w:marBottom w:val="0"/>
      <w:divBdr>
        <w:top w:val="none" w:sz="0" w:space="0" w:color="auto"/>
        <w:left w:val="none" w:sz="0" w:space="0" w:color="auto"/>
        <w:bottom w:val="none" w:sz="0" w:space="0" w:color="auto"/>
        <w:right w:val="none" w:sz="0" w:space="0" w:color="auto"/>
      </w:divBdr>
    </w:div>
    <w:div w:id="656999944">
      <w:bodyDiv w:val="1"/>
      <w:marLeft w:val="0"/>
      <w:marRight w:val="0"/>
      <w:marTop w:val="0"/>
      <w:marBottom w:val="0"/>
      <w:divBdr>
        <w:top w:val="none" w:sz="0" w:space="0" w:color="auto"/>
        <w:left w:val="none" w:sz="0" w:space="0" w:color="auto"/>
        <w:bottom w:val="none" w:sz="0" w:space="0" w:color="auto"/>
        <w:right w:val="none" w:sz="0" w:space="0" w:color="auto"/>
      </w:divBdr>
      <w:divsChild>
        <w:div w:id="951859412">
          <w:marLeft w:val="0"/>
          <w:marRight w:val="0"/>
          <w:marTop w:val="100"/>
          <w:marBottom w:val="100"/>
          <w:divBdr>
            <w:top w:val="none" w:sz="0" w:space="0" w:color="auto"/>
            <w:left w:val="none" w:sz="0" w:space="0" w:color="auto"/>
            <w:bottom w:val="none" w:sz="0" w:space="0" w:color="auto"/>
            <w:right w:val="none" w:sz="0" w:space="0" w:color="auto"/>
          </w:divBdr>
          <w:divsChild>
            <w:div w:id="1126697979">
              <w:marLeft w:val="0"/>
              <w:marRight w:val="0"/>
              <w:marTop w:val="0"/>
              <w:marBottom w:val="420"/>
              <w:divBdr>
                <w:top w:val="none" w:sz="0" w:space="0" w:color="auto"/>
                <w:left w:val="none" w:sz="0" w:space="0" w:color="auto"/>
                <w:bottom w:val="none" w:sz="0" w:space="0" w:color="auto"/>
                <w:right w:val="none" w:sz="0" w:space="0" w:color="auto"/>
              </w:divBdr>
              <w:divsChild>
                <w:div w:id="386803049">
                  <w:marLeft w:val="0"/>
                  <w:marRight w:val="0"/>
                  <w:marTop w:val="0"/>
                  <w:marBottom w:val="0"/>
                  <w:divBdr>
                    <w:top w:val="none" w:sz="0" w:space="0" w:color="auto"/>
                    <w:left w:val="none" w:sz="0" w:space="0" w:color="auto"/>
                    <w:bottom w:val="none" w:sz="0" w:space="0" w:color="auto"/>
                    <w:right w:val="none" w:sz="0" w:space="0" w:color="auto"/>
                  </w:divBdr>
                  <w:divsChild>
                    <w:div w:id="1935045954">
                      <w:marLeft w:val="0"/>
                      <w:marRight w:val="0"/>
                      <w:marTop w:val="0"/>
                      <w:marBottom w:val="0"/>
                      <w:divBdr>
                        <w:top w:val="none" w:sz="0" w:space="0" w:color="auto"/>
                        <w:left w:val="none" w:sz="0" w:space="0" w:color="auto"/>
                        <w:bottom w:val="none" w:sz="0" w:space="0" w:color="auto"/>
                        <w:right w:val="none" w:sz="0" w:space="0" w:color="auto"/>
                      </w:divBdr>
                      <w:divsChild>
                        <w:div w:id="1322781203">
                          <w:marLeft w:val="0"/>
                          <w:marRight w:val="0"/>
                          <w:marTop w:val="0"/>
                          <w:marBottom w:val="0"/>
                          <w:divBdr>
                            <w:top w:val="none" w:sz="0" w:space="0" w:color="auto"/>
                            <w:left w:val="none" w:sz="0" w:space="0" w:color="auto"/>
                            <w:bottom w:val="none" w:sz="0" w:space="0" w:color="auto"/>
                            <w:right w:val="none" w:sz="0" w:space="0" w:color="auto"/>
                          </w:divBdr>
                          <w:divsChild>
                            <w:div w:id="1028987938">
                              <w:marLeft w:val="0"/>
                              <w:marRight w:val="0"/>
                              <w:marTop w:val="0"/>
                              <w:marBottom w:val="0"/>
                              <w:divBdr>
                                <w:top w:val="none" w:sz="0" w:space="0" w:color="auto"/>
                                <w:left w:val="none" w:sz="0" w:space="0" w:color="auto"/>
                                <w:bottom w:val="none" w:sz="0" w:space="0" w:color="auto"/>
                                <w:right w:val="none" w:sz="0" w:space="0" w:color="auto"/>
                              </w:divBdr>
                              <w:divsChild>
                                <w:div w:id="12924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967629">
      <w:bodyDiv w:val="1"/>
      <w:marLeft w:val="0"/>
      <w:marRight w:val="0"/>
      <w:marTop w:val="0"/>
      <w:marBottom w:val="0"/>
      <w:divBdr>
        <w:top w:val="none" w:sz="0" w:space="0" w:color="auto"/>
        <w:left w:val="none" w:sz="0" w:space="0" w:color="auto"/>
        <w:bottom w:val="none" w:sz="0" w:space="0" w:color="auto"/>
        <w:right w:val="none" w:sz="0" w:space="0" w:color="auto"/>
      </w:divBdr>
    </w:div>
    <w:div w:id="684790969">
      <w:bodyDiv w:val="1"/>
      <w:marLeft w:val="0"/>
      <w:marRight w:val="0"/>
      <w:marTop w:val="0"/>
      <w:marBottom w:val="0"/>
      <w:divBdr>
        <w:top w:val="none" w:sz="0" w:space="0" w:color="auto"/>
        <w:left w:val="none" w:sz="0" w:space="0" w:color="auto"/>
        <w:bottom w:val="none" w:sz="0" w:space="0" w:color="auto"/>
        <w:right w:val="none" w:sz="0" w:space="0" w:color="auto"/>
      </w:divBdr>
    </w:div>
    <w:div w:id="697858322">
      <w:bodyDiv w:val="1"/>
      <w:marLeft w:val="0"/>
      <w:marRight w:val="0"/>
      <w:marTop w:val="0"/>
      <w:marBottom w:val="0"/>
      <w:divBdr>
        <w:top w:val="none" w:sz="0" w:space="0" w:color="auto"/>
        <w:left w:val="none" w:sz="0" w:space="0" w:color="auto"/>
        <w:bottom w:val="none" w:sz="0" w:space="0" w:color="auto"/>
        <w:right w:val="none" w:sz="0" w:space="0" w:color="auto"/>
      </w:divBdr>
    </w:div>
    <w:div w:id="722368119">
      <w:bodyDiv w:val="1"/>
      <w:marLeft w:val="0"/>
      <w:marRight w:val="0"/>
      <w:marTop w:val="0"/>
      <w:marBottom w:val="0"/>
      <w:divBdr>
        <w:top w:val="none" w:sz="0" w:space="0" w:color="auto"/>
        <w:left w:val="none" w:sz="0" w:space="0" w:color="auto"/>
        <w:bottom w:val="none" w:sz="0" w:space="0" w:color="auto"/>
        <w:right w:val="none" w:sz="0" w:space="0" w:color="auto"/>
      </w:divBdr>
    </w:div>
    <w:div w:id="731729623">
      <w:bodyDiv w:val="1"/>
      <w:marLeft w:val="0"/>
      <w:marRight w:val="0"/>
      <w:marTop w:val="0"/>
      <w:marBottom w:val="0"/>
      <w:divBdr>
        <w:top w:val="none" w:sz="0" w:space="0" w:color="auto"/>
        <w:left w:val="none" w:sz="0" w:space="0" w:color="auto"/>
        <w:bottom w:val="none" w:sz="0" w:space="0" w:color="auto"/>
        <w:right w:val="none" w:sz="0" w:space="0" w:color="auto"/>
      </w:divBdr>
      <w:divsChild>
        <w:div w:id="470484733">
          <w:marLeft w:val="0"/>
          <w:marRight w:val="0"/>
          <w:marTop w:val="0"/>
          <w:marBottom w:val="0"/>
          <w:divBdr>
            <w:top w:val="none" w:sz="0" w:space="0" w:color="auto"/>
            <w:left w:val="none" w:sz="0" w:space="0" w:color="auto"/>
            <w:bottom w:val="none" w:sz="0" w:space="0" w:color="auto"/>
            <w:right w:val="none" w:sz="0" w:space="0" w:color="auto"/>
          </w:divBdr>
          <w:divsChild>
            <w:div w:id="359428718">
              <w:marLeft w:val="0"/>
              <w:marRight w:val="2"/>
              <w:marTop w:val="0"/>
              <w:marBottom w:val="480"/>
              <w:divBdr>
                <w:top w:val="single" w:sz="2" w:space="0" w:color="auto"/>
                <w:left w:val="single" w:sz="2" w:space="4" w:color="auto"/>
                <w:bottom w:val="single" w:sz="2" w:space="0" w:color="auto"/>
                <w:right w:val="single" w:sz="2" w:space="4" w:color="auto"/>
              </w:divBdr>
            </w:div>
          </w:divsChild>
        </w:div>
      </w:divsChild>
    </w:div>
    <w:div w:id="754204407">
      <w:bodyDiv w:val="1"/>
      <w:marLeft w:val="0"/>
      <w:marRight w:val="0"/>
      <w:marTop w:val="0"/>
      <w:marBottom w:val="0"/>
      <w:divBdr>
        <w:top w:val="none" w:sz="0" w:space="0" w:color="auto"/>
        <w:left w:val="none" w:sz="0" w:space="0" w:color="auto"/>
        <w:bottom w:val="none" w:sz="0" w:space="0" w:color="auto"/>
        <w:right w:val="none" w:sz="0" w:space="0" w:color="auto"/>
      </w:divBdr>
    </w:div>
    <w:div w:id="789714171">
      <w:bodyDiv w:val="1"/>
      <w:marLeft w:val="0"/>
      <w:marRight w:val="0"/>
      <w:marTop w:val="0"/>
      <w:marBottom w:val="0"/>
      <w:divBdr>
        <w:top w:val="none" w:sz="0" w:space="0" w:color="auto"/>
        <w:left w:val="none" w:sz="0" w:space="0" w:color="auto"/>
        <w:bottom w:val="none" w:sz="0" w:space="0" w:color="auto"/>
        <w:right w:val="none" w:sz="0" w:space="0" w:color="auto"/>
      </w:divBdr>
    </w:div>
    <w:div w:id="836774062">
      <w:bodyDiv w:val="1"/>
      <w:marLeft w:val="0"/>
      <w:marRight w:val="0"/>
      <w:marTop w:val="0"/>
      <w:marBottom w:val="0"/>
      <w:divBdr>
        <w:top w:val="none" w:sz="0" w:space="0" w:color="auto"/>
        <w:left w:val="none" w:sz="0" w:space="0" w:color="auto"/>
        <w:bottom w:val="none" w:sz="0" w:space="0" w:color="auto"/>
        <w:right w:val="none" w:sz="0" w:space="0" w:color="auto"/>
      </w:divBdr>
    </w:div>
    <w:div w:id="851459325">
      <w:bodyDiv w:val="1"/>
      <w:marLeft w:val="0"/>
      <w:marRight w:val="0"/>
      <w:marTop w:val="0"/>
      <w:marBottom w:val="0"/>
      <w:divBdr>
        <w:top w:val="none" w:sz="0" w:space="0" w:color="auto"/>
        <w:left w:val="none" w:sz="0" w:space="0" w:color="auto"/>
        <w:bottom w:val="none" w:sz="0" w:space="0" w:color="auto"/>
        <w:right w:val="none" w:sz="0" w:space="0" w:color="auto"/>
      </w:divBdr>
    </w:div>
    <w:div w:id="855341475">
      <w:bodyDiv w:val="1"/>
      <w:marLeft w:val="0"/>
      <w:marRight w:val="0"/>
      <w:marTop w:val="0"/>
      <w:marBottom w:val="0"/>
      <w:divBdr>
        <w:top w:val="none" w:sz="0" w:space="0" w:color="auto"/>
        <w:left w:val="none" w:sz="0" w:space="0" w:color="auto"/>
        <w:bottom w:val="none" w:sz="0" w:space="0" w:color="auto"/>
        <w:right w:val="none" w:sz="0" w:space="0" w:color="auto"/>
      </w:divBdr>
    </w:div>
    <w:div w:id="858157608">
      <w:bodyDiv w:val="1"/>
      <w:marLeft w:val="0"/>
      <w:marRight w:val="0"/>
      <w:marTop w:val="0"/>
      <w:marBottom w:val="0"/>
      <w:divBdr>
        <w:top w:val="none" w:sz="0" w:space="0" w:color="auto"/>
        <w:left w:val="none" w:sz="0" w:space="0" w:color="auto"/>
        <w:bottom w:val="none" w:sz="0" w:space="0" w:color="auto"/>
        <w:right w:val="none" w:sz="0" w:space="0" w:color="auto"/>
      </w:divBdr>
    </w:div>
    <w:div w:id="860318123">
      <w:bodyDiv w:val="1"/>
      <w:marLeft w:val="0"/>
      <w:marRight w:val="0"/>
      <w:marTop w:val="0"/>
      <w:marBottom w:val="0"/>
      <w:divBdr>
        <w:top w:val="none" w:sz="0" w:space="0" w:color="auto"/>
        <w:left w:val="none" w:sz="0" w:space="0" w:color="auto"/>
        <w:bottom w:val="none" w:sz="0" w:space="0" w:color="auto"/>
        <w:right w:val="none" w:sz="0" w:space="0" w:color="auto"/>
      </w:divBdr>
    </w:div>
    <w:div w:id="879896548">
      <w:bodyDiv w:val="1"/>
      <w:marLeft w:val="0"/>
      <w:marRight w:val="0"/>
      <w:marTop w:val="0"/>
      <w:marBottom w:val="0"/>
      <w:divBdr>
        <w:top w:val="none" w:sz="0" w:space="0" w:color="auto"/>
        <w:left w:val="none" w:sz="0" w:space="0" w:color="auto"/>
        <w:bottom w:val="none" w:sz="0" w:space="0" w:color="auto"/>
        <w:right w:val="none" w:sz="0" w:space="0" w:color="auto"/>
      </w:divBdr>
    </w:div>
    <w:div w:id="884146887">
      <w:bodyDiv w:val="1"/>
      <w:marLeft w:val="0"/>
      <w:marRight w:val="0"/>
      <w:marTop w:val="0"/>
      <w:marBottom w:val="0"/>
      <w:divBdr>
        <w:top w:val="none" w:sz="0" w:space="0" w:color="auto"/>
        <w:left w:val="none" w:sz="0" w:space="0" w:color="auto"/>
        <w:bottom w:val="none" w:sz="0" w:space="0" w:color="auto"/>
        <w:right w:val="none" w:sz="0" w:space="0" w:color="auto"/>
      </w:divBdr>
    </w:div>
    <w:div w:id="896160407">
      <w:bodyDiv w:val="1"/>
      <w:marLeft w:val="0"/>
      <w:marRight w:val="0"/>
      <w:marTop w:val="0"/>
      <w:marBottom w:val="0"/>
      <w:divBdr>
        <w:top w:val="none" w:sz="0" w:space="0" w:color="auto"/>
        <w:left w:val="none" w:sz="0" w:space="0" w:color="auto"/>
        <w:bottom w:val="none" w:sz="0" w:space="0" w:color="auto"/>
        <w:right w:val="none" w:sz="0" w:space="0" w:color="auto"/>
      </w:divBdr>
    </w:div>
    <w:div w:id="903565498">
      <w:bodyDiv w:val="1"/>
      <w:marLeft w:val="0"/>
      <w:marRight w:val="0"/>
      <w:marTop w:val="0"/>
      <w:marBottom w:val="0"/>
      <w:divBdr>
        <w:top w:val="none" w:sz="0" w:space="0" w:color="auto"/>
        <w:left w:val="none" w:sz="0" w:space="0" w:color="auto"/>
        <w:bottom w:val="none" w:sz="0" w:space="0" w:color="auto"/>
        <w:right w:val="none" w:sz="0" w:space="0" w:color="auto"/>
      </w:divBdr>
    </w:div>
    <w:div w:id="909191176">
      <w:bodyDiv w:val="1"/>
      <w:marLeft w:val="0"/>
      <w:marRight w:val="0"/>
      <w:marTop w:val="0"/>
      <w:marBottom w:val="0"/>
      <w:divBdr>
        <w:top w:val="none" w:sz="0" w:space="0" w:color="auto"/>
        <w:left w:val="none" w:sz="0" w:space="0" w:color="auto"/>
        <w:bottom w:val="none" w:sz="0" w:space="0" w:color="auto"/>
        <w:right w:val="none" w:sz="0" w:space="0" w:color="auto"/>
      </w:divBdr>
    </w:div>
    <w:div w:id="922958249">
      <w:bodyDiv w:val="1"/>
      <w:marLeft w:val="0"/>
      <w:marRight w:val="0"/>
      <w:marTop w:val="0"/>
      <w:marBottom w:val="0"/>
      <w:divBdr>
        <w:top w:val="none" w:sz="0" w:space="0" w:color="auto"/>
        <w:left w:val="none" w:sz="0" w:space="0" w:color="auto"/>
        <w:bottom w:val="none" w:sz="0" w:space="0" w:color="auto"/>
        <w:right w:val="none" w:sz="0" w:space="0" w:color="auto"/>
      </w:divBdr>
    </w:div>
    <w:div w:id="942540564">
      <w:bodyDiv w:val="1"/>
      <w:marLeft w:val="0"/>
      <w:marRight w:val="0"/>
      <w:marTop w:val="0"/>
      <w:marBottom w:val="0"/>
      <w:divBdr>
        <w:top w:val="none" w:sz="0" w:space="0" w:color="auto"/>
        <w:left w:val="none" w:sz="0" w:space="0" w:color="auto"/>
        <w:bottom w:val="none" w:sz="0" w:space="0" w:color="auto"/>
        <w:right w:val="none" w:sz="0" w:space="0" w:color="auto"/>
      </w:divBdr>
    </w:div>
    <w:div w:id="951746163">
      <w:bodyDiv w:val="1"/>
      <w:marLeft w:val="0"/>
      <w:marRight w:val="0"/>
      <w:marTop w:val="0"/>
      <w:marBottom w:val="0"/>
      <w:divBdr>
        <w:top w:val="none" w:sz="0" w:space="0" w:color="auto"/>
        <w:left w:val="none" w:sz="0" w:space="0" w:color="auto"/>
        <w:bottom w:val="none" w:sz="0" w:space="0" w:color="auto"/>
        <w:right w:val="none" w:sz="0" w:space="0" w:color="auto"/>
      </w:divBdr>
    </w:div>
    <w:div w:id="992102859">
      <w:bodyDiv w:val="1"/>
      <w:marLeft w:val="0"/>
      <w:marRight w:val="0"/>
      <w:marTop w:val="0"/>
      <w:marBottom w:val="0"/>
      <w:divBdr>
        <w:top w:val="none" w:sz="0" w:space="0" w:color="auto"/>
        <w:left w:val="none" w:sz="0" w:space="0" w:color="auto"/>
        <w:bottom w:val="none" w:sz="0" w:space="0" w:color="auto"/>
        <w:right w:val="none" w:sz="0" w:space="0" w:color="auto"/>
      </w:divBdr>
      <w:divsChild>
        <w:div w:id="1161777729">
          <w:marLeft w:val="0"/>
          <w:marRight w:val="0"/>
          <w:marTop w:val="0"/>
          <w:marBottom w:val="0"/>
          <w:divBdr>
            <w:top w:val="none" w:sz="0" w:space="0" w:color="auto"/>
            <w:left w:val="none" w:sz="0" w:space="0" w:color="auto"/>
            <w:bottom w:val="none" w:sz="0" w:space="0" w:color="auto"/>
            <w:right w:val="none" w:sz="0" w:space="0" w:color="auto"/>
          </w:divBdr>
          <w:divsChild>
            <w:div w:id="1986201432">
              <w:marLeft w:val="0"/>
              <w:marRight w:val="0"/>
              <w:marTop w:val="0"/>
              <w:marBottom w:val="0"/>
              <w:divBdr>
                <w:top w:val="none" w:sz="0" w:space="0" w:color="auto"/>
                <w:left w:val="none" w:sz="0" w:space="0" w:color="auto"/>
                <w:bottom w:val="none" w:sz="0" w:space="0" w:color="auto"/>
                <w:right w:val="none" w:sz="0" w:space="0" w:color="auto"/>
              </w:divBdr>
              <w:divsChild>
                <w:div w:id="19638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70485">
      <w:bodyDiv w:val="1"/>
      <w:marLeft w:val="0"/>
      <w:marRight w:val="0"/>
      <w:marTop w:val="0"/>
      <w:marBottom w:val="0"/>
      <w:divBdr>
        <w:top w:val="none" w:sz="0" w:space="0" w:color="auto"/>
        <w:left w:val="none" w:sz="0" w:space="0" w:color="auto"/>
        <w:bottom w:val="none" w:sz="0" w:space="0" w:color="auto"/>
        <w:right w:val="none" w:sz="0" w:space="0" w:color="auto"/>
      </w:divBdr>
    </w:div>
    <w:div w:id="1039890222">
      <w:bodyDiv w:val="1"/>
      <w:marLeft w:val="0"/>
      <w:marRight w:val="0"/>
      <w:marTop w:val="0"/>
      <w:marBottom w:val="0"/>
      <w:divBdr>
        <w:top w:val="none" w:sz="0" w:space="0" w:color="auto"/>
        <w:left w:val="none" w:sz="0" w:space="0" w:color="auto"/>
        <w:bottom w:val="none" w:sz="0" w:space="0" w:color="auto"/>
        <w:right w:val="none" w:sz="0" w:space="0" w:color="auto"/>
      </w:divBdr>
    </w:div>
    <w:div w:id="1040129945">
      <w:bodyDiv w:val="1"/>
      <w:marLeft w:val="0"/>
      <w:marRight w:val="0"/>
      <w:marTop w:val="0"/>
      <w:marBottom w:val="0"/>
      <w:divBdr>
        <w:top w:val="none" w:sz="0" w:space="0" w:color="auto"/>
        <w:left w:val="none" w:sz="0" w:space="0" w:color="auto"/>
        <w:bottom w:val="none" w:sz="0" w:space="0" w:color="auto"/>
        <w:right w:val="none" w:sz="0" w:space="0" w:color="auto"/>
      </w:divBdr>
    </w:div>
    <w:div w:id="1047684356">
      <w:bodyDiv w:val="1"/>
      <w:marLeft w:val="0"/>
      <w:marRight w:val="0"/>
      <w:marTop w:val="0"/>
      <w:marBottom w:val="0"/>
      <w:divBdr>
        <w:top w:val="none" w:sz="0" w:space="0" w:color="auto"/>
        <w:left w:val="none" w:sz="0" w:space="0" w:color="auto"/>
        <w:bottom w:val="none" w:sz="0" w:space="0" w:color="auto"/>
        <w:right w:val="none" w:sz="0" w:space="0" w:color="auto"/>
      </w:divBdr>
    </w:div>
    <w:div w:id="1063407887">
      <w:bodyDiv w:val="1"/>
      <w:marLeft w:val="0"/>
      <w:marRight w:val="0"/>
      <w:marTop w:val="0"/>
      <w:marBottom w:val="0"/>
      <w:divBdr>
        <w:top w:val="none" w:sz="0" w:space="0" w:color="auto"/>
        <w:left w:val="none" w:sz="0" w:space="0" w:color="auto"/>
        <w:bottom w:val="none" w:sz="0" w:space="0" w:color="auto"/>
        <w:right w:val="none" w:sz="0" w:space="0" w:color="auto"/>
      </w:divBdr>
    </w:div>
    <w:div w:id="1064455217">
      <w:bodyDiv w:val="1"/>
      <w:marLeft w:val="0"/>
      <w:marRight w:val="0"/>
      <w:marTop w:val="0"/>
      <w:marBottom w:val="0"/>
      <w:divBdr>
        <w:top w:val="none" w:sz="0" w:space="0" w:color="auto"/>
        <w:left w:val="none" w:sz="0" w:space="0" w:color="auto"/>
        <w:bottom w:val="none" w:sz="0" w:space="0" w:color="auto"/>
        <w:right w:val="none" w:sz="0" w:space="0" w:color="auto"/>
      </w:divBdr>
    </w:div>
    <w:div w:id="1065181787">
      <w:bodyDiv w:val="1"/>
      <w:marLeft w:val="0"/>
      <w:marRight w:val="0"/>
      <w:marTop w:val="0"/>
      <w:marBottom w:val="0"/>
      <w:divBdr>
        <w:top w:val="none" w:sz="0" w:space="0" w:color="auto"/>
        <w:left w:val="none" w:sz="0" w:space="0" w:color="auto"/>
        <w:bottom w:val="none" w:sz="0" w:space="0" w:color="auto"/>
        <w:right w:val="none" w:sz="0" w:space="0" w:color="auto"/>
      </w:divBdr>
    </w:div>
    <w:div w:id="1071347770">
      <w:bodyDiv w:val="1"/>
      <w:marLeft w:val="0"/>
      <w:marRight w:val="0"/>
      <w:marTop w:val="0"/>
      <w:marBottom w:val="0"/>
      <w:divBdr>
        <w:top w:val="none" w:sz="0" w:space="0" w:color="auto"/>
        <w:left w:val="none" w:sz="0" w:space="0" w:color="auto"/>
        <w:bottom w:val="none" w:sz="0" w:space="0" w:color="auto"/>
        <w:right w:val="none" w:sz="0" w:space="0" w:color="auto"/>
      </w:divBdr>
    </w:div>
    <w:div w:id="1074813414">
      <w:bodyDiv w:val="1"/>
      <w:marLeft w:val="0"/>
      <w:marRight w:val="0"/>
      <w:marTop w:val="0"/>
      <w:marBottom w:val="0"/>
      <w:divBdr>
        <w:top w:val="none" w:sz="0" w:space="0" w:color="auto"/>
        <w:left w:val="none" w:sz="0" w:space="0" w:color="auto"/>
        <w:bottom w:val="none" w:sz="0" w:space="0" w:color="auto"/>
        <w:right w:val="none" w:sz="0" w:space="0" w:color="auto"/>
      </w:divBdr>
    </w:div>
    <w:div w:id="1079131759">
      <w:bodyDiv w:val="1"/>
      <w:marLeft w:val="0"/>
      <w:marRight w:val="0"/>
      <w:marTop w:val="0"/>
      <w:marBottom w:val="0"/>
      <w:divBdr>
        <w:top w:val="none" w:sz="0" w:space="0" w:color="auto"/>
        <w:left w:val="none" w:sz="0" w:space="0" w:color="auto"/>
        <w:bottom w:val="none" w:sz="0" w:space="0" w:color="auto"/>
        <w:right w:val="none" w:sz="0" w:space="0" w:color="auto"/>
      </w:divBdr>
    </w:div>
    <w:div w:id="107921253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28355389">
      <w:bodyDiv w:val="1"/>
      <w:marLeft w:val="0"/>
      <w:marRight w:val="0"/>
      <w:marTop w:val="0"/>
      <w:marBottom w:val="0"/>
      <w:divBdr>
        <w:top w:val="none" w:sz="0" w:space="0" w:color="auto"/>
        <w:left w:val="none" w:sz="0" w:space="0" w:color="auto"/>
        <w:bottom w:val="none" w:sz="0" w:space="0" w:color="auto"/>
        <w:right w:val="none" w:sz="0" w:space="0" w:color="auto"/>
      </w:divBdr>
    </w:div>
    <w:div w:id="1130632127">
      <w:bodyDiv w:val="1"/>
      <w:marLeft w:val="0"/>
      <w:marRight w:val="0"/>
      <w:marTop w:val="0"/>
      <w:marBottom w:val="0"/>
      <w:divBdr>
        <w:top w:val="none" w:sz="0" w:space="0" w:color="auto"/>
        <w:left w:val="none" w:sz="0" w:space="0" w:color="auto"/>
        <w:bottom w:val="none" w:sz="0" w:space="0" w:color="auto"/>
        <w:right w:val="none" w:sz="0" w:space="0" w:color="auto"/>
      </w:divBdr>
    </w:div>
    <w:div w:id="1140266803">
      <w:bodyDiv w:val="1"/>
      <w:marLeft w:val="0"/>
      <w:marRight w:val="0"/>
      <w:marTop w:val="0"/>
      <w:marBottom w:val="0"/>
      <w:divBdr>
        <w:top w:val="none" w:sz="0" w:space="0" w:color="auto"/>
        <w:left w:val="none" w:sz="0" w:space="0" w:color="auto"/>
        <w:bottom w:val="none" w:sz="0" w:space="0" w:color="auto"/>
        <w:right w:val="none" w:sz="0" w:space="0" w:color="auto"/>
      </w:divBdr>
    </w:div>
    <w:div w:id="1141311563">
      <w:bodyDiv w:val="1"/>
      <w:marLeft w:val="0"/>
      <w:marRight w:val="0"/>
      <w:marTop w:val="0"/>
      <w:marBottom w:val="0"/>
      <w:divBdr>
        <w:top w:val="none" w:sz="0" w:space="0" w:color="auto"/>
        <w:left w:val="none" w:sz="0" w:space="0" w:color="auto"/>
        <w:bottom w:val="none" w:sz="0" w:space="0" w:color="auto"/>
        <w:right w:val="none" w:sz="0" w:space="0" w:color="auto"/>
      </w:divBdr>
      <w:divsChild>
        <w:div w:id="2140224107">
          <w:marLeft w:val="0"/>
          <w:marRight w:val="0"/>
          <w:marTop w:val="0"/>
          <w:marBottom w:val="0"/>
          <w:divBdr>
            <w:top w:val="none" w:sz="0" w:space="0" w:color="auto"/>
            <w:left w:val="none" w:sz="0" w:space="0" w:color="auto"/>
            <w:bottom w:val="none" w:sz="0" w:space="0" w:color="auto"/>
            <w:right w:val="none" w:sz="0" w:space="0" w:color="auto"/>
          </w:divBdr>
          <w:divsChild>
            <w:div w:id="1716276556">
              <w:marLeft w:val="0"/>
              <w:marRight w:val="0"/>
              <w:marTop w:val="0"/>
              <w:marBottom w:val="0"/>
              <w:divBdr>
                <w:top w:val="none" w:sz="0" w:space="0" w:color="auto"/>
                <w:left w:val="none" w:sz="0" w:space="0" w:color="auto"/>
                <w:bottom w:val="none" w:sz="0" w:space="0" w:color="auto"/>
                <w:right w:val="none" w:sz="0" w:space="0" w:color="auto"/>
              </w:divBdr>
              <w:divsChild>
                <w:div w:id="1169901619">
                  <w:marLeft w:val="0"/>
                  <w:marRight w:val="0"/>
                  <w:marTop w:val="0"/>
                  <w:marBottom w:val="0"/>
                  <w:divBdr>
                    <w:top w:val="none" w:sz="0" w:space="0" w:color="auto"/>
                    <w:left w:val="none" w:sz="0" w:space="0" w:color="auto"/>
                    <w:bottom w:val="none" w:sz="0" w:space="0" w:color="auto"/>
                    <w:right w:val="none" w:sz="0" w:space="0" w:color="auto"/>
                  </w:divBdr>
                  <w:divsChild>
                    <w:div w:id="861741470">
                      <w:marLeft w:val="0"/>
                      <w:marRight w:val="0"/>
                      <w:marTop w:val="0"/>
                      <w:marBottom w:val="0"/>
                      <w:divBdr>
                        <w:top w:val="none" w:sz="0" w:space="0" w:color="auto"/>
                        <w:left w:val="none" w:sz="0" w:space="0" w:color="auto"/>
                        <w:bottom w:val="none" w:sz="0" w:space="0" w:color="auto"/>
                        <w:right w:val="none" w:sz="0" w:space="0" w:color="auto"/>
                      </w:divBdr>
                      <w:divsChild>
                        <w:div w:id="9338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04731">
      <w:bodyDiv w:val="1"/>
      <w:marLeft w:val="0"/>
      <w:marRight w:val="0"/>
      <w:marTop w:val="0"/>
      <w:marBottom w:val="0"/>
      <w:divBdr>
        <w:top w:val="none" w:sz="0" w:space="0" w:color="auto"/>
        <w:left w:val="none" w:sz="0" w:space="0" w:color="auto"/>
        <w:bottom w:val="none" w:sz="0" w:space="0" w:color="auto"/>
        <w:right w:val="none" w:sz="0" w:space="0" w:color="auto"/>
      </w:divBdr>
    </w:div>
    <w:div w:id="1164276690">
      <w:bodyDiv w:val="1"/>
      <w:marLeft w:val="0"/>
      <w:marRight w:val="0"/>
      <w:marTop w:val="0"/>
      <w:marBottom w:val="0"/>
      <w:divBdr>
        <w:top w:val="none" w:sz="0" w:space="0" w:color="auto"/>
        <w:left w:val="none" w:sz="0" w:space="0" w:color="auto"/>
        <w:bottom w:val="none" w:sz="0" w:space="0" w:color="auto"/>
        <w:right w:val="none" w:sz="0" w:space="0" w:color="auto"/>
      </w:divBdr>
    </w:div>
    <w:div w:id="1179271723">
      <w:bodyDiv w:val="1"/>
      <w:marLeft w:val="0"/>
      <w:marRight w:val="0"/>
      <w:marTop w:val="0"/>
      <w:marBottom w:val="0"/>
      <w:divBdr>
        <w:top w:val="none" w:sz="0" w:space="0" w:color="auto"/>
        <w:left w:val="none" w:sz="0" w:space="0" w:color="auto"/>
        <w:bottom w:val="none" w:sz="0" w:space="0" w:color="auto"/>
        <w:right w:val="none" w:sz="0" w:space="0" w:color="auto"/>
      </w:divBdr>
    </w:div>
    <w:div w:id="1182738191">
      <w:bodyDiv w:val="1"/>
      <w:marLeft w:val="0"/>
      <w:marRight w:val="0"/>
      <w:marTop w:val="0"/>
      <w:marBottom w:val="0"/>
      <w:divBdr>
        <w:top w:val="none" w:sz="0" w:space="0" w:color="auto"/>
        <w:left w:val="none" w:sz="0" w:space="0" w:color="auto"/>
        <w:bottom w:val="none" w:sz="0" w:space="0" w:color="auto"/>
        <w:right w:val="none" w:sz="0" w:space="0" w:color="auto"/>
      </w:divBdr>
    </w:div>
    <w:div w:id="1185099537">
      <w:bodyDiv w:val="1"/>
      <w:marLeft w:val="0"/>
      <w:marRight w:val="0"/>
      <w:marTop w:val="0"/>
      <w:marBottom w:val="0"/>
      <w:divBdr>
        <w:top w:val="none" w:sz="0" w:space="0" w:color="auto"/>
        <w:left w:val="none" w:sz="0" w:space="0" w:color="auto"/>
        <w:bottom w:val="none" w:sz="0" w:space="0" w:color="auto"/>
        <w:right w:val="none" w:sz="0" w:space="0" w:color="auto"/>
      </w:divBdr>
    </w:div>
    <w:div w:id="1185632834">
      <w:bodyDiv w:val="1"/>
      <w:marLeft w:val="0"/>
      <w:marRight w:val="0"/>
      <w:marTop w:val="0"/>
      <w:marBottom w:val="0"/>
      <w:divBdr>
        <w:top w:val="none" w:sz="0" w:space="0" w:color="auto"/>
        <w:left w:val="none" w:sz="0" w:space="0" w:color="auto"/>
        <w:bottom w:val="none" w:sz="0" w:space="0" w:color="auto"/>
        <w:right w:val="none" w:sz="0" w:space="0" w:color="auto"/>
      </w:divBdr>
      <w:divsChild>
        <w:div w:id="1812165465">
          <w:marLeft w:val="0"/>
          <w:marRight w:val="0"/>
          <w:marTop w:val="0"/>
          <w:marBottom w:val="0"/>
          <w:divBdr>
            <w:top w:val="none" w:sz="0" w:space="0" w:color="auto"/>
            <w:left w:val="none" w:sz="0" w:space="0" w:color="auto"/>
            <w:bottom w:val="none" w:sz="0" w:space="0" w:color="auto"/>
            <w:right w:val="none" w:sz="0" w:space="0" w:color="auto"/>
          </w:divBdr>
          <w:divsChild>
            <w:div w:id="2055812529">
              <w:marLeft w:val="0"/>
              <w:marRight w:val="0"/>
              <w:marTop w:val="0"/>
              <w:marBottom w:val="0"/>
              <w:divBdr>
                <w:top w:val="none" w:sz="0" w:space="0" w:color="auto"/>
                <w:left w:val="none" w:sz="0" w:space="0" w:color="auto"/>
                <w:bottom w:val="none" w:sz="0" w:space="0" w:color="auto"/>
                <w:right w:val="none" w:sz="0" w:space="0" w:color="auto"/>
              </w:divBdr>
              <w:divsChild>
                <w:div w:id="79524822">
                  <w:marLeft w:val="0"/>
                  <w:marRight w:val="0"/>
                  <w:marTop w:val="0"/>
                  <w:marBottom w:val="0"/>
                  <w:divBdr>
                    <w:top w:val="none" w:sz="0" w:space="0" w:color="auto"/>
                    <w:left w:val="none" w:sz="0" w:space="0" w:color="auto"/>
                    <w:bottom w:val="none" w:sz="0" w:space="0" w:color="auto"/>
                    <w:right w:val="none" w:sz="0" w:space="0" w:color="auto"/>
                  </w:divBdr>
                  <w:divsChild>
                    <w:div w:id="1290362059">
                      <w:marLeft w:val="0"/>
                      <w:marRight w:val="0"/>
                      <w:marTop w:val="0"/>
                      <w:marBottom w:val="0"/>
                      <w:divBdr>
                        <w:top w:val="none" w:sz="0" w:space="0" w:color="auto"/>
                        <w:left w:val="none" w:sz="0" w:space="0" w:color="auto"/>
                        <w:bottom w:val="none" w:sz="0" w:space="0" w:color="auto"/>
                        <w:right w:val="none" w:sz="0" w:space="0" w:color="auto"/>
                      </w:divBdr>
                      <w:divsChild>
                        <w:div w:id="16818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022601">
      <w:bodyDiv w:val="1"/>
      <w:marLeft w:val="0"/>
      <w:marRight w:val="0"/>
      <w:marTop w:val="0"/>
      <w:marBottom w:val="0"/>
      <w:divBdr>
        <w:top w:val="none" w:sz="0" w:space="0" w:color="auto"/>
        <w:left w:val="none" w:sz="0" w:space="0" w:color="auto"/>
        <w:bottom w:val="none" w:sz="0" w:space="0" w:color="auto"/>
        <w:right w:val="none" w:sz="0" w:space="0" w:color="auto"/>
      </w:divBdr>
    </w:div>
    <w:div w:id="1200586740">
      <w:bodyDiv w:val="1"/>
      <w:marLeft w:val="0"/>
      <w:marRight w:val="0"/>
      <w:marTop w:val="0"/>
      <w:marBottom w:val="0"/>
      <w:divBdr>
        <w:top w:val="none" w:sz="0" w:space="0" w:color="auto"/>
        <w:left w:val="none" w:sz="0" w:space="0" w:color="auto"/>
        <w:bottom w:val="none" w:sz="0" w:space="0" w:color="auto"/>
        <w:right w:val="none" w:sz="0" w:space="0" w:color="auto"/>
      </w:divBdr>
    </w:div>
    <w:div w:id="1213806718">
      <w:bodyDiv w:val="1"/>
      <w:marLeft w:val="0"/>
      <w:marRight w:val="0"/>
      <w:marTop w:val="0"/>
      <w:marBottom w:val="0"/>
      <w:divBdr>
        <w:top w:val="none" w:sz="0" w:space="0" w:color="auto"/>
        <w:left w:val="none" w:sz="0" w:space="0" w:color="auto"/>
        <w:bottom w:val="none" w:sz="0" w:space="0" w:color="auto"/>
        <w:right w:val="none" w:sz="0" w:space="0" w:color="auto"/>
      </w:divBdr>
    </w:div>
    <w:div w:id="1232692688">
      <w:bodyDiv w:val="1"/>
      <w:marLeft w:val="0"/>
      <w:marRight w:val="0"/>
      <w:marTop w:val="0"/>
      <w:marBottom w:val="0"/>
      <w:divBdr>
        <w:top w:val="none" w:sz="0" w:space="0" w:color="auto"/>
        <w:left w:val="none" w:sz="0" w:space="0" w:color="auto"/>
        <w:bottom w:val="none" w:sz="0" w:space="0" w:color="auto"/>
        <w:right w:val="none" w:sz="0" w:space="0" w:color="auto"/>
      </w:divBdr>
    </w:div>
    <w:div w:id="1246962167">
      <w:bodyDiv w:val="1"/>
      <w:marLeft w:val="0"/>
      <w:marRight w:val="0"/>
      <w:marTop w:val="0"/>
      <w:marBottom w:val="0"/>
      <w:divBdr>
        <w:top w:val="none" w:sz="0" w:space="0" w:color="auto"/>
        <w:left w:val="none" w:sz="0" w:space="0" w:color="auto"/>
        <w:bottom w:val="none" w:sz="0" w:space="0" w:color="auto"/>
        <w:right w:val="none" w:sz="0" w:space="0" w:color="auto"/>
      </w:divBdr>
    </w:div>
    <w:div w:id="1250656235">
      <w:bodyDiv w:val="1"/>
      <w:marLeft w:val="0"/>
      <w:marRight w:val="0"/>
      <w:marTop w:val="0"/>
      <w:marBottom w:val="0"/>
      <w:divBdr>
        <w:top w:val="none" w:sz="0" w:space="0" w:color="auto"/>
        <w:left w:val="none" w:sz="0" w:space="0" w:color="auto"/>
        <w:bottom w:val="none" w:sz="0" w:space="0" w:color="auto"/>
        <w:right w:val="none" w:sz="0" w:space="0" w:color="auto"/>
      </w:divBdr>
    </w:div>
    <w:div w:id="1260874455">
      <w:bodyDiv w:val="1"/>
      <w:marLeft w:val="0"/>
      <w:marRight w:val="0"/>
      <w:marTop w:val="0"/>
      <w:marBottom w:val="0"/>
      <w:divBdr>
        <w:top w:val="none" w:sz="0" w:space="0" w:color="auto"/>
        <w:left w:val="none" w:sz="0" w:space="0" w:color="auto"/>
        <w:bottom w:val="none" w:sz="0" w:space="0" w:color="auto"/>
        <w:right w:val="none" w:sz="0" w:space="0" w:color="auto"/>
      </w:divBdr>
    </w:div>
    <w:div w:id="1278487700">
      <w:bodyDiv w:val="1"/>
      <w:marLeft w:val="0"/>
      <w:marRight w:val="0"/>
      <w:marTop w:val="0"/>
      <w:marBottom w:val="0"/>
      <w:divBdr>
        <w:top w:val="none" w:sz="0" w:space="0" w:color="auto"/>
        <w:left w:val="none" w:sz="0" w:space="0" w:color="auto"/>
        <w:bottom w:val="none" w:sz="0" w:space="0" w:color="auto"/>
        <w:right w:val="none" w:sz="0" w:space="0" w:color="auto"/>
      </w:divBdr>
    </w:div>
    <w:div w:id="1290473015">
      <w:bodyDiv w:val="1"/>
      <w:marLeft w:val="0"/>
      <w:marRight w:val="0"/>
      <w:marTop w:val="0"/>
      <w:marBottom w:val="0"/>
      <w:divBdr>
        <w:top w:val="none" w:sz="0" w:space="0" w:color="auto"/>
        <w:left w:val="none" w:sz="0" w:space="0" w:color="auto"/>
        <w:bottom w:val="none" w:sz="0" w:space="0" w:color="auto"/>
        <w:right w:val="none" w:sz="0" w:space="0" w:color="auto"/>
      </w:divBdr>
    </w:div>
    <w:div w:id="1296638230">
      <w:bodyDiv w:val="1"/>
      <w:marLeft w:val="0"/>
      <w:marRight w:val="0"/>
      <w:marTop w:val="0"/>
      <w:marBottom w:val="0"/>
      <w:divBdr>
        <w:top w:val="none" w:sz="0" w:space="0" w:color="auto"/>
        <w:left w:val="none" w:sz="0" w:space="0" w:color="auto"/>
        <w:bottom w:val="none" w:sz="0" w:space="0" w:color="auto"/>
        <w:right w:val="none" w:sz="0" w:space="0" w:color="auto"/>
      </w:divBdr>
    </w:div>
    <w:div w:id="1337730298">
      <w:bodyDiv w:val="1"/>
      <w:marLeft w:val="0"/>
      <w:marRight w:val="0"/>
      <w:marTop w:val="0"/>
      <w:marBottom w:val="0"/>
      <w:divBdr>
        <w:top w:val="none" w:sz="0" w:space="0" w:color="auto"/>
        <w:left w:val="none" w:sz="0" w:space="0" w:color="auto"/>
        <w:bottom w:val="none" w:sz="0" w:space="0" w:color="auto"/>
        <w:right w:val="none" w:sz="0" w:space="0" w:color="auto"/>
      </w:divBdr>
    </w:div>
    <w:div w:id="1363556972">
      <w:bodyDiv w:val="1"/>
      <w:marLeft w:val="0"/>
      <w:marRight w:val="0"/>
      <w:marTop w:val="0"/>
      <w:marBottom w:val="0"/>
      <w:divBdr>
        <w:top w:val="none" w:sz="0" w:space="0" w:color="auto"/>
        <w:left w:val="none" w:sz="0" w:space="0" w:color="auto"/>
        <w:bottom w:val="none" w:sz="0" w:space="0" w:color="auto"/>
        <w:right w:val="none" w:sz="0" w:space="0" w:color="auto"/>
      </w:divBdr>
    </w:div>
    <w:div w:id="1364941033">
      <w:bodyDiv w:val="1"/>
      <w:marLeft w:val="0"/>
      <w:marRight w:val="0"/>
      <w:marTop w:val="0"/>
      <w:marBottom w:val="0"/>
      <w:divBdr>
        <w:top w:val="none" w:sz="0" w:space="0" w:color="auto"/>
        <w:left w:val="none" w:sz="0" w:space="0" w:color="auto"/>
        <w:bottom w:val="none" w:sz="0" w:space="0" w:color="auto"/>
        <w:right w:val="none" w:sz="0" w:space="0" w:color="auto"/>
      </w:divBdr>
    </w:div>
    <w:div w:id="1372345945">
      <w:bodyDiv w:val="1"/>
      <w:marLeft w:val="0"/>
      <w:marRight w:val="0"/>
      <w:marTop w:val="0"/>
      <w:marBottom w:val="0"/>
      <w:divBdr>
        <w:top w:val="none" w:sz="0" w:space="0" w:color="auto"/>
        <w:left w:val="none" w:sz="0" w:space="0" w:color="auto"/>
        <w:bottom w:val="none" w:sz="0" w:space="0" w:color="auto"/>
        <w:right w:val="none" w:sz="0" w:space="0" w:color="auto"/>
      </w:divBdr>
    </w:div>
    <w:div w:id="1395734045">
      <w:bodyDiv w:val="1"/>
      <w:marLeft w:val="0"/>
      <w:marRight w:val="0"/>
      <w:marTop w:val="0"/>
      <w:marBottom w:val="0"/>
      <w:divBdr>
        <w:top w:val="none" w:sz="0" w:space="0" w:color="auto"/>
        <w:left w:val="none" w:sz="0" w:space="0" w:color="auto"/>
        <w:bottom w:val="none" w:sz="0" w:space="0" w:color="auto"/>
        <w:right w:val="none" w:sz="0" w:space="0" w:color="auto"/>
      </w:divBdr>
    </w:div>
    <w:div w:id="1408917817">
      <w:bodyDiv w:val="1"/>
      <w:marLeft w:val="0"/>
      <w:marRight w:val="0"/>
      <w:marTop w:val="0"/>
      <w:marBottom w:val="0"/>
      <w:divBdr>
        <w:top w:val="none" w:sz="0" w:space="0" w:color="auto"/>
        <w:left w:val="none" w:sz="0" w:space="0" w:color="auto"/>
        <w:bottom w:val="none" w:sz="0" w:space="0" w:color="auto"/>
        <w:right w:val="none" w:sz="0" w:space="0" w:color="auto"/>
      </w:divBdr>
    </w:div>
    <w:div w:id="1409034477">
      <w:bodyDiv w:val="1"/>
      <w:marLeft w:val="0"/>
      <w:marRight w:val="0"/>
      <w:marTop w:val="0"/>
      <w:marBottom w:val="0"/>
      <w:divBdr>
        <w:top w:val="none" w:sz="0" w:space="0" w:color="auto"/>
        <w:left w:val="none" w:sz="0" w:space="0" w:color="auto"/>
        <w:bottom w:val="none" w:sz="0" w:space="0" w:color="auto"/>
        <w:right w:val="none" w:sz="0" w:space="0" w:color="auto"/>
      </w:divBdr>
    </w:div>
    <w:div w:id="1430080367">
      <w:bodyDiv w:val="1"/>
      <w:marLeft w:val="0"/>
      <w:marRight w:val="0"/>
      <w:marTop w:val="0"/>
      <w:marBottom w:val="0"/>
      <w:divBdr>
        <w:top w:val="none" w:sz="0" w:space="0" w:color="auto"/>
        <w:left w:val="none" w:sz="0" w:space="0" w:color="auto"/>
        <w:bottom w:val="none" w:sz="0" w:space="0" w:color="auto"/>
        <w:right w:val="none" w:sz="0" w:space="0" w:color="auto"/>
      </w:divBdr>
      <w:divsChild>
        <w:div w:id="1701053239">
          <w:marLeft w:val="0"/>
          <w:marRight w:val="0"/>
          <w:marTop w:val="0"/>
          <w:marBottom w:val="0"/>
          <w:divBdr>
            <w:top w:val="none" w:sz="0" w:space="0" w:color="auto"/>
            <w:left w:val="none" w:sz="0" w:space="0" w:color="auto"/>
            <w:bottom w:val="none" w:sz="0" w:space="0" w:color="auto"/>
            <w:right w:val="none" w:sz="0" w:space="0" w:color="auto"/>
          </w:divBdr>
          <w:divsChild>
            <w:div w:id="309024847">
              <w:marLeft w:val="0"/>
              <w:marRight w:val="0"/>
              <w:marTop w:val="0"/>
              <w:marBottom w:val="0"/>
              <w:divBdr>
                <w:top w:val="none" w:sz="0" w:space="0" w:color="auto"/>
                <w:left w:val="none" w:sz="0" w:space="0" w:color="auto"/>
                <w:bottom w:val="none" w:sz="0" w:space="0" w:color="auto"/>
                <w:right w:val="none" w:sz="0" w:space="0" w:color="auto"/>
              </w:divBdr>
              <w:divsChild>
                <w:div w:id="657422475">
                  <w:marLeft w:val="0"/>
                  <w:marRight w:val="0"/>
                  <w:marTop w:val="0"/>
                  <w:marBottom w:val="0"/>
                  <w:divBdr>
                    <w:top w:val="none" w:sz="0" w:space="0" w:color="auto"/>
                    <w:left w:val="none" w:sz="0" w:space="0" w:color="auto"/>
                    <w:bottom w:val="none" w:sz="0" w:space="0" w:color="auto"/>
                    <w:right w:val="none" w:sz="0" w:space="0" w:color="auto"/>
                  </w:divBdr>
                  <w:divsChild>
                    <w:div w:id="1659845183">
                      <w:marLeft w:val="0"/>
                      <w:marRight w:val="0"/>
                      <w:marTop w:val="0"/>
                      <w:marBottom w:val="0"/>
                      <w:divBdr>
                        <w:top w:val="none" w:sz="0" w:space="0" w:color="auto"/>
                        <w:left w:val="none" w:sz="0" w:space="0" w:color="auto"/>
                        <w:bottom w:val="none" w:sz="0" w:space="0" w:color="auto"/>
                        <w:right w:val="none" w:sz="0" w:space="0" w:color="auto"/>
                      </w:divBdr>
                      <w:divsChild>
                        <w:div w:id="1686402272">
                          <w:marLeft w:val="0"/>
                          <w:marRight w:val="0"/>
                          <w:marTop w:val="0"/>
                          <w:marBottom w:val="0"/>
                          <w:divBdr>
                            <w:top w:val="none" w:sz="0" w:space="0" w:color="auto"/>
                            <w:left w:val="none" w:sz="0" w:space="0" w:color="auto"/>
                            <w:bottom w:val="none" w:sz="0" w:space="0" w:color="auto"/>
                            <w:right w:val="none" w:sz="0" w:space="0" w:color="auto"/>
                          </w:divBdr>
                          <w:divsChild>
                            <w:div w:id="560679957">
                              <w:marLeft w:val="0"/>
                              <w:marRight w:val="0"/>
                              <w:marTop w:val="0"/>
                              <w:marBottom w:val="0"/>
                              <w:divBdr>
                                <w:top w:val="none" w:sz="0" w:space="0" w:color="auto"/>
                                <w:left w:val="none" w:sz="0" w:space="0" w:color="auto"/>
                                <w:bottom w:val="none" w:sz="0" w:space="0" w:color="auto"/>
                                <w:right w:val="none" w:sz="0" w:space="0" w:color="auto"/>
                              </w:divBdr>
                              <w:divsChild>
                                <w:div w:id="1891182956">
                                  <w:marLeft w:val="0"/>
                                  <w:marRight w:val="0"/>
                                  <w:marTop w:val="0"/>
                                  <w:marBottom w:val="0"/>
                                  <w:divBdr>
                                    <w:top w:val="none" w:sz="0" w:space="0" w:color="auto"/>
                                    <w:left w:val="none" w:sz="0" w:space="0" w:color="auto"/>
                                    <w:bottom w:val="none" w:sz="0" w:space="0" w:color="auto"/>
                                    <w:right w:val="none" w:sz="0" w:space="0" w:color="auto"/>
                                  </w:divBdr>
                                  <w:divsChild>
                                    <w:div w:id="7603757">
                                      <w:marLeft w:val="0"/>
                                      <w:marRight w:val="0"/>
                                      <w:marTop w:val="0"/>
                                      <w:marBottom w:val="0"/>
                                      <w:divBdr>
                                        <w:top w:val="none" w:sz="0" w:space="0" w:color="auto"/>
                                        <w:left w:val="none" w:sz="0" w:space="0" w:color="auto"/>
                                        <w:bottom w:val="none" w:sz="0" w:space="0" w:color="auto"/>
                                        <w:right w:val="none" w:sz="0" w:space="0" w:color="auto"/>
                                      </w:divBdr>
                                      <w:divsChild>
                                        <w:div w:id="300690795">
                                          <w:marLeft w:val="0"/>
                                          <w:marRight w:val="0"/>
                                          <w:marTop w:val="0"/>
                                          <w:marBottom w:val="0"/>
                                          <w:divBdr>
                                            <w:top w:val="none" w:sz="0" w:space="0" w:color="auto"/>
                                            <w:left w:val="none" w:sz="0" w:space="0" w:color="auto"/>
                                            <w:bottom w:val="none" w:sz="0" w:space="0" w:color="auto"/>
                                            <w:right w:val="none" w:sz="0" w:space="0" w:color="auto"/>
                                          </w:divBdr>
                                          <w:divsChild>
                                            <w:div w:id="3075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5805728">
      <w:bodyDiv w:val="1"/>
      <w:marLeft w:val="0"/>
      <w:marRight w:val="0"/>
      <w:marTop w:val="0"/>
      <w:marBottom w:val="0"/>
      <w:divBdr>
        <w:top w:val="none" w:sz="0" w:space="0" w:color="auto"/>
        <w:left w:val="none" w:sz="0" w:space="0" w:color="auto"/>
        <w:bottom w:val="none" w:sz="0" w:space="0" w:color="auto"/>
        <w:right w:val="none" w:sz="0" w:space="0" w:color="auto"/>
      </w:divBdr>
    </w:div>
    <w:div w:id="1463689289">
      <w:bodyDiv w:val="1"/>
      <w:marLeft w:val="0"/>
      <w:marRight w:val="0"/>
      <w:marTop w:val="0"/>
      <w:marBottom w:val="0"/>
      <w:divBdr>
        <w:top w:val="none" w:sz="0" w:space="0" w:color="auto"/>
        <w:left w:val="none" w:sz="0" w:space="0" w:color="auto"/>
        <w:bottom w:val="none" w:sz="0" w:space="0" w:color="auto"/>
        <w:right w:val="none" w:sz="0" w:space="0" w:color="auto"/>
      </w:divBdr>
    </w:div>
    <w:div w:id="1477723365">
      <w:bodyDiv w:val="1"/>
      <w:marLeft w:val="0"/>
      <w:marRight w:val="0"/>
      <w:marTop w:val="0"/>
      <w:marBottom w:val="0"/>
      <w:divBdr>
        <w:top w:val="none" w:sz="0" w:space="0" w:color="auto"/>
        <w:left w:val="none" w:sz="0" w:space="0" w:color="auto"/>
        <w:bottom w:val="none" w:sz="0" w:space="0" w:color="auto"/>
        <w:right w:val="none" w:sz="0" w:space="0" w:color="auto"/>
      </w:divBdr>
    </w:div>
    <w:div w:id="1500778945">
      <w:bodyDiv w:val="1"/>
      <w:marLeft w:val="0"/>
      <w:marRight w:val="0"/>
      <w:marTop w:val="0"/>
      <w:marBottom w:val="0"/>
      <w:divBdr>
        <w:top w:val="none" w:sz="0" w:space="0" w:color="auto"/>
        <w:left w:val="none" w:sz="0" w:space="0" w:color="auto"/>
        <w:bottom w:val="none" w:sz="0" w:space="0" w:color="auto"/>
        <w:right w:val="none" w:sz="0" w:space="0" w:color="auto"/>
      </w:divBdr>
    </w:div>
    <w:div w:id="1518350578">
      <w:bodyDiv w:val="1"/>
      <w:marLeft w:val="0"/>
      <w:marRight w:val="0"/>
      <w:marTop w:val="0"/>
      <w:marBottom w:val="0"/>
      <w:divBdr>
        <w:top w:val="none" w:sz="0" w:space="0" w:color="auto"/>
        <w:left w:val="none" w:sz="0" w:space="0" w:color="auto"/>
        <w:bottom w:val="none" w:sz="0" w:space="0" w:color="auto"/>
        <w:right w:val="none" w:sz="0" w:space="0" w:color="auto"/>
      </w:divBdr>
    </w:div>
    <w:div w:id="1538932286">
      <w:bodyDiv w:val="1"/>
      <w:marLeft w:val="0"/>
      <w:marRight w:val="0"/>
      <w:marTop w:val="0"/>
      <w:marBottom w:val="0"/>
      <w:divBdr>
        <w:top w:val="none" w:sz="0" w:space="0" w:color="auto"/>
        <w:left w:val="none" w:sz="0" w:space="0" w:color="auto"/>
        <w:bottom w:val="none" w:sz="0" w:space="0" w:color="auto"/>
        <w:right w:val="none" w:sz="0" w:space="0" w:color="auto"/>
      </w:divBdr>
    </w:div>
    <w:div w:id="1544715110">
      <w:bodyDiv w:val="1"/>
      <w:marLeft w:val="0"/>
      <w:marRight w:val="0"/>
      <w:marTop w:val="0"/>
      <w:marBottom w:val="0"/>
      <w:divBdr>
        <w:top w:val="none" w:sz="0" w:space="0" w:color="auto"/>
        <w:left w:val="none" w:sz="0" w:space="0" w:color="auto"/>
        <w:bottom w:val="none" w:sz="0" w:space="0" w:color="auto"/>
        <w:right w:val="none" w:sz="0" w:space="0" w:color="auto"/>
      </w:divBdr>
      <w:divsChild>
        <w:div w:id="1542745251">
          <w:marLeft w:val="0"/>
          <w:marRight w:val="0"/>
          <w:marTop w:val="0"/>
          <w:marBottom w:val="0"/>
          <w:divBdr>
            <w:top w:val="none" w:sz="0" w:space="0" w:color="auto"/>
            <w:left w:val="none" w:sz="0" w:space="0" w:color="auto"/>
            <w:bottom w:val="none" w:sz="0" w:space="0" w:color="auto"/>
            <w:right w:val="none" w:sz="0" w:space="0" w:color="auto"/>
          </w:divBdr>
          <w:divsChild>
            <w:div w:id="674571829">
              <w:marLeft w:val="2"/>
              <w:marRight w:val="0"/>
              <w:marTop w:val="0"/>
              <w:marBottom w:val="240"/>
              <w:divBdr>
                <w:top w:val="none" w:sz="0" w:space="0" w:color="auto"/>
                <w:left w:val="none" w:sz="0" w:space="0" w:color="auto"/>
                <w:bottom w:val="none" w:sz="0" w:space="0" w:color="auto"/>
                <w:right w:val="none" w:sz="0" w:space="0" w:color="auto"/>
              </w:divBdr>
            </w:div>
          </w:divsChild>
        </w:div>
      </w:divsChild>
    </w:div>
    <w:div w:id="1551958036">
      <w:bodyDiv w:val="1"/>
      <w:marLeft w:val="0"/>
      <w:marRight w:val="0"/>
      <w:marTop w:val="0"/>
      <w:marBottom w:val="0"/>
      <w:divBdr>
        <w:top w:val="none" w:sz="0" w:space="0" w:color="auto"/>
        <w:left w:val="none" w:sz="0" w:space="0" w:color="auto"/>
        <w:bottom w:val="none" w:sz="0" w:space="0" w:color="auto"/>
        <w:right w:val="none" w:sz="0" w:space="0" w:color="auto"/>
      </w:divBdr>
    </w:div>
    <w:div w:id="1556895240">
      <w:bodyDiv w:val="1"/>
      <w:marLeft w:val="0"/>
      <w:marRight w:val="0"/>
      <w:marTop w:val="0"/>
      <w:marBottom w:val="0"/>
      <w:divBdr>
        <w:top w:val="none" w:sz="0" w:space="0" w:color="auto"/>
        <w:left w:val="none" w:sz="0" w:space="0" w:color="auto"/>
        <w:bottom w:val="none" w:sz="0" w:space="0" w:color="auto"/>
        <w:right w:val="none" w:sz="0" w:space="0" w:color="auto"/>
      </w:divBdr>
    </w:div>
    <w:div w:id="1568569901">
      <w:bodyDiv w:val="1"/>
      <w:marLeft w:val="0"/>
      <w:marRight w:val="0"/>
      <w:marTop w:val="0"/>
      <w:marBottom w:val="0"/>
      <w:divBdr>
        <w:top w:val="none" w:sz="0" w:space="0" w:color="auto"/>
        <w:left w:val="none" w:sz="0" w:space="0" w:color="auto"/>
        <w:bottom w:val="none" w:sz="0" w:space="0" w:color="auto"/>
        <w:right w:val="none" w:sz="0" w:space="0" w:color="auto"/>
      </w:divBdr>
    </w:div>
    <w:div w:id="1575701049">
      <w:bodyDiv w:val="1"/>
      <w:marLeft w:val="0"/>
      <w:marRight w:val="0"/>
      <w:marTop w:val="0"/>
      <w:marBottom w:val="0"/>
      <w:divBdr>
        <w:top w:val="none" w:sz="0" w:space="0" w:color="auto"/>
        <w:left w:val="none" w:sz="0" w:space="0" w:color="auto"/>
        <w:bottom w:val="none" w:sz="0" w:space="0" w:color="auto"/>
        <w:right w:val="none" w:sz="0" w:space="0" w:color="auto"/>
      </w:divBdr>
    </w:div>
    <w:div w:id="1603802661">
      <w:bodyDiv w:val="1"/>
      <w:marLeft w:val="0"/>
      <w:marRight w:val="0"/>
      <w:marTop w:val="0"/>
      <w:marBottom w:val="0"/>
      <w:divBdr>
        <w:top w:val="none" w:sz="0" w:space="0" w:color="auto"/>
        <w:left w:val="none" w:sz="0" w:space="0" w:color="auto"/>
        <w:bottom w:val="none" w:sz="0" w:space="0" w:color="auto"/>
        <w:right w:val="none" w:sz="0" w:space="0" w:color="auto"/>
      </w:divBdr>
    </w:div>
    <w:div w:id="1610357833">
      <w:bodyDiv w:val="1"/>
      <w:marLeft w:val="0"/>
      <w:marRight w:val="0"/>
      <w:marTop w:val="0"/>
      <w:marBottom w:val="0"/>
      <w:divBdr>
        <w:top w:val="none" w:sz="0" w:space="0" w:color="auto"/>
        <w:left w:val="none" w:sz="0" w:space="0" w:color="auto"/>
        <w:bottom w:val="none" w:sz="0" w:space="0" w:color="auto"/>
        <w:right w:val="none" w:sz="0" w:space="0" w:color="auto"/>
      </w:divBdr>
    </w:div>
    <w:div w:id="1625425982">
      <w:bodyDiv w:val="1"/>
      <w:marLeft w:val="0"/>
      <w:marRight w:val="0"/>
      <w:marTop w:val="0"/>
      <w:marBottom w:val="0"/>
      <w:divBdr>
        <w:top w:val="none" w:sz="0" w:space="0" w:color="auto"/>
        <w:left w:val="none" w:sz="0" w:space="0" w:color="auto"/>
        <w:bottom w:val="none" w:sz="0" w:space="0" w:color="auto"/>
        <w:right w:val="none" w:sz="0" w:space="0" w:color="auto"/>
      </w:divBdr>
    </w:div>
    <w:div w:id="1637418638">
      <w:bodyDiv w:val="1"/>
      <w:marLeft w:val="0"/>
      <w:marRight w:val="0"/>
      <w:marTop w:val="0"/>
      <w:marBottom w:val="0"/>
      <w:divBdr>
        <w:top w:val="none" w:sz="0" w:space="0" w:color="auto"/>
        <w:left w:val="none" w:sz="0" w:space="0" w:color="auto"/>
        <w:bottom w:val="none" w:sz="0" w:space="0" w:color="auto"/>
        <w:right w:val="none" w:sz="0" w:space="0" w:color="auto"/>
      </w:divBdr>
    </w:div>
    <w:div w:id="1638799359">
      <w:bodyDiv w:val="1"/>
      <w:marLeft w:val="0"/>
      <w:marRight w:val="0"/>
      <w:marTop w:val="0"/>
      <w:marBottom w:val="0"/>
      <w:divBdr>
        <w:top w:val="none" w:sz="0" w:space="0" w:color="auto"/>
        <w:left w:val="none" w:sz="0" w:space="0" w:color="auto"/>
        <w:bottom w:val="none" w:sz="0" w:space="0" w:color="auto"/>
        <w:right w:val="none" w:sz="0" w:space="0" w:color="auto"/>
      </w:divBdr>
    </w:div>
    <w:div w:id="1641693468">
      <w:bodyDiv w:val="1"/>
      <w:marLeft w:val="0"/>
      <w:marRight w:val="0"/>
      <w:marTop w:val="0"/>
      <w:marBottom w:val="0"/>
      <w:divBdr>
        <w:top w:val="none" w:sz="0" w:space="0" w:color="auto"/>
        <w:left w:val="none" w:sz="0" w:space="0" w:color="auto"/>
        <w:bottom w:val="none" w:sz="0" w:space="0" w:color="auto"/>
        <w:right w:val="none" w:sz="0" w:space="0" w:color="auto"/>
      </w:divBdr>
    </w:div>
    <w:div w:id="1675065651">
      <w:bodyDiv w:val="1"/>
      <w:marLeft w:val="0"/>
      <w:marRight w:val="0"/>
      <w:marTop w:val="0"/>
      <w:marBottom w:val="0"/>
      <w:divBdr>
        <w:top w:val="none" w:sz="0" w:space="0" w:color="auto"/>
        <w:left w:val="none" w:sz="0" w:space="0" w:color="auto"/>
        <w:bottom w:val="none" w:sz="0" w:space="0" w:color="auto"/>
        <w:right w:val="none" w:sz="0" w:space="0" w:color="auto"/>
      </w:divBdr>
      <w:divsChild>
        <w:div w:id="1922133673">
          <w:marLeft w:val="0"/>
          <w:marRight w:val="0"/>
          <w:marTop w:val="100"/>
          <w:marBottom w:val="100"/>
          <w:divBdr>
            <w:top w:val="none" w:sz="0" w:space="0" w:color="auto"/>
            <w:left w:val="none" w:sz="0" w:space="0" w:color="auto"/>
            <w:bottom w:val="none" w:sz="0" w:space="0" w:color="auto"/>
            <w:right w:val="none" w:sz="0" w:space="0" w:color="auto"/>
          </w:divBdr>
          <w:divsChild>
            <w:div w:id="1389691036">
              <w:marLeft w:val="0"/>
              <w:marRight w:val="0"/>
              <w:marTop w:val="0"/>
              <w:marBottom w:val="420"/>
              <w:divBdr>
                <w:top w:val="none" w:sz="0" w:space="0" w:color="auto"/>
                <w:left w:val="none" w:sz="0" w:space="0" w:color="auto"/>
                <w:bottom w:val="none" w:sz="0" w:space="0" w:color="auto"/>
                <w:right w:val="none" w:sz="0" w:space="0" w:color="auto"/>
              </w:divBdr>
              <w:divsChild>
                <w:div w:id="1181967192">
                  <w:marLeft w:val="0"/>
                  <w:marRight w:val="0"/>
                  <w:marTop w:val="0"/>
                  <w:marBottom w:val="0"/>
                  <w:divBdr>
                    <w:top w:val="none" w:sz="0" w:space="0" w:color="auto"/>
                    <w:left w:val="none" w:sz="0" w:space="0" w:color="auto"/>
                    <w:bottom w:val="none" w:sz="0" w:space="0" w:color="auto"/>
                    <w:right w:val="none" w:sz="0" w:space="0" w:color="auto"/>
                  </w:divBdr>
                  <w:divsChild>
                    <w:div w:id="1094593681">
                      <w:marLeft w:val="0"/>
                      <w:marRight w:val="0"/>
                      <w:marTop w:val="0"/>
                      <w:marBottom w:val="0"/>
                      <w:divBdr>
                        <w:top w:val="none" w:sz="0" w:space="0" w:color="auto"/>
                        <w:left w:val="none" w:sz="0" w:space="0" w:color="auto"/>
                        <w:bottom w:val="none" w:sz="0" w:space="0" w:color="auto"/>
                        <w:right w:val="none" w:sz="0" w:space="0" w:color="auto"/>
                      </w:divBdr>
                      <w:divsChild>
                        <w:div w:id="629752581">
                          <w:marLeft w:val="0"/>
                          <w:marRight w:val="0"/>
                          <w:marTop w:val="0"/>
                          <w:marBottom w:val="0"/>
                          <w:divBdr>
                            <w:top w:val="none" w:sz="0" w:space="0" w:color="auto"/>
                            <w:left w:val="none" w:sz="0" w:space="0" w:color="auto"/>
                            <w:bottom w:val="none" w:sz="0" w:space="0" w:color="auto"/>
                            <w:right w:val="none" w:sz="0" w:space="0" w:color="auto"/>
                          </w:divBdr>
                          <w:divsChild>
                            <w:div w:id="1592082471">
                              <w:marLeft w:val="0"/>
                              <w:marRight w:val="0"/>
                              <w:marTop w:val="0"/>
                              <w:marBottom w:val="0"/>
                              <w:divBdr>
                                <w:top w:val="none" w:sz="0" w:space="0" w:color="auto"/>
                                <w:left w:val="none" w:sz="0" w:space="0" w:color="auto"/>
                                <w:bottom w:val="none" w:sz="0" w:space="0" w:color="auto"/>
                                <w:right w:val="none" w:sz="0" w:space="0" w:color="auto"/>
                              </w:divBdr>
                              <w:divsChild>
                                <w:div w:id="20531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807744">
      <w:bodyDiv w:val="1"/>
      <w:marLeft w:val="0"/>
      <w:marRight w:val="0"/>
      <w:marTop w:val="0"/>
      <w:marBottom w:val="0"/>
      <w:divBdr>
        <w:top w:val="none" w:sz="0" w:space="0" w:color="auto"/>
        <w:left w:val="none" w:sz="0" w:space="0" w:color="auto"/>
        <w:bottom w:val="none" w:sz="0" w:space="0" w:color="auto"/>
        <w:right w:val="none" w:sz="0" w:space="0" w:color="auto"/>
      </w:divBdr>
    </w:div>
    <w:div w:id="1686714717">
      <w:bodyDiv w:val="1"/>
      <w:marLeft w:val="0"/>
      <w:marRight w:val="0"/>
      <w:marTop w:val="0"/>
      <w:marBottom w:val="0"/>
      <w:divBdr>
        <w:top w:val="none" w:sz="0" w:space="0" w:color="auto"/>
        <w:left w:val="none" w:sz="0" w:space="0" w:color="auto"/>
        <w:bottom w:val="none" w:sz="0" w:space="0" w:color="auto"/>
        <w:right w:val="none" w:sz="0" w:space="0" w:color="auto"/>
      </w:divBdr>
    </w:div>
    <w:div w:id="1687902110">
      <w:bodyDiv w:val="1"/>
      <w:marLeft w:val="0"/>
      <w:marRight w:val="0"/>
      <w:marTop w:val="0"/>
      <w:marBottom w:val="0"/>
      <w:divBdr>
        <w:top w:val="none" w:sz="0" w:space="0" w:color="auto"/>
        <w:left w:val="none" w:sz="0" w:space="0" w:color="auto"/>
        <w:bottom w:val="none" w:sz="0" w:space="0" w:color="auto"/>
        <w:right w:val="none" w:sz="0" w:space="0" w:color="auto"/>
      </w:divBdr>
    </w:div>
    <w:div w:id="1697467976">
      <w:bodyDiv w:val="1"/>
      <w:marLeft w:val="0"/>
      <w:marRight w:val="0"/>
      <w:marTop w:val="0"/>
      <w:marBottom w:val="0"/>
      <w:divBdr>
        <w:top w:val="none" w:sz="0" w:space="0" w:color="auto"/>
        <w:left w:val="none" w:sz="0" w:space="0" w:color="auto"/>
        <w:bottom w:val="none" w:sz="0" w:space="0" w:color="auto"/>
        <w:right w:val="none" w:sz="0" w:space="0" w:color="auto"/>
      </w:divBdr>
    </w:div>
    <w:div w:id="1716806471">
      <w:bodyDiv w:val="1"/>
      <w:marLeft w:val="0"/>
      <w:marRight w:val="0"/>
      <w:marTop w:val="0"/>
      <w:marBottom w:val="0"/>
      <w:divBdr>
        <w:top w:val="none" w:sz="0" w:space="0" w:color="auto"/>
        <w:left w:val="none" w:sz="0" w:space="0" w:color="auto"/>
        <w:bottom w:val="none" w:sz="0" w:space="0" w:color="auto"/>
        <w:right w:val="none" w:sz="0" w:space="0" w:color="auto"/>
      </w:divBdr>
    </w:div>
    <w:div w:id="1722247490">
      <w:bodyDiv w:val="1"/>
      <w:marLeft w:val="0"/>
      <w:marRight w:val="0"/>
      <w:marTop w:val="0"/>
      <w:marBottom w:val="0"/>
      <w:divBdr>
        <w:top w:val="none" w:sz="0" w:space="0" w:color="auto"/>
        <w:left w:val="none" w:sz="0" w:space="0" w:color="auto"/>
        <w:bottom w:val="none" w:sz="0" w:space="0" w:color="auto"/>
        <w:right w:val="none" w:sz="0" w:space="0" w:color="auto"/>
      </w:divBdr>
    </w:div>
    <w:div w:id="1731268185">
      <w:bodyDiv w:val="1"/>
      <w:marLeft w:val="0"/>
      <w:marRight w:val="0"/>
      <w:marTop w:val="0"/>
      <w:marBottom w:val="0"/>
      <w:divBdr>
        <w:top w:val="none" w:sz="0" w:space="0" w:color="auto"/>
        <w:left w:val="none" w:sz="0" w:space="0" w:color="auto"/>
        <w:bottom w:val="none" w:sz="0" w:space="0" w:color="auto"/>
        <w:right w:val="none" w:sz="0" w:space="0" w:color="auto"/>
      </w:divBdr>
    </w:div>
    <w:div w:id="1740470558">
      <w:bodyDiv w:val="1"/>
      <w:marLeft w:val="0"/>
      <w:marRight w:val="0"/>
      <w:marTop w:val="0"/>
      <w:marBottom w:val="0"/>
      <w:divBdr>
        <w:top w:val="none" w:sz="0" w:space="0" w:color="auto"/>
        <w:left w:val="none" w:sz="0" w:space="0" w:color="auto"/>
        <w:bottom w:val="none" w:sz="0" w:space="0" w:color="auto"/>
        <w:right w:val="none" w:sz="0" w:space="0" w:color="auto"/>
      </w:divBdr>
    </w:div>
    <w:div w:id="1740899807">
      <w:bodyDiv w:val="1"/>
      <w:marLeft w:val="0"/>
      <w:marRight w:val="0"/>
      <w:marTop w:val="0"/>
      <w:marBottom w:val="0"/>
      <w:divBdr>
        <w:top w:val="none" w:sz="0" w:space="0" w:color="auto"/>
        <w:left w:val="none" w:sz="0" w:space="0" w:color="auto"/>
        <w:bottom w:val="none" w:sz="0" w:space="0" w:color="auto"/>
        <w:right w:val="none" w:sz="0" w:space="0" w:color="auto"/>
      </w:divBdr>
    </w:div>
    <w:div w:id="1747529504">
      <w:bodyDiv w:val="1"/>
      <w:marLeft w:val="0"/>
      <w:marRight w:val="0"/>
      <w:marTop w:val="0"/>
      <w:marBottom w:val="0"/>
      <w:divBdr>
        <w:top w:val="none" w:sz="0" w:space="0" w:color="auto"/>
        <w:left w:val="none" w:sz="0" w:space="0" w:color="auto"/>
        <w:bottom w:val="none" w:sz="0" w:space="0" w:color="auto"/>
        <w:right w:val="none" w:sz="0" w:space="0" w:color="auto"/>
      </w:divBdr>
    </w:div>
    <w:div w:id="1797019520">
      <w:bodyDiv w:val="1"/>
      <w:marLeft w:val="0"/>
      <w:marRight w:val="0"/>
      <w:marTop w:val="0"/>
      <w:marBottom w:val="0"/>
      <w:divBdr>
        <w:top w:val="none" w:sz="0" w:space="0" w:color="auto"/>
        <w:left w:val="none" w:sz="0" w:space="0" w:color="auto"/>
        <w:bottom w:val="none" w:sz="0" w:space="0" w:color="auto"/>
        <w:right w:val="none" w:sz="0" w:space="0" w:color="auto"/>
      </w:divBdr>
    </w:div>
    <w:div w:id="1812089660">
      <w:bodyDiv w:val="1"/>
      <w:marLeft w:val="0"/>
      <w:marRight w:val="0"/>
      <w:marTop w:val="0"/>
      <w:marBottom w:val="0"/>
      <w:divBdr>
        <w:top w:val="none" w:sz="0" w:space="0" w:color="auto"/>
        <w:left w:val="none" w:sz="0" w:space="0" w:color="auto"/>
        <w:bottom w:val="none" w:sz="0" w:space="0" w:color="auto"/>
        <w:right w:val="none" w:sz="0" w:space="0" w:color="auto"/>
      </w:divBdr>
    </w:div>
    <w:div w:id="1823428234">
      <w:bodyDiv w:val="1"/>
      <w:marLeft w:val="0"/>
      <w:marRight w:val="0"/>
      <w:marTop w:val="0"/>
      <w:marBottom w:val="0"/>
      <w:divBdr>
        <w:top w:val="none" w:sz="0" w:space="0" w:color="auto"/>
        <w:left w:val="none" w:sz="0" w:space="0" w:color="auto"/>
        <w:bottom w:val="none" w:sz="0" w:space="0" w:color="auto"/>
        <w:right w:val="none" w:sz="0" w:space="0" w:color="auto"/>
      </w:divBdr>
    </w:div>
    <w:div w:id="1844974439">
      <w:bodyDiv w:val="1"/>
      <w:marLeft w:val="0"/>
      <w:marRight w:val="0"/>
      <w:marTop w:val="0"/>
      <w:marBottom w:val="0"/>
      <w:divBdr>
        <w:top w:val="none" w:sz="0" w:space="0" w:color="auto"/>
        <w:left w:val="none" w:sz="0" w:space="0" w:color="auto"/>
        <w:bottom w:val="none" w:sz="0" w:space="0" w:color="auto"/>
        <w:right w:val="none" w:sz="0" w:space="0" w:color="auto"/>
      </w:divBdr>
    </w:div>
    <w:div w:id="1855611091">
      <w:bodyDiv w:val="1"/>
      <w:marLeft w:val="0"/>
      <w:marRight w:val="0"/>
      <w:marTop w:val="0"/>
      <w:marBottom w:val="0"/>
      <w:divBdr>
        <w:top w:val="none" w:sz="0" w:space="0" w:color="auto"/>
        <w:left w:val="none" w:sz="0" w:space="0" w:color="auto"/>
        <w:bottom w:val="none" w:sz="0" w:space="0" w:color="auto"/>
        <w:right w:val="none" w:sz="0" w:space="0" w:color="auto"/>
      </w:divBdr>
    </w:div>
    <w:div w:id="1859849672">
      <w:bodyDiv w:val="1"/>
      <w:marLeft w:val="0"/>
      <w:marRight w:val="0"/>
      <w:marTop w:val="0"/>
      <w:marBottom w:val="0"/>
      <w:divBdr>
        <w:top w:val="none" w:sz="0" w:space="0" w:color="auto"/>
        <w:left w:val="none" w:sz="0" w:space="0" w:color="auto"/>
        <w:bottom w:val="none" w:sz="0" w:space="0" w:color="auto"/>
        <w:right w:val="none" w:sz="0" w:space="0" w:color="auto"/>
      </w:divBdr>
    </w:div>
    <w:div w:id="1863128235">
      <w:bodyDiv w:val="1"/>
      <w:marLeft w:val="0"/>
      <w:marRight w:val="0"/>
      <w:marTop w:val="0"/>
      <w:marBottom w:val="0"/>
      <w:divBdr>
        <w:top w:val="none" w:sz="0" w:space="0" w:color="auto"/>
        <w:left w:val="none" w:sz="0" w:space="0" w:color="auto"/>
        <w:bottom w:val="none" w:sz="0" w:space="0" w:color="auto"/>
        <w:right w:val="none" w:sz="0" w:space="0" w:color="auto"/>
      </w:divBdr>
      <w:divsChild>
        <w:div w:id="635378906">
          <w:marLeft w:val="0"/>
          <w:marRight w:val="0"/>
          <w:marTop w:val="0"/>
          <w:marBottom w:val="0"/>
          <w:divBdr>
            <w:top w:val="none" w:sz="0" w:space="0" w:color="auto"/>
            <w:left w:val="none" w:sz="0" w:space="0" w:color="auto"/>
            <w:bottom w:val="none" w:sz="0" w:space="0" w:color="auto"/>
            <w:right w:val="none" w:sz="0" w:space="0" w:color="auto"/>
          </w:divBdr>
          <w:divsChild>
            <w:div w:id="987057789">
              <w:marLeft w:val="0"/>
              <w:marRight w:val="0"/>
              <w:marTop w:val="0"/>
              <w:marBottom w:val="0"/>
              <w:divBdr>
                <w:top w:val="none" w:sz="0" w:space="0" w:color="auto"/>
                <w:left w:val="none" w:sz="0" w:space="0" w:color="auto"/>
                <w:bottom w:val="none" w:sz="0" w:space="0" w:color="auto"/>
                <w:right w:val="none" w:sz="0" w:space="0" w:color="auto"/>
              </w:divBdr>
              <w:divsChild>
                <w:div w:id="1958483284">
                  <w:marLeft w:val="0"/>
                  <w:marRight w:val="0"/>
                  <w:marTop w:val="0"/>
                  <w:marBottom w:val="0"/>
                  <w:divBdr>
                    <w:top w:val="none" w:sz="0" w:space="0" w:color="auto"/>
                    <w:left w:val="none" w:sz="0" w:space="0" w:color="auto"/>
                    <w:bottom w:val="none" w:sz="0" w:space="0" w:color="auto"/>
                    <w:right w:val="none" w:sz="0" w:space="0" w:color="auto"/>
                  </w:divBdr>
                  <w:divsChild>
                    <w:div w:id="1651665784">
                      <w:marLeft w:val="0"/>
                      <w:marRight w:val="0"/>
                      <w:marTop w:val="0"/>
                      <w:marBottom w:val="0"/>
                      <w:divBdr>
                        <w:top w:val="none" w:sz="0" w:space="0" w:color="auto"/>
                        <w:left w:val="none" w:sz="0" w:space="0" w:color="auto"/>
                        <w:bottom w:val="none" w:sz="0" w:space="0" w:color="auto"/>
                        <w:right w:val="none" w:sz="0" w:space="0" w:color="auto"/>
                      </w:divBdr>
                      <w:divsChild>
                        <w:div w:id="1367952665">
                          <w:marLeft w:val="0"/>
                          <w:marRight w:val="0"/>
                          <w:marTop w:val="0"/>
                          <w:marBottom w:val="0"/>
                          <w:divBdr>
                            <w:top w:val="none" w:sz="0" w:space="0" w:color="auto"/>
                            <w:left w:val="none" w:sz="0" w:space="0" w:color="auto"/>
                            <w:bottom w:val="none" w:sz="0" w:space="0" w:color="auto"/>
                            <w:right w:val="none" w:sz="0" w:space="0" w:color="auto"/>
                          </w:divBdr>
                          <w:divsChild>
                            <w:div w:id="18573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194492">
      <w:bodyDiv w:val="1"/>
      <w:marLeft w:val="0"/>
      <w:marRight w:val="0"/>
      <w:marTop w:val="0"/>
      <w:marBottom w:val="0"/>
      <w:divBdr>
        <w:top w:val="none" w:sz="0" w:space="0" w:color="auto"/>
        <w:left w:val="none" w:sz="0" w:space="0" w:color="auto"/>
        <w:bottom w:val="none" w:sz="0" w:space="0" w:color="auto"/>
        <w:right w:val="none" w:sz="0" w:space="0" w:color="auto"/>
      </w:divBdr>
    </w:div>
    <w:div w:id="1882203934">
      <w:bodyDiv w:val="1"/>
      <w:marLeft w:val="0"/>
      <w:marRight w:val="0"/>
      <w:marTop w:val="0"/>
      <w:marBottom w:val="0"/>
      <w:divBdr>
        <w:top w:val="none" w:sz="0" w:space="0" w:color="auto"/>
        <w:left w:val="none" w:sz="0" w:space="0" w:color="auto"/>
        <w:bottom w:val="none" w:sz="0" w:space="0" w:color="auto"/>
        <w:right w:val="none" w:sz="0" w:space="0" w:color="auto"/>
      </w:divBdr>
    </w:div>
    <w:div w:id="1884905970">
      <w:bodyDiv w:val="1"/>
      <w:marLeft w:val="0"/>
      <w:marRight w:val="0"/>
      <w:marTop w:val="0"/>
      <w:marBottom w:val="0"/>
      <w:divBdr>
        <w:top w:val="none" w:sz="0" w:space="0" w:color="auto"/>
        <w:left w:val="none" w:sz="0" w:space="0" w:color="auto"/>
        <w:bottom w:val="none" w:sz="0" w:space="0" w:color="auto"/>
        <w:right w:val="none" w:sz="0" w:space="0" w:color="auto"/>
      </w:divBdr>
    </w:div>
    <w:div w:id="1928877148">
      <w:bodyDiv w:val="1"/>
      <w:marLeft w:val="0"/>
      <w:marRight w:val="0"/>
      <w:marTop w:val="0"/>
      <w:marBottom w:val="0"/>
      <w:divBdr>
        <w:top w:val="none" w:sz="0" w:space="0" w:color="auto"/>
        <w:left w:val="none" w:sz="0" w:space="0" w:color="auto"/>
        <w:bottom w:val="none" w:sz="0" w:space="0" w:color="auto"/>
        <w:right w:val="none" w:sz="0" w:space="0" w:color="auto"/>
      </w:divBdr>
    </w:div>
    <w:div w:id="1951817121">
      <w:bodyDiv w:val="1"/>
      <w:marLeft w:val="0"/>
      <w:marRight w:val="0"/>
      <w:marTop w:val="0"/>
      <w:marBottom w:val="0"/>
      <w:divBdr>
        <w:top w:val="none" w:sz="0" w:space="0" w:color="auto"/>
        <w:left w:val="none" w:sz="0" w:space="0" w:color="auto"/>
        <w:bottom w:val="none" w:sz="0" w:space="0" w:color="auto"/>
        <w:right w:val="none" w:sz="0" w:space="0" w:color="auto"/>
      </w:divBdr>
    </w:div>
    <w:div w:id="1964574393">
      <w:bodyDiv w:val="1"/>
      <w:marLeft w:val="0"/>
      <w:marRight w:val="0"/>
      <w:marTop w:val="0"/>
      <w:marBottom w:val="0"/>
      <w:divBdr>
        <w:top w:val="none" w:sz="0" w:space="0" w:color="auto"/>
        <w:left w:val="none" w:sz="0" w:space="0" w:color="auto"/>
        <w:bottom w:val="none" w:sz="0" w:space="0" w:color="auto"/>
        <w:right w:val="none" w:sz="0" w:space="0" w:color="auto"/>
      </w:divBdr>
    </w:div>
    <w:div w:id="1969582896">
      <w:bodyDiv w:val="1"/>
      <w:marLeft w:val="0"/>
      <w:marRight w:val="0"/>
      <w:marTop w:val="0"/>
      <w:marBottom w:val="0"/>
      <w:divBdr>
        <w:top w:val="none" w:sz="0" w:space="0" w:color="auto"/>
        <w:left w:val="none" w:sz="0" w:space="0" w:color="auto"/>
        <w:bottom w:val="none" w:sz="0" w:space="0" w:color="auto"/>
        <w:right w:val="none" w:sz="0" w:space="0" w:color="auto"/>
      </w:divBdr>
    </w:div>
    <w:div w:id="1972592774">
      <w:bodyDiv w:val="1"/>
      <w:marLeft w:val="0"/>
      <w:marRight w:val="0"/>
      <w:marTop w:val="0"/>
      <w:marBottom w:val="0"/>
      <w:divBdr>
        <w:top w:val="none" w:sz="0" w:space="0" w:color="auto"/>
        <w:left w:val="none" w:sz="0" w:space="0" w:color="auto"/>
        <w:bottom w:val="none" w:sz="0" w:space="0" w:color="auto"/>
        <w:right w:val="none" w:sz="0" w:space="0" w:color="auto"/>
      </w:divBdr>
    </w:div>
    <w:div w:id="1988590521">
      <w:bodyDiv w:val="1"/>
      <w:marLeft w:val="0"/>
      <w:marRight w:val="0"/>
      <w:marTop w:val="0"/>
      <w:marBottom w:val="0"/>
      <w:divBdr>
        <w:top w:val="none" w:sz="0" w:space="0" w:color="auto"/>
        <w:left w:val="none" w:sz="0" w:space="0" w:color="auto"/>
        <w:bottom w:val="none" w:sz="0" w:space="0" w:color="auto"/>
        <w:right w:val="none" w:sz="0" w:space="0" w:color="auto"/>
      </w:divBdr>
      <w:divsChild>
        <w:div w:id="1772428420">
          <w:marLeft w:val="300"/>
          <w:marRight w:val="0"/>
          <w:marTop w:val="0"/>
          <w:marBottom w:val="210"/>
          <w:divBdr>
            <w:top w:val="none" w:sz="0" w:space="0" w:color="auto"/>
            <w:left w:val="none" w:sz="0" w:space="0" w:color="auto"/>
            <w:bottom w:val="none" w:sz="0" w:space="0" w:color="auto"/>
            <w:right w:val="none" w:sz="0" w:space="0" w:color="auto"/>
          </w:divBdr>
        </w:div>
      </w:divsChild>
    </w:div>
    <w:div w:id="1997297006">
      <w:bodyDiv w:val="1"/>
      <w:marLeft w:val="0"/>
      <w:marRight w:val="0"/>
      <w:marTop w:val="0"/>
      <w:marBottom w:val="0"/>
      <w:divBdr>
        <w:top w:val="none" w:sz="0" w:space="0" w:color="auto"/>
        <w:left w:val="none" w:sz="0" w:space="0" w:color="auto"/>
        <w:bottom w:val="none" w:sz="0" w:space="0" w:color="auto"/>
        <w:right w:val="none" w:sz="0" w:space="0" w:color="auto"/>
      </w:divBdr>
    </w:div>
    <w:div w:id="2008748029">
      <w:bodyDiv w:val="1"/>
      <w:marLeft w:val="0"/>
      <w:marRight w:val="0"/>
      <w:marTop w:val="0"/>
      <w:marBottom w:val="0"/>
      <w:divBdr>
        <w:top w:val="none" w:sz="0" w:space="0" w:color="auto"/>
        <w:left w:val="none" w:sz="0" w:space="0" w:color="auto"/>
        <w:bottom w:val="none" w:sz="0" w:space="0" w:color="auto"/>
        <w:right w:val="none" w:sz="0" w:space="0" w:color="auto"/>
      </w:divBdr>
    </w:div>
    <w:div w:id="2041860692">
      <w:bodyDiv w:val="1"/>
      <w:marLeft w:val="0"/>
      <w:marRight w:val="0"/>
      <w:marTop w:val="0"/>
      <w:marBottom w:val="0"/>
      <w:divBdr>
        <w:top w:val="none" w:sz="0" w:space="0" w:color="auto"/>
        <w:left w:val="none" w:sz="0" w:space="0" w:color="auto"/>
        <w:bottom w:val="none" w:sz="0" w:space="0" w:color="auto"/>
        <w:right w:val="none" w:sz="0" w:space="0" w:color="auto"/>
      </w:divBdr>
      <w:divsChild>
        <w:div w:id="1012418608">
          <w:marLeft w:val="0"/>
          <w:marRight w:val="0"/>
          <w:marTop w:val="0"/>
          <w:marBottom w:val="0"/>
          <w:divBdr>
            <w:top w:val="none" w:sz="0" w:space="0" w:color="auto"/>
            <w:left w:val="none" w:sz="0" w:space="0" w:color="auto"/>
            <w:bottom w:val="none" w:sz="0" w:space="0" w:color="auto"/>
            <w:right w:val="none" w:sz="0" w:space="0" w:color="auto"/>
          </w:divBdr>
          <w:divsChild>
            <w:div w:id="1822959443">
              <w:marLeft w:val="-225"/>
              <w:marRight w:val="-225"/>
              <w:marTop w:val="0"/>
              <w:marBottom w:val="0"/>
              <w:divBdr>
                <w:top w:val="none" w:sz="0" w:space="0" w:color="auto"/>
                <w:left w:val="none" w:sz="0" w:space="0" w:color="auto"/>
                <w:bottom w:val="none" w:sz="0" w:space="0" w:color="auto"/>
                <w:right w:val="none" w:sz="0" w:space="0" w:color="auto"/>
              </w:divBdr>
              <w:divsChild>
                <w:div w:id="2077705400">
                  <w:marLeft w:val="0"/>
                  <w:marRight w:val="0"/>
                  <w:marTop w:val="0"/>
                  <w:marBottom w:val="0"/>
                  <w:divBdr>
                    <w:top w:val="none" w:sz="0" w:space="0" w:color="auto"/>
                    <w:left w:val="none" w:sz="0" w:space="0" w:color="auto"/>
                    <w:bottom w:val="none" w:sz="0" w:space="0" w:color="auto"/>
                    <w:right w:val="none" w:sz="0" w:space="0" w:color="auto"/>
                  </w:divBdr>
                  <w:divsChild>
                    <w:div w:id="1568570033">
                      <w:marLeft w:val="-225"/>
                      <w:marRight w:val="-225"/>
                      <w:marTop w:val="0"/>
                      <w:marBottom w:val="0"/>
                      <w:divBdr>
                        <w:top w:val="none" w:sz="0" w:space="0" w:color="auto"/>
                        <w:left w:val="none" w:sz="0" w:space="0" w:color="auto"/>
                        <w:bottom w:val="none" w:sz="0" w:space="0" w:color="auto"/>
                        <w:right w:val="none" w:sz="0" w:space="0" w:color="auto"/>
                      </w:divBdr>
                      <w:divsChild>
                        <w:div w:id="15671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0019">
      <w:bodyDiv w:val="1"/>
      <w:marLeft w:val="0"/>
      <w:marRight w:val="0"/>
      <w:marTop w:val="0"/>
      <w:marBottom w:val="0"/>
      <w:divBdr>
        <w:top w:val="none" w:sz="0" w:space="0" w:color="auto"/>
        <w:left w:val="none" w:sz="0" w:space="0" w:color="auto"/>
        <w:bottom w:val="none" w:sz="0" w:space="0" w:color="auto"/>
        <w:right w:val="none" w:sz="0" w:space="0" w:color="auto"/>
      </w:divBdr>
    </w:div>
    <w:div w:id="2055082442">
      <w:bodyDiv w:val="1"/>
      <w:marLeft w:val="0"/>
      <w:marRight w:val="0"/>
      <w:marTop w:val="0"/>
      <w:marBottom w:val="0"/>
      <w:divBdr>
        <w:top w:val="none" w:sz="0" w:space="0" w:color="auto"/>
        <w:left w:val="none" w:sz="0" w:space="0" w:color="auto"/>
        <w:bottom w:val="none" w:sz="0" w:space="0" w:color="auto"/>
        <w:right w:val="none" w:sz="0" w:space="0" w:color="auto"/>
      </w:divBdr>
      <w:divsChild>
        <w:div w:id="1395084336">
          <w:marLeft w:val="0"/>
          <w:marRight w:val="0"/>
          <w:marTop w:val="0"/>
          <w:marBottom w:val="0"/>
          <w:divBdr>
            <w:top w:val="none" w:sz="0" w:space="0" w:color="auto"/>
            <w:left w:val="none" w:sz="0" w:space="0" w:color="auto"/>
            <w:bottom w:val="none" w:sz="0" w:space="0" w:color="auto"/>
            <w:right w:val="none" w:sz="0" w:space="0" w:color="auto"/>
          </w:divBdr>
          <w:divsChild>
            <w:div w:id="1178540002">
              <w:marLeft w:val="0"/>
              <w:marRight w:val="0"/>
              <w:marTop w:val="0"/>
              <w:marBottom w:val="0"/>
              <w:divBdr>
                <w:top w:val="none" w:sz="0" w:space="0" w:color="auto"/>
                <w:left w:val="none" w:sz="0" w:space="0" w:color="auto"/>
                <w:bottom w:val="none" w:sz="0" w:space="0" w:color="auto"/>
                <w:right w:val="none" w:sz="0" w:space="0" w:color="auto"/>
              </w:divBdr>
              <w:divsChild>
                <w:div w:id="2137680211">
                  <w:marLeft w:val="0"/>
                  <w:marRight w:val="0"/>
                  <w:marTop w:val="0"/>
                  <w:marBottom w:val="0"/>
                  <w:divBdr>
                    <w:top w:val="none" w:sz="0" w:space="0" w:color="auto"/>
                    <w:left w:val="none" w:sz="0" w:space="0" w:color="auto"/>
                    <w:bottom w:val="none" w:sz="0" w:space="0" w:color="auto"/>
                    <w:right w:val="none" w:sz="0" w:space="0" w:color="auto"/>
                  </w:divBdr>
                  <w:divsChild>
                    <w:div w:id="1581021136">
                      <w:marLeft w:val="0"/>
                      <w:marRight w:val="0"/>
                      <w:marTop w:val="0"/>
                      <w:marBottom w:val="0"/>
                      <w:divBdr>
                        <w:top w:val="none" w:sz="0" w:space="0" w:color="auto"/>
                        <w:left w:val="none" w:sz="0" w:space="0" w:color="auto"/>
                        <w:bottom w:val="none" w:sz="0" w:space="0" w:color="auto"/>
                        <w:right w:val="none" w:sz="0" w:space="0" w:color="auto"/>
                      </w:divBdr>
                      <w:divsChild>
                        <w:div w:id="1252276841">
                          <w:marLeft w:val="0"/>
                          <w:marRight w:val="0"/>
                          <w:marTop w:val="0"/>
                          <w:marBottom w:val="0"/>
                          <w:divBdr>
                            <w:top w:val="none" w:sz="0" w:space="0" w:color="auto"/>
                            <w:left w:val="none" w:sz="0" w:space="0" w:color="auto"/>
                            <w:bottom w:val="none" w:sz="0" w:space="0" w:color="auto"/>
                            <w:right w:val="none" w:sz="0" w:space="0" w:color="auto"/>
                          </w:divBdr>
                          <w:divsChild>
                            <w:div w:id="1230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168008">
      <w:bodyDiv w:val="1"/>
      <w:marLeft w:val="0"/>
      <w:marRight w:val="0"/>
      <w:marTop w:val="0"/>
      <w:marBottom w:val="0"/>
      <w:divBdr>
        <w:top w:val="none" w:sz="0" w:space="0" w:color="auto"/>
        <w:left w:val="none" w:sz="0" w:space="0" w:color="auto"/>
        <w:bottom w:val="none" w:sz="0" w:space="0" w:color="auto"/>
        <w:right w:val="none" w:sz="0" w:space="0" w:color="auto"/>
      </w:divBdr>
    </w:div>
    <w:div w:id="2135324561">
      <w:bodyDiv w:val="1"/>
      <w:marLeft w:val="0"/>
      <w:marRight w:val="0"/>
      <w:marTop w:val="0"/>
      <w:marBottom w:val="0"/>
      <w:divBdr>
        <w:top w:val="none" w:sz="0" w:space="0" w:color="auto"/>
        <w:left w:val="none" w:sz="0" w:space="0" w:color="auto"/>
        <w:bottom w:val="none" w:sz="0" w:space="0" w:color="auto"/>
        <w:right w:val="none" w:sz="0" w:space="0" w:color="auto"/>
      </w:divBdr>
    </w:div>
    <w:div w:id="214534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eader" Target="header4.xml"/><Relationship Id="rId21" Type="http://schemas.openxmlformats.org/officeDocument/2006/relationships/image" Target="media/image4.png"/><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chart" Target="charts/chart3.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ommonslibrary.parliament.uk/research-briefings/cbp-9428/"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2.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hart" Target="charts/chart1.xm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eu-west-1.protection.sophos.com?d=govdelivery.com&amp;u=aHR0cHM6Ly9saW5rcy0xLmdvdmRlbGl2ZXJ5LmNvbS9DTDAvaHR0cHM6JTJGJTJGd3d3Lmdvdi51ayUyRmdvdmVybm1lbnQlMkZuZXdzJTJGcGxhbm5pbmctb3ZlcmhhdWwtdG8tcmVhY2gtMTUtbWlsbGlvbi1uZXctaG9tZXMlM0Z1dG1fbWVkaXVtPWVtYWlsJTI2dXRtX3NvdXJjZT1nb3ZkZWxpdmVyeS8xLzAxMDAwMTkzYzFiNjAyNDctODQzOTZmZWQtMzkwMC00ODAxLWE2Y2EtYjBmYzI3MDM1ZjQ5LTAwMDAwMC9XeE10RjkzNDVPWWt3UHRCSDBYanl0YXVaX096Nlo0MHczNVdNbnh5aFVFPTM4Mw==&amp;i=NjU0OGFlZjk5ZjUyMDMxMGFmMzEzODBj&amp;t=QnJzbjZ3N1BFY2hUY3FtUXRTRFNjQzJpM0ZUU1pDSFhYL09uSHJkTjJGWT0=&amp;h=af133fb3b97d426cad34feaa57c73d07&amp;s=AVNPUEhUT0NFTkNSWVBUSVYpTpI5X38ByVzdu0RHynFkReY4K142ckKnqaTeN1H-7TafA-op3ZCcpFJn7g2bxcDevWMbilzL0Di8UeEbScS1fWkWIvnn3OX2e12iXD2Li1ry3nmt2YmUVlZQsTI1yj8" TargetMode="External"/><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olc-cifs-01.lincoln.local\Accountancy\SPREAD\Budget\Budget%20Working%20Papers%202026-2027\Resillence%20and%20Senstivity\General%20Fund%20Sensitivity%20Analysis%202026-2027%20FINAL%20MTF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olc-cifs-01.lincoln.local\Accountancy\SPREAD\Budget\Budget%20Working%20Papers%202026-2027\Resillence%20and%20Senstivity\General%20Fund%20Sensitivity%20Analysis%202026-2027%20FINAL%20MTF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accent2">
                    <a:lumMod val="60000"/>
                    <a:lumOff val="40000"/>
                  </a:schemeClr>
                </a:solidFill>
                <a:latin typeface="+mn-lt"/>
                <a:ea typeface="+mn-ea"/>
                <a:cs typeface="+mn-cs"/>
              </a:defRPr>
            </a:pPr>
            <a:r>
              <a:rPr lang="en-GB" sz="1200">
                <a:solidFill>
                  <a:schemeClr val="accent2"/>
                </a:solidFill>
                <a:latin typeface="Arial" panose="020B0604020202020204" pitchFamily="34" charset="0"/>
                <a:cs typeface="Arial" panose="020B0604020202020204" pitchFamily="34" charset="0"/>
              </a:rPr>
              <a:t>Change in Core Spending Power over settlement period, %</a:t>
            </a:r>
          </a:p>
        </c:rich>
      </c:tx>
      <c:layout>
        <c:manualLayout>
          <c:xMode val="edge"/>
          <c:yMode val="edge"/>
          <c:x val="0.11776903574766015"/>
          <c:y val="3.7348272642390289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accent2">
                  <a:lumMod val="60000"/>
                  <a:lumOff val="4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Sheet1!$J$19</c:f>
              <c:strCache>
                <c:ptCount val="1"/>
                <c:pt idx="0">
                  <c: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Sheet1!$I$20:$I$28</c:f>
              <c:strCache>
                <c:ptCount val="9"/>
                <c:pt idx="0">
                  <c:v>Shire Districts</c:v>
                </c:pt>
                <c:pt idx="1">
                  <c:v>Shire Counties</c:v>
                </c:pt>
                <c:pt idx="2">
                  <c:v>Met Districts</c:v>
                </c:pt>
                <c:pt idx="3">
                  <c:v>Inner London Boroughs</c:v>
                </c:pt>
                <c:pt idx="4">
                  <c:v>Outer London Boroughs</c:v>
                </c:pt>
                <c:pt idx="5">
                  <c:v>English Unitaries</c:v>
                </c:pt>
                <c:pt idx="6">
                  <c:v>Fire excl GLA and GMCA</c:v>
                </c:pt>
                <c:pt idx="7">
                  <c:v>England</c:v>
                </c:pt>
                <c:pt idx="8">
                  <c:v>Lincoln</c:v>
                </c:pt>
              </c:strCache>
            </c:strRef>
          </c:cat>
          <c:val>
            <c:numRef>
              <c:f>Sheet1!$J$20:$J$28</c:f>
              <c:numCache>
                <c:formatCode>0.0%</c:formatCode>
                <c:ptCount val="9"/>
                <c:pt idx="0">
                  <c:v>4.9000000000000002E-2</c:v>
                </c:pt>
                <c:pt idx="1">
                  <c:v>0.14499999999999999</c:v>
                </c:pt>
                <c:pt idx="2">
                  <c:v>0.17100000000000001</c:v>
                </c:pt>
                <c:pt idx="3">
                  <c:v>4.9000000000000002E-2</c:v>
                </c:pt>
                <c:pt idx="4">
                  <c:v>0.187</c:v>
                </c:pt>
                <c:pt idx="5">
                  <c:v>0.154</c:v>
                </c:pt>
                <c:pt idx="6">
                  <c:v>0.122</c:v>
                </c:pt>
                <c:pt idx="7">
                  <c:v>0.155</c:v>
                </c:pt>
                <c:pt idx="8">
                  <c:v>0.191</c:v>
                </c:pt>
              </c:numCache>
            </c:numRef>
          </c:val>
          <c:extLst>
            <c:ext xmlns:c16="http://schemas.microsoft.com/office/drawing/2014/chart" uri="{C3380CC4-5D6E-409C-BE32-E72D297353CC}">
              <c16:uniqueId val="{00000000-BF92-41AC-AB73-10CFF390BC64}"/>
            </c:ext>
          </c:extLst>
        </c:ser>
        <c:dLbls>
          <c:dLblPos val="outEnd"/>
          <c:showLegendKey val="0"/>
          <c:showVal val="1"/>
          <c:showCatName val="0"/>
          <c:showSerName val="0"/>
          <c:showPercent val="0"/>
          <c:showBubbleSize val="0"/>
        </c:dLbls>
        <c:gapWidth val="100"/>
        <c:overlap val="-24"/>
        <c:axId val="435940384"/>
        <c:axId val="435938944"/>
      </c:barChart>
      <c:catAx>
        <c:axId val="4359403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938944"/>
        <c:crosses val="autoZero"/>
        <c:auto val="1"/>
        <c:lblAlgn val="ctr"/>
        <c:lblOffset val="100"/>
        <c:noMultiLvlLbl val="0"/>
      </c:catAx>
      <c:valAx>
        <c:axId val="4359389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9403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Level</a:t>
            </a:r>
            <a:r>
              <a:rPr lang="en-US" baseline="0"/>
              <a:t> of General Balances</a:t>
            </a:r>
            <a:endParaRPr lang="en-US"/>
          </a:p>
        </c:rich>
      </c:tx>
      <c:overlay val="0"/>
      <c:spPr>
        <a:noFill/>
        <a:ln w="25400">
          <a:noFill/>
        </a:ln>
      </c:spPr>
    </c:title>
    <c:autoTitleDeleted val="0"/>
    <c:plotArea>
      <c:layout/>
      <c:barChart>
        <c:barDir val="col"/>
        <c:grouping val="clustered"/>
        <c:varyColors val="0"/>
        <c:ser>
          <c:idx val="0"/>
          <c:order val="0"/>
          <c:tx>
            <c:strRef>
              <c:f>Graphs!$A$3</c:f>
              <c:strCache>
                <c:ptCount val="1"/>
                <c:pt idx="0">
                  <c:v>Optimistic</c:v>
                </c:pt>
              </c:strCache>
            </c:strRef>
          </c:tx>
          <c:spPr>
            <a:solidFill>
              <a:srgbClr val="4472C4"/>
            </a:solidFill>
            <a:ln w="25400">
              <a:noFill/>
            </a:ln>
          </c:spPr>
          <c:invertIfNegative val="0"/>
          <c:cat>
            <c:strRef>
              <c:f>Graphs!$B$2:$F$2</c:f>
              <c:strCache>
                <c:ptCount val="5"/>
                <c:pt idx="0">
                  <c:v>2026/27</c:v>
                </c:pt>
                <c:pt idx="1">
                  <c:v>2027/28</c:v>
                </c:pt>
                <c:pt idx="2">
                  <c:v>2028/29</c:v>
                </c:pt>
                <c:pt idx="3">
                  <c:v>2029/30</c:v>
                </c:pt>
                <c:pt idx="4">
                  <c:v>2030/31</c:v>
                </c:pt>
              </c:strCache>
            </c:strRef>
          </c:cat>
          <c:val>
            <c:numRef>
              <c:f>Graphs!$B$3:$F$3</c:f>
              <c:numCache>
                <c:formatCode>_-"£"* #,##0_-;\-"£"* #,##0_-;_-"£"* "-"??_-;_-@_-</c:formatCode>
                <c:ptCount val="5"/>
                <c:pt idx="0">
                  <c:v>2578575.7549999999</c:v>
                </c:pt>
                <c:pt idx="1">
                  <c:v>2882644.4699999997</c:v>
                </c:pt>
                <c:pt idx="2">
                  <c:v>4319012.6312499996</c:v>
                </c:pt>
                <c:pt idx="3">
                  <c:v>5327717.4371874994</c:v>
                </c:pt>
                <c:pt idx="4">
                  <c:v>6373319.7431249991</c:v>
                </c:pt>
              </c:numCache>
            </c:numRef>
          </c:val>
          <c:extLst>
            <c:ext xmlns:c16="http://schemas.microsoft.com/office/drawing/2014/chart" uri="{C3380CC4-5D6E-409C-BE32-E72D297353CC}">
              <c16:uniqueId val="{00000000-6C16-4C3B-BB9C-9AC126B2581A}"/>
            </c:ext>
          </c:extLst>
        </c:ser>
        <c:ser>
          <c:idx val="1"/>
          <c:order val="1"/>
          <c:tx>
            <c:strRef>
              <c:f>Graphs!$A$4</c:f>
              <c:strCache>
                <c:ptCount val="1"/>
                <c:pt idx="0">
                  <c:v>Likely (Budget)</c:v>
                </c:pt>
              </c:strCache>
            </c:strRef>
          </c:tx>
          <c:spPr>
            <a:solidFill>
              <a:srgbClr val="ED7D31"/>
            </a:solidFill>
            <a:ln w="25400">
              <a:noFill/>
            </a:ln>
          </c:spPr>
          <c:invertIfNegative val="0"/>
          <c:cat>
            <c:strRef>
              <c:f>Graphs!$B$2:$F$2</c:f>
              <c:strCache>
                <c:ptCount val="5"/>
                <c:pt idx="0">
                  <c:v>2026/27</c:v>
                </c:pt>
                <c:pt idx="1">
                  <c:v>2027/28</c:v>
                </c:pt>
                <c:pt idx="2">
                  <c:v>2028/29</c:v>
                </c:pt>
                <c:pt idx="3">
                  <c:v>2029/30</c:v>
                </c:pt>
                <c:pt idx="4">
                  <c:v>2030/31</c:v>
                </c:pt>
              </c:strCache>
            </c:strRef>
          </c:cat>
          <c:val>
            <c:numRef>
              <c:f>Graphs!$B$4:$F$4</c:f>
              <c:numCache>
                <c:formatCode>_-"£"* #,##0_-;\-"£"* #,##0_-;_-"£"* "-"??_-;_-@_-</c:formatCode>
                <c:ptCount val="5"/>
                <c:pt idx="0">
                  <c:v>2508045.81</c:v>
                </c:pt>
                <c:pt idx="1">
                  <c:v>2510945.81</c:v>
                </c:pt>
                <c:pt idx="2">
                  <c:v>3646005.81</c:v>
                </c:pt>
                <c:pt idx="3">
                  <c:v>4313825.8100000005</c:v>
                </c:pt>
                <c:pt idx="4">
                  <c:v>4917395.8100000005</c:v>
                </c:pt>
              </c:numCache>
            </c:numRef>
          </c:val>
          <c:extLst>
            <c:ext xmlns:c16="http://schemas.microsoft.com/office/drawing/2014/chart" uri="{C3380CC4-5D6E-409C-BE32-E72D297353CC}">
              <c16:uniqueId val="{00000001-6C16-4C3B-BB9C-9AC126B2581A}"/>
            </c:ext>
          </c:extLst>
        </c:ser>
        <c:ser>
          <c:idx val="2"/>
          <c:order val="2"/>
          <c:tx>
            <c:strRef>
              <c:f>Graphs!$A$5</c:f>
              <c:strCache>
                <c:ptCount val="1"/>
                <c:pt idx="0">
                  <c:v>Pesimisstic</c:v>
                </c:pt>
              </c:strCache>
            </c:strRef>
          </c:tx>
          <c:spPr>
            <a:solidFill>
              <a:srgbClr val="A5A5A5"/>
            </a:solidFill>
            <a:ln w="25400">
              <a:noFill/>
            </a:ln>
          </c:spPr>
          <c:invertIfNegative val="0"/>
          <c:cat>
            <c:strRef>
              <c:f>Graphs!$B$2:$F$2</c:f>
              <c:strCache>
                <c:ptCount val="5"/>
                <c:pt idx="0">
                  <c:v>2026/27</c:v>
                </c:pt>
                <c:pt idx="1">
                  <c:v>2027/28</c:v>
                </c:pt>
                <c:pt idx="2">
                  <c:v>2028/29</c:v>
                </c:pt>
                <c:pt idx="3">
                  <c:v>2029/30</c:v>
                </c:pt>
                <c:pt idx="4">
                  <c:v>2030/31</c:v>
                </c:pt>
              </c:strCache>
            </c:strRef>
          </c:cat>
          <c:val>
            <c:numRef>
              <c:f>Graphs!$B$5:$F$5</c:f>
              <c:numCache>
                <c:formatCode>_-"£"* #,##0_-;\-"£"* #,##0_-;_-"£"* "-"??_-;_-@_-</c:formatCode>
                <c:ptCount val="5"/>
                <c:pt idx="0">
                  <c:v>461945.4149999998</c:v>
                </c:pt>
                <c:pt idx="1">
                  <c:v>-1167536.9550000003</c:v>
                </c:pt>
                <c:pt idx="2">
                  <c:v>-1809912.175</c:v>
                </c:pt>
                <c:pt idx="3">
                  <c:v>-3649218.3449999997</c:v>
                </c:pt>
                <c:pt idx="4">
                  <c:v>-5587301.5149999997</c:v>
                </c:pt>
              </c:numCache>
            </c:numRef>
          </c:val>
          <c:extLst>
            <c:ext xmlns:c16="http://schemas.microsoft.com/office/drawing/2014/chart" uri="{C3380CC4-5D6E-409C-BE32-E72D297353CC}">
              <c16:uniqueId val="{00000002-6C16-4C3B-BB9C-9AC126B2581A}"/>
            </c:ext>
          </c:extLst>
        </c:ser>
        <c:dLbls>
          <c:showLegendKey val="0"/>
          <c:showVal val="0"/>
          <c:showCatName val="0"/>
          <c:showSerName val="0"/>
          <c:showPercent val="0"/>
          <c:showBubbleSize val="0"/>
        </c:dLbls>
        <c:gapWidth val="219"/>
        <c:overlap val="-27"/>
        <c:axId val="672186127"/>
        <c:axId val="1"/>
      </c:barChart>
      <c:catAx>
        <c:axId val="672186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quot;£&quot;* #,##0_-;_-&quot;£&quot;* &quot;-&quot;??_-;_-@_-"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2186127"/>
        <c:crosses val="autoZero"/>
        <c:crossBetween val="between"/>
      </c:valAx>
      <c:spPr>
        <a:noFill/>
        <a:ln w="25400">
          <a:noFill/>
        </a:ln>
      </c:spPr>
    </c:plotArea>
    <c:legend>
      <c:legendPos val="r"/>
      <c:layout>
        <c:manualLayout>
          <c:xMode val="edge"/>
          <c:yMode val="edge"/>
          <c:x val="0.22581393608098563"/>
          <c:y val="0.88603054563270511"/>
          <c:w val="0.53765230193312907"/>
          <c:h val="7.6002495167538209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Level of General Balances and Reserves</a:t>
            </a:r>
          </a:p>
        </c:rich>
      </c:tx>
      <c:overlay val="0"/>
      <c:spPr>
        <a:noFill/>
        <a:ln w="25400">
          <a:noFill/>
        </a:ln>
      </c:spPr>
    </c:title>
    <c:autoTitleDeleted val="0"/>
    <c:plotArea>
      <c:layout/>
      <c:barChart>
        <c:barDir val="col"/>
        <c:grouping val="clustered"/>
        <c:varyColors val="0"/>
        <c:ser>
          <c:idx val="0"/>
          <c:order val="0"/>
          <c:tx>
            <c:strRef>
              <c:f>'[General Fund Sensitivity Analysis 2026-2027 FINAL MTFS.xls]Graphs'!$A$9</c:f>
              <c:strCache>
                <c:ptCount val="1"/>
                <c:pt idx="0">
                  <c:v>Optimistic</c:v>
                </c:pt>
              </c:strCache>
            </c:strRef>
          </c:tx>
          <c:spPr>
            <a:solidFill>
              <a:srgbClr val="4472C4"/>
            </a:solidFill>
            <a:ln w="25400">
              <a:noFill/>
            </a:ln>
          </c:spPr>
          <c:invertIfNegative val="0"/>
          <c:cat>
            <c:strRef>
              <c:f>'[General Fund Sensitivity Analysis 2026-2027 FINAL MTFS.xls]Graphs'!$B$8:$F$8</c:f>
              <c:strCache>
                <c:ptCount val="5"/>
                <c:pt idx="0">
                  <c:v>2026/27</c:v>
                </c:pt>
                <c:pt idx="1">
                  <c:v>2027/28</c:v>
                </c:pt>
                <c:pt idx="2">
                  <c:v>2028/29</c:v>
                </c:pt>
                <c:pt idx="3">
                  <c:v>2029/30</c:v>
                </c:pt>
                <c:pt idx="4">
                  <c:v>2030/31</c:v>
                </c:pt>
              </c:strCache>
            </c:strRef>
          </c:cat>
          <c:val>
            <c:numRef>
              <c:f>'[General Fund Sensitivity Analysis 2026-2027 FINAL MTFS.xls]Graphs'!$B$9:$F$9</c:f>
              <c:numCache>
                <c:formatCode>_-"£"* #,##0_-;\-"£"* #,##0_-;_-"£"* "-"??_-;_-@_-</c:formatCode>
                <c:ptCount val="5"/>
                <c:pt idx="0">
                  <c:v>8875404.125</c:v>
                </c:pt>
                <c:pt idx="1">
                  <c:v>9707212.8399999999</c:v>
                </c:pt>
                <c:pt idx="2">
                  <c:v>11330971.001250001</c:v>
                </c:pt>
                <c:pt idx="3">
                  <c:v>12450425.807187501</c:v>
                </c:pt>
                <c:pt idx="4">
                  <c:v>13673438.113125002</c:v>
                </c:pt>
              </c:numCache>
            </c:numRef>
          </c:val>
          <c:extLst>
            <c:ext xmlns:c16="http://schemas.microsoft.com/office/drawing/2014/chart" uri="{C3380CC4-5D6E-409C-BE32-E72D297353CC}">
              <c16:uniqueId val="{00000000-F64D-4CF5-A361-CA57728750C0}"/>
            </c:ext>
          </c:extLst>
        </c:ser>
        <c:ser>
          <c:idx val="1"/>
          <c:order val="1"/>
          <c:tx>
            <c:strRef>
              <c:f>'[General Fund Sensitivity Analysis 2026-2027 FINAL MTFS.xls]Graphs'!$A$10</c:f>
              <c:strCache>
                <c:ptCount val="1"/>
                <c:pt idx="0">
                  <c:v>Likely (Budget)</c:v>
                </c:pt>
              </c:strCache>
            </c:strRef>
          </c:tx>
          <c:spPr>
            <a:solidFill>
              <a:srgbClr val="ED7D31"/>
            </a:solidFill>
            <a:ln w="25400">
              <a:noFill/>
            </a:ln>
          </c:spPr>
          <c:invertIfNegative val="0"/>
          <c:cat>
            <c:strRef>
              <c:f>'[General Fund Sensitivity Analysis 2026-2027 FINAL MTFS.xls]Graphs'!$B$8:$F$8</c:f>
              <c:strCache>
                <c:ptCount val="5"/>
                <c:pt idx="0">
                  <c:v>2026/27</c:v>
                </c:pt>
                <c:pt idx="1">
                  <c:v>2027/28</c:v>
                </c:pt>
                <c:pt idx="2">
                  <c:v>2028/29</c:v>
                </c:pt>
                <c:pt idx="3">
                  <c:v>2029/30</c:v>
                </c:pt>
                <c:pt idx="4">
                  <c:v>2030/31</c:v>
                </c:pt>
              </c:strCache>
            </c:strRef>
          </c:cat>
          <c:val>
            <c:numRef>
              <c:f>'[General Fund Sensitivity Analysis 2026-2027 FINAL MTFS.xls]Graphs'!$B$10:$F$10</c:f>
              <c:numCache>
                <c:formatCode>_-"£"* #,##0_-;\-"£"* #,##0_-;_-"£"* "-"??_-;_-@_-</c:formatCode>
                <c:ptCount val="5"/>
                <c:pt idx="0">
                  <c:v>8804874.1799999997</c:v>
                </c:pt>
                <c:pt idx="1">
                  <c:v>9335514.1799999997</c:v>
                </c:pt>
                <c:pt idx="2">
                  <c:v>10657964.18</c:v>
                </c:pt>
                <c:pt idx="3">
                  <c:v>11436534.18</c:v>
                </c:pt>
                <c:pt idx="4">
                  <c:v>12217514.18</c:v>
                </c:pt>
              </c:numCache>
            </c:numRef>
          </c:val>
          <c:extLst>
            <c:ext xmlns:c16="http://schemas.microsoft.com/office/drawing/2014/chart" uri="{C3380CC4-5D6E-409C-BE32-E72D297353CC}">
              <c16:uniqueId val="{00000001-F64D-4CF5-A361-CA57728750C0}"/>
            </c:ext>
          </c:extLst>
        </c:ser>
        <c:ser>
          <c:idx val="2"/>
          <c:order val="2"/>
          <c:tx>
            <c:strRef>
              <c:f>'[General Fund Sensitivity Analysis 2026-2027 FINAL MTFS.xls]Graphs'!$A$11</c:f>
              <c:strCache>
                <c:ptCount val="1"/>
                <c:pt idx="0">
                  <c:v>Pesimisstic</c:v>
                </c:pt>
              </c:strCache>
            </c:strRef>
          </c:tx>
          <c:spPr>
            <a:solidFill>
              <a:srgbClr val="A5A5A5"/>
            </a:solidFill>
            <a:ln w="25400">
              <a:noFill/>
            </a:ln>
          </c:spPr>
          <c:invertIfNegative val="0"/>
          <c:cat>
            <c:strRef>
              <c:f>'[General Fund Sensitivity Analysis 2026-2027 FINAL MTFS.xls]Graphs'!$B$8:$F$8</c:f>
              <c:strCache>
                <c:ptCount val="5"/>
                <c:pt idx="0">
                  <c:v>2026/27</c:v>
                </c:pt>
                <c:pt idx="1">
                  <c:v>2027/28</c:v>
                </c:pt>
                <c:pt idx="2">
                  <c:v>2028/29</c:v>
                </c:pt>
                <c:pt idx="3">
                  <c:v>2029/30</c:v>
                </c:pt>
                <c:pt idx="4">
                  <c:v>2030/31</c:v>
                </c:pt>
              </c:strCache>
            </c:strRef>
          </c:cat>
          <c:val>
            <c:numRef>
              <c:f>'[General Fund Sensitivity Analysis 2026-2027 FINAL MTFS.xls]Graphs'!$B$11:$F$11</c:f>
              <c:numCache>
                <c:formatCode>_-"£"* #,##0_-;\-"£"* #,##0_-;_-"£"* "-"??_-;_-@_-</c:formatCode>
                <c:ptCount val="5"/>
                <c:pt idx="0">
                  <c:v>6758773.7849999992</c:v>
                </c:pt>
                <c:pt idx="1">
                  <c:v>5657031.4149999991</c:v>
                </c:pt>
                <c:pt idx="2">
                  <c:v>5202046.1949999994</c:v>
                </c:pt>
                <c:pt idx="3">
                  <c:v>3473490.0249999994</c:v>
                </c:pt>
                <c:pt idx="4">
                  <c:v>1712816.8549999995</c:v>
                </c:pt>
              </c:numCache>
            </c:numRef>
          </c:val>
          <c:extLst>
            <c:ext xmlns:c16="http://schemas.microsoft.com/office/drawing/2014/chart" uri="{C3380CC4-5D6E-409C-BE32-E72D297353CC}">
              <c16:uniqueId val="{00000002-F64D-4CF5-A361-CA57728750C0}"/>
            </c:ext>
          </c:extLst>
        </c:ser>
        <c:dLbls>
          <c:showLegendKey val="0"/>
          <c:showVal val="0"/>
          <c:showCatName val="0"/>
          <c:showSerName val="0"/>
          <c:showPercent val="0"/>
          <c:showBubbleSize val="0"/>
        </c:dLbls>
        <c:gapWidth val="219"/>
        <c:axId val="880013679"/>
        <c:axId val="1"/>
      </c:barChart>
      <c:catAx>
        <c:axId val="880013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quot;£&quot;* #,##0_-;_-&quot;£&quot;* &quot;-&quot;??_-;_-@_-"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0013679"/>
        <c:crosses val="autoZero"/>
        <c:crossBetween val="between"/>
      </c:valAx>
      <c:spPr>
        <a:noFill/>
        <a:ln w="25400">
          <a:noFill/>
        </a:ln>
      </c:spPr>
    </c:plotArea>
    <c:legend>
      <c:legendPos val="r"/>
      <c:layout>
        <c:manualLayout>
          <c:xMode val="edge"/>
          <c:yMode val="edge"/>
          <c:x val="0.24546932009452682"/>
          <c:y val="0.14789202561136047"/>
          <c:w val="0.56111560439541286"/>
          <c:h val="0.10931664325918458"/>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046FE8B622434F802B0DF1841F2C2E" ma:contentTypeVersion="8" ma:contentTypeDescription="Create a new document." ma:contentTypeScope="" ma:versionID="383bc96d3be506e5b333f297ad6cbc89">
  <xsd:schema xmlns:xsd="http://www.w3.org/2001/XMLSchema" xmlns:xs="http://www.w3.org/2001/XMLSchema" xmlns:p="http://schemas.microsoft.com/office/2006/metadata/properties" xmlns:ns2="332b15fc-1a18-4b1c-849c-50277257fd0b" xmlns:ns3="89ce01a2-f3a8-4f1b-82af-5403e821f3ef" targetNamespace="http://schemas.microsoft.com/office/2006/metadata/properties" ma:root="true" ma:fieldsID="86e468c48ec8163ff99785f934123a77" ns2:_="" ns3:_="">
    <xsd:import namespace="332b15fc-1a18-4b1c-849c-50277257fd0b"/>
    <xsd:import namespace="89ce01a2-f3a8-4f1b-82af-5403e821f3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15fc-1a18-4b1c-849c-50277257f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e01a2-f3a8-4f1b-82af-5403e821f3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C7CE9-63AC-4D6B-BBF0-4A58A3CD4A41}">
  <ds:schemaRefs>
    <ds:schemaRef ds:uri="http://schemas.openxmlformats.org/officeDocument/2006/bibliography"/>
  </ds:schemaRefs>
</ds:datastoreItem>
</file>

<file path=customXml/itemProps2.xml><?xml version="1.0" encoding="utf-8"?>
<ds:datastoreItem xmlns:ds="http://schemas.openxmlformats.org/officeDocument/2006/customXml" ds:itemID="{A8D60267-5D37-4CC2-AD38-F301CD4BD2E6}">
  <ds:schemaRefs>
    <ds:schemaRef ds:uri="http://schemas.microsoft.com/sharepoint/v3/contenttype/forms"/>
  </ds:schemaRefs>
</ds:datastoreItem>
</file>

<file path=customXml/itemProps3.xml><?xml version="1.0" encoding="utf-8"?>
<ds:datastoreItem xmlns:ds="http://schemas.openxmlformats.org/officeDocument/2006/customXml" ds:itemID="{AB47C292-9CAB-4CB5-92E9-80CFA0A69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15fc-1a18-4b1c-849c-50277257fd0b"/>
    <ds:schemaRef ds:uri="89ce01a2-f3a8-4f1b-82af-5403e821f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F14E6-E99B-4C77-AD61-C96C213D74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31897</Words>
  <Characters>172565</Characters>
  <Application>Microsoft Office Word</Application>
  <DocSecurity>0</DocSecurity>
  <Lines>7190</Lines>
  <Paragraphs>3786</Paragraphs>
  <ScaleCrop>false</ScaleCrop>
  <Company>City Of Lincoln Council</Company>
  <LinksUpToDate>false</LinksUpToDate>
  <CharactersWithSpaces>200676</CharactersWithSpaces>
  <SharedDoc>false</SharedDoc>
  <HLinks>
    <vt:vector size="12" baseType="variant">
      <vt:variant>
        <vt:i4>3801191</vt:i4>
      </vt:variant>
      <vt:variant>
        <vt:i4>3</vt:i4>
      </vt:variant>
      <vt:variant>
        <vt:i4>0</vt:i4>
      </vt:variant>
      <vt:variant>
        <vt:i4>5</vt:i4>
      </vt:variant>
      <vt:variant>
        <vt:lpwstr>https://eu-west-1.protection.sophos.com/?d=govdelivery.com&amp;u=aHR0cHM6Ly9saW5rcy0xLmdvdmRlbGl2ZXJ5LmNvbS9DTDAvaHR0cHM6JTJGJTJGd3d3Lmdvdi51ayUyRmdvdmVybm1lbnQlMkZuZXdzJTJGcGxhbm5pbmctb3ZlcmhhdWwtdG8tcmVhY2gtMTUtbWlsbGlvbi1uZXctaG9tZXMlM0Z1dG1fbWVkaXVtPWVtYWlsJTI2dXRtX3NvdXJjZT1nb3ZkZWxpdmVyeS8xLzAxMDAwMTkzYzFiNjAyNDctODQzOTZmZWQtMzkwMC00ODAxLWE2Y2EtYjBmYzI3MDM1ZjQ5LTAwMDAwMC9XeE10RjkzNDVPWWt3UHRCSDBYanl0YXVaX096Nlo0MHczNVdNbnh5aFVFPTM4Mw==&amp;i=NjU0OGFlZjk5ZjUyMDMxMGFmMzEzODBj&amp;t=QnJzbjZ3N1BFY2hUY3FtUXRTRFNjQzJpM0ZUU1pDSFhYL09uSHJkTjJGWT0=&amp;h=af133fb3b97d426cad34feaa57c73d07&amp;s=AVNPUEhUT0NFTkNSWVBUSVYpTpI5X38ByVzdu0RHynFkReY4K142ckKnqaTeN1H-7TafA-op3ZCcpFJn7g2bxcDevWMbilzL0Di8UeEbScS1fWkWIvnn3OX2e12iXD2Li1ry3nmt2YmUVlZQsTI1yj8</vt:lpwstr>
      </vt:variant>
      <vt:variant>
        <vt:lpwstr/>
      </vt:variant>
      <vt:variant>
        <vt:i4>1900608</vt:i4>
      </vt:variant>
      <vt:variant>
        <vt:i4>0</vt:i4>
      </vt:variant>
      <vt:variant>
        <vt:i4>0</vt:i4>
      </vt:variant>
      <vt:variant>
        <vt:i4>5</vt:i4>
      </vt:variant>
      <vt:variant>
        <vt:lpwstr>https://commonslibrary.parliament.uk/research-briefings/cbp-9428/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ADMINISTRATOR</dc:creator>
  <cp:keywords/>
  <dc:description/>
  <cp:lastModifiedBy>Jaclyn Gibson</cp:lastModifiedBy>
  <cp:revision>2</cp:revision>
  <cp:lastPrinted>2024-02-09T10:00:00Z</cp:lastPrinted>
  <dcterms:created xsi:type="dcterms:W3CDTF">2026-02-12T16:38:00Z</dcterms:created>
  <dcterms:modified xsi:type="dcterms:W3CDTF">2026-02-12T16:38:00Z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0x010100C2046FE8B622434F802B0DF1841F2C2E</vt:lpwstr>
  </property>
</Properties>
</file>